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LINKSQUARES</w:t>
      </w:r>
    </w:p>
    <w:p>
      <w:pPr>
        <w:jc w:val="center"/>
      </w:pPr>
      <w:r>
        <w:rPr>
          <w:color w:val="475569"/>
          <w:sz w:val="17"/>
        </w:rPr>
        <w:t>Software Engineer (Legal AI Infrastructure) | Dossier APX-NG27-010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Deterministic Contract Parsing, Enterprise Knowledge Graphs &amp; Automated Clause Extraction</w:t>
              <w:br/>
            </w:r>
            <w:r>
              <w:rPr>
                <w:color w:val="334155"/>
                <w:sz w:val="17"/>
              </w:rPr>
              <w:t>Bridging business contract analysis with LLM inference pipelines to deliver verifiable, hallucination-free legal intelligence and clause automation.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LinkSquares</w:t>
        <w:br/>
      </w:r>
    </w:p>
    <w:p>
      <w:pPr>
        <w:spacing w:after="40"/>
      </w:pPr>
      <w:r>
        <w:rPr>
          <w:color w:val="334155"/>
          <w:sz w:val="17"/>
        </w:rPr>
        <w:t>I am applying for the Software Engineer (Legal AI Infrastructure)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LinkSquares.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