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INTERNATIONAL TRADE &amp; EXIM OPERATIONS SPECIALIST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International Business graduate (BBA, Dayananda Sagar University) with comprehensive academic and practical training in cross-border trade operations, DGFT Foreign Trade Policy, customs documentation, and ocean/air freight logistics. Applied practical trade cost modeling to analyze landed cost variance, tariff classification, and multi-modal shipment tracking.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Export-Import Documentation (B/L, CoO, L/C), Incoterms 2020, Customs Clearance Protocols, Landed Cost Modeling, Freight Forwarder Coordination, DGFT Policy, Currency Risk Basics, Tariff Classification, Supply Chain Tracking.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Advanced Excel (Power Query, Index/Match, Dynamic Arrays), Python (Data Pipelines), SQL Basics, Jira, ClickUp, ERP/CRM navigation, Google Workspace.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&amp; Workflow Optimization Specialist</w:t>
      </w:r>
      <w:r>
        <w:rPr>
          <w:rFonts w:ascii="Segoe UI" w:hAnsi="Segoe UI"/>
          <w:i/>
          <w:sz w:val="19"/>
        </w:rPr>
        <w:t xml:space="preserve"> — Commercial Logistics &amp; Trade Operations | Bengaluru, India</w:t>
        <w:br/>
      </w:r>
      <w:r>
        <w:rPr>
          <w:rFonts w:ascii="Segoe UI" w:hAnsi="Segoe UI"/>
          <w:color w:val="334155"/>
          <w:sz w:val="17"/>
        </w:rPr>
        <w:t>2024 – Present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Mapped and standardized end-to-end commercial transaction workflows, establishing structured SOPs that reduced weekly status reconciliation time by 25%.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Engineered automated Excel Power Query models to consolidate cross-party shipment records, eliminating manual data-entry errors across high-volume transactions.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Monitored vendor performance against contracted SLAs, identifying pricing anomalies across rate cards to optimize procurement spend.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Designed weekly executive status reports and operational KPI dashboards for leadership decision support.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Event Operations &amp; Ground Logistics Lead</w:t>
      </w:r>
      <w:r>
        <w:rPr>
          <w:rFonts w:ascii="Segoe UI" w:hAnsi="Segoe UI"/>
          <w:i/>
          <w:sz w:val="19"/>
        </w:rPr>
        <w:t xml:space="preserve"> — Brand Activations &amp; Live Deployments | Bengaluru, India</w:t>
        <w:br/>
      </w:r>
      <w:r>
        <w:rPr>
          <w:rFonts w:ascii="Segoe UI" w:hAnsi="Segoe UI"/>
          <w:color w:val="334155"/>
          <w:sz w:val="17"/>
        </w:rPr>
        <w:t>2024 – 2026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Directed operational execution and run-of-show logistics across 300+ brand activations and large-scale deployments (Puma, Dyson, Google, Nykaa, OnePlus).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Aero India 2025 (Yelahanka Air Force Station): Governed multi-vendor SLA setup, accreditation protocols, and visitor crowd flows for 100,000+ attendees under strict defense security protocols with zero shrinkage.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TRILOGY Fusion Concert (Bengaluru Club, Jan 2026): Coordinated artist schedules, technical staging vendors, and VIP hospitality with 100% on-time execution.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Instituted structured pre-event risk checklists and rapid-escalation channels, achieving zero vendor downtime across high-stakes engagements.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Commercial Research &amp; Business Operations Intern</w:t>
      </w:r>
      <w:r>
        <w:rPr>
          <w:rFonts w:ascii="Segoe UI" w:hAnsi="Segoe UI"/>
          <w:i/>
          <w:sz w:val="19"/>
        </w:rPr>
        <w:t xml:space="preserve"> — Pencil Mark Interior Solutions LLP | Bengaluru, India</w:t>
        <w:br/>
      </w:r>
      <w:r>
        <w:rPr>
          <w:rFonts w:ascii="Segoe UI" w:hAnsi="Segoe UI"/>
          <w:color w:val="334155"/>
          <w:sz w:val="17"/>
        </w:rPr>
        <w:t>July 2025 – August 2025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Synthesized commercial client specifications into actionable project briefs, streamlining handoffs between design and site procurement teams.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structured CRM records and vendor matrices, tracking milestone completion across commercial interior projects.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Bengaluru, India</w:t>
        <w:br/>
      </w:r>
      <w:r>
        <w:rPr>
          <w:rFonts w:ascii="Segoe UI" w:hAnsi="Segoe UI"/>
          <w:color w:val="334155"/>
          <w:sz w:val="17"/>
        </w:rPr>
        <w:t>Degree Completed: BBA International Business | Immediate Full-Time Availability</w:t>
        <w:br/>
      </w:r>
      <w:r>
        <w:rPr>
          <w:rFonts w:ascii="Segoe UI" w:hAnsi="Segoe UI"/>
          <w:sz w:val="17"/>
        </w:rPr>
        <w:t>Relevant Coursework: Global Supply Chain Management, Cross-Border Logistics, Operations Management, International Trade Policy, Business Analytics &amp; Statistics.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