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GLOBAL BUSINESS OPERATIONS &amp; ANALYTICS ASSOCIATE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International Business graduate (BBA, Dayananda Sagar University) with verified on-ground execution capabilities across large-scale event operations (Aero India 2025, 300+ brand activations) and commercial logistics. Proven ability to translate complex operational workflows into standard operating procedures (SOPs), reduce manual status reconciliation by 25% using Advanced Excel (Power Query, Dynamic Arrays) and Python, and enforce strict multi-tier vendor SLA governance under high-security defense protocols.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Operations, Process Mapping (SOPs), Vendor SLA Governance, Workflow Optimization, Advanced Excel (Power Query, PivotTables, Dynamic Arrays), Business Analysis, Cross-Border Logistics, Stakeholder Management, SQL Foundations, Jira &amp; ClickUp.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Ground Logistics Lead</w:t>
      </w:r>
      <w:r>
        <w:rPr>
          <w:rFonts w:ascii="Segoe UI" w:hAnsi="Segoe UI"/>
          <w:i/>
          <w:sz w:val="19"/>
        </w:rPr>
        <w:t xml:space="preserve"> — Brand Activations &amp; Live Deployments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Directed operational execution and run-of-show logistics across 300+ brand activations and large-scale deployments (Puma, Dyson, Google, Nykaa, OnePlus).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2025 (Yelahanka Air Force Station): Governed multi-vendor SLA setup, accreditation protocols, and visitor crowd flows for 100,000+ attendees under strict defense security protocols with zero shrinkage.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Fusion Concert (Bengaluru Club, Jan 2026): Coordinated artist schedules, technical staging vendors, and VIP hospitality with 100% on-time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Instituted structured pre-event risk checklists and rapid-escalation channels, achieving zero vendor downtime across high-stakes engagements.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Global Supply Chain Management, Cross-Border Logistics, Operations Management, International Trade Policy, Business Analytics &amp; Statistics.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