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INTERNATIONAL TRADE &amp; EXIM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University, Class of 2026) with comprehensive academic and practical training in cross-border trade operations, DGFT Foreign Trade Policy, customs documentation, and ocean/air freight logistics. Applied practical trade cost modeling to analyze landed cost variance, tariff classification, and multi-modal shipment tracking.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Export-Import Documentation (B/L, CoO, L/C), Incoterms 2020, Customs Clearance Protocols, Landed Cost Modeling, Freight Forwarder Coordination, DGFT Policy, Currency Risk Basics, Tariff Classification, Supply Chain Tracking.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Expected Graduation: May 2026 | Full Full-Time Corporate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