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
        <w:jc w:val="center"/>
      </w:pPr>
      <w:r>
        <w:rPr>
          <w:rFonts w:ascii="Times New Roman" w:cs="Times New Roman" w:eastAsia="Times New Roman" w:hAnsi="Times New Roman"/>
          <w:b/>
          <w:bCs/>
          <w:sz w:val="28"/>
          <w:szCs w:val="28"/>
        </w:rPr>
        <w:t xml:space="preserve">Crop Yield Prediction Using Machine Learning: A Comparative Experimental Study of Six Algorithms on an Integrated Indian Agro-Climatic Dataset</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30" w:before="0"/>
              <w:jc w:val="center"/>
            </w:pPr>
            <w:r>
              <w:rPr>
                <w:rFonts w:ascii="Times New Roman" w:cs="Times New Roman" w:eastAsia="Times New Roman" w:hAnsi="Times New Roman"/>
                <w:b/>
                <w:bCs/>
                <w:sz w:val="20"/>
                <w:szCs w:val="20"/>
              </w:rPr>
              <w:t xml:space="preserve">Aditya Mehta</w:t>
            </w:r>
          </w:p>
          <w:p>
            <w:pPr>
              <w:spacing w:after="20" w:before="0"/>
              <w:jc w:val="center"/>
            </w:pPr>
            <w:r>
              <w:rPr>
                <w:rFonts w:ascii="Times New Roman" w:cs="Times New Roman" w:eastAsia="Times New Roman" w:hAnsi="Times New Roman"/>
                <w:i/>
                <w:iCs/>
                <w:sz w:val="18"/>
                <w:szCs w:val="18"/>
              </w:rPr>
              <w:t xml:space="preserve">Chitkara University of Institute of</w:t>
            </w:r>
          </w:p>
          <w:p>
            <w:pPr>
              <w:spacing w:after="20" w:before="0"/>
              <w:jc w:val="center"/>
            </w:pPr>
            <w:r>
              <w:rPr>
                <w:rFonts w:ascii="Times New Roman" w:cs="Times New Roman" w:eastAsia="Times New Roman" w:hAnsi="Times New Roman"/>
                <w:i/>
                <w:iCs/>
                <w:sz w:val="18"/>
                <w:szCs w:val="18"/>
              </w:rPr>
              <w:t xml:space="preserve">Engineering and Technology</w:t>
            </w:r>
          </w:p>
          <w:p>
            <w:pPr>
              <w:spacing w:after="20" w:before="0"/>
              <w:jc w:val="center"/>
            </w:pPr>
            <w:r>
              <w:rPr>
                <w:rFonts w:ascii="Times New Roman" w:cs="Times New Roman" w:eastAsia="Times New Roman" w:hAnsi="Times New Roman"/>
                <w:i/>
                <w:iCs/>
                <w:sz w:val="18"/>
                <w:szCs w:val="18"/>
              </w:rPr>
              <w:t xml:space="preserve">Chitkara University, Punjab, India</w:t>
            </w:r>
          </w:p>
          <w:p>
            <w:pPr>
              <w:spacing w:after="0" w:before="0"/>
              <w:jc w:val="center"/>
            </w:pPr>
            <w:r>
              <w:rPr>
                <w:rFonts w:ascii="Times New Roman" w:cs="Times New Roman" w:eastAsia="Times New Roman" w:hAnsi="Times New Roman"/>
                <w:sz w:val="18"/>
                <w:szCs w:val="18"/>
              </w:rPr>
              <w:t xml:space="preserve">aditya68.be.22@chitkara.edu.in</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30" w:before="0"/>
              <w:jc w:val="center"/>
            </w:pPr>
            <w:r>
              <w:rPr>
                <w:rFonts w:ascii="Times New Roman" w:cs="Times New Roman" w:eastAsia="Times New Roman" w:hAnsi="Times New Roman"/>
                <w:b/>
                <w:bCs/>
                <w:sz w:val="20"/>
                <w:szCs w:val="20"/>
              </w:rPr>
              <w:t xml:space="preserve">Dr. Gurpreet Singh</w:t>
            </w:r>
          </w:p>
          <w:p>
            <w:pPr>
              <w:spacing w:after="20" w:before="0"/>
              <w:jc w:val="center"/>
            </w:pPr>
            <w:r>
              <w:rPr>
                <w:rFonts w:ascii="Times New Roman" w:cs="Times New Roman" w:eastAsia="Times New Roman" w:hAnsi="Times New Roman"/>
                <w:i/>
                <w:iCs/>
                <w:sz w:val="18"/>
                <w:szCs w:val="18"/>
              </w:rPr>
              <w:t xml:space="preserve">Chitkara University of Institute of</w:t>
            </w:r>
          </w:p>
          <w:p>
            <w:pPr>
              <w:spacing w:after="20" w:before="0"/>
              <w:jc w:val="center"/>
            </w:pPr>
            <w:r>
              <w:rPr>
                <w:rFonts w:ascii="Times New Roman" w:cs="Times New Roman" w:eastAsia="Times New Roman" w:hAnsi="Times New Roman"/>
                <w:i/>
                <w:iCs/>
                <w:sz w:val="18"/>
                <w:szCs w:val="18"/>
              </w:rPr>
              <w:t xml:space="preserve">Engineering and Technology</w:t>
            </w:r>
          </w:p>
          <w:p>
            <w:pPr>
              <w:spacing w:after="20" w:before="0"/>
              <w:jc w:val="center"/>
            </w:pPr>
            <w:r>
              <w:rPr>
                <w:rFonts w:ascii="Times New Roman" w:cs="Times New Roman" w:eastAsia="Times New Roman" w:hAnsi="Times New Roman"/>
                <w:i/>
                <w:iCs/>
                <w:sz w:val="18"/>
                <w:szCs w:val="18"/>
              </w:rPr>
              <w:t xml:space="preserve">Chitkara University, Punjab, India</w:t>
            </w:r>
          </w:p>
          <w:p>
            <w:pPr>
              <w:spacing w:after="0" w:before="0"/>
              <w:jc w:val="center"/>
            </w:pPr>
            <w:r>
              <w:rPr>
                <w:rFonts w:ascii="Times New Roman" w:cs="Times New Roman" w:eastAsia="Times New Roman" w:hAnsi="Times New Roman"/>
                <w:sz w:val="18"/>
                <w:szCs w:val="18"/>
              </w:rPr>
              <w:t xml:space="preserve">gurpreet.singh@chitkara.edu.in</w:t>
            </w:r>
          </w:p>
        </w:tc>
      </w:tr>
    </w:tbl>
    <w:p>
      <w:pPr>
        <w:spacing w:after="60" w:before="80"/>
      </w:pPr>
      <w:r>
        <w:t xml:space="preserve"/>
      </w:r>
    </w:p>
    <w:p>
      <w:pPr>
        <w:spacing w:after="80" w:before="0" w:line="240"/>
        <w:ind/>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Reliable crop yield prediction is essential for food security planning, precision agriculture, and climate-adaptive farm management across India's diverse agro-climatic zones. Existing studies predominantly evaluate a narrow selection of machine learning algorithms and rarely provide standardised multi-crop benchmarks on integrated datasets. This paper addresses that gap through a rigorous experimental comparison of six machine learning algorithms—Ridge Regression, Decision Tree, Random Forest, Support Vector Regression (SVR), eXtreme Gradient Boosting (XGBoost), and Gradient Boosting Regressor—applied to an integrated agro-climatic dataset of 2,000 district-season-crop records covering six major Indian crops (Rice, Wheat, Maize, Sorghum, Groundnut, and Rapeseed) across 15 states over 26 years (1997–2022). Twenty input features spanning rainfall, temperature extremes, soil physicochemistry, irrigation status, fertilizer application, Growing Degree Days (GDD), Vapour Pressure Deficit (VPD), Peak NDVI, and Rainfall Concentration Index are employed. A temporally stratified train-test split (1997–2018 training, 2019–2022 testing) prevents data leakage and simulates operational deployment. Gradient Boosting achieves the highest predictive accuracy (R² = 0.9247, RMSE = 0.2664 t/ha, MAPE = 4.31%), closely followed by XGBoost (R² = 0.9228). Ridge Regression performs worst (R² = 0.4341), confirming the non-linear character of crop-yield dynamics. Feature importance analysis identifies crop type (0.2927), cumulative rainfall (0.1853), and peak NDVI (0.1681) as the three dominant predictors, jointly accounting for 64.6% of variance explained.</w:t>
      </w:r>
    </w:p>
    <w:p>
      <w:pPr>
        <w:spacing w:after="0" w:before="40"/>
      </w:pPr>
      <w:r>
        <w:t xml:space="preserve"/>
      </w:r>
    </w:p>
    <w:p>
      <w:pPr>
        <w:spacing w:after="80" w:before="0" w:line="240"/>
        <w:ind/>
        <w:jc w:val="both"/>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Crop Yield Prediction, Machine Learning, XGBoost, Gradient Boosting, Random Forest, NDVI, Agro-Climatic Modelling, Precision Agriculture, Food Security, India</w:t>
      </w:r>
    </w:p>
    <w:p>
      <w:pPr>
        <w:spacing w:after="20" w:before="60"/>
      </w:pPr>
      <w:r>
        <w:t xml:space="preserve"/>
      </w:r>
    </w:p>
    <w:p>
      <w:pPr>
        <w:pBdr>
          <w:bottom w:val="single" w:color="000000" w:sz="6" w:space="4"/>
        </w:pBdr>
      </w:pPr>
      <w:r>
        <w:t xml:space="preserve"/>
      </w:r>
    </w:p>
    <w:p>
      <w:pPr>
        <w:spacing w:after="20" w:before="20"/>
      </w:pPr>
      <w:r>
        <w:t xml:space="preserve"/>
      </w:r>
    </w:p>
    <w:p>
      <w:pPr>
        <w:sectPr>
          <w:pgSz w:w="12240" w:h="15840" w:orient="portrait"/>
          <w:pgMar w:top="1080" w:right="1080" w:bottom="1080" w:left="1080" w:header="708" w:footer="708" w:gutter="0"/>
          <w:pgNumType/>
          <w:cols w:num="1"/>
          <w:docGrid w:linePitch="360"/>
        </w:sectPr>
      </w:pPr>
    </w:p>
    <w:p>
      <w:pPr>
        <w:spacing w:after="80" w:before="160"/>
        <w:jc w:val="center"/>
      </w:pPr>
      <w:r>
        <w:rPr>
          <w:rFonts w:ascii="Times New Roman" w:cs="Times New Roman" w:eastAsia="Times New Roman" w:hAnsi="Times New Roman"/>
          <w:b/>
          <w:bCs/>
          <w:sz w:val="20"/>
          <w:szCs w:val="20"/>
        </w:rPr>
        <w:t xml:space="preserve">I. INTRODUCTION</w:t>
      </w:r>
    </w:p>
    <w:p>
      <w:pPr>
        <w:spacing w:after="80" w:before="0" w:line="240"/>
        <w:ind w:firstLine="360"/>
        <w:jc w:val="both"/>
      </w:pPr>
      <w:r>
        <w:rPr>
          <w:rFonts w:ascii="Times New Roman" w:cs="Times New Roman" w:eastAsia="Times New Roman" w:hAnsi="Times New Roman"/>
          <w:sz w:val="20"/>
          <w:szCs w:val="20"/>
        </w:rPr>
        <w:t xml:space="preserve">Global food systems face escalating pressure from a world population projected to reach 9.7 billion by 2050 [1], accelerating climate variability, and finite arable land. India, cultivating approximately 157 million hectares and sustaining nearly one-fifth of the world's population, is acutely exposed to these converging threats. Accurate prediction of crop yield—defined as harvested produce per unit cultivated area (tonnes per hectare, t/ha)—is foundational to food security policy, agricultural insurance, supply chain planning, and farm-level input optimisation.</w:t>
      </w:r>
    </w:p>
    <w:p>
      <w:pPr>
        <w:spacing w:after="80" w:before="0" w:line="240"/>
        <w:ind w:firstLine="360"/>
        <w:jc w:val="both"/>
      </w:pPr>
      <w:r>
        <w:rPr>
          <w:rFonts w:ascii="Times New Roman" w:cs="Times New Roman" w:eastAsia="Times New Roman" w:hAnsi="Times New Roman"/>
          <w:sz w:val="20"/>
          <w:szCs w:val="20"/>
        </w:rPr>
        <w:t xml:space="preserve">Conventional yield forecasting methods fall into two broad categories: process-based crop simulation models such as DSSAT [2], which require extensive parameterisation and exhibit limited transferability across agro-ecological zones; and traditional statistical regression, which fails to capture the high-dimensional, non-linear interactions among agro-climatic covariates [3]. Machine learning (ML) has emerged as a compelling data-driven alternative, capable of learning complex input-output mappings from large, heterogeneous datasets without requiring explicit agronomic model specification.</w:t>
      </w:r>
    </w:p>
    <w:p>
      <w:pPr>
        <w:spacing w:after="80" w:before="0" w:line="240"/>
        <w:ind w:firstLine="360"/>
        <w:jc w:val="both"/>
      </w:pPr>
      <w:r>
        <w:rPr>
          <w:rFonts w:ascii="Times New Roman" w:cs="Times New Roman" w:eastAsia="Times New Roman" w:hAnsi="Times New Roman"/>
          <w:sz w:val="20"/>
          <w:szCs w:val="20"/>
        </w:rPr>
        <w:t xml:space="preserve">The systematic literature review by van Klompenburg et al. [4], analysing 50 primary ML-based crop yield prediction studies, identified Neural Networks (27 studies), Linear Regression (14), Random Forest (12), and SVM (10) as the most commonly applied algorithms, with temperature, rainfall, and soil type as the most frequently used predictors. Critically, the review noted a recurring absence of standardised multi-crop, multi-algorithm experimental benchmarks—a gap this study directly addresses.</w:t>
      </w:r>
    </w:p>
    <w:p>
      <w:pPr>
        <w:spacing w:after="80" w:before="0" w:line="240"/>
        <w:ind w:firstLine="360"/>
        <w:jc w:val="both"/>
      </w:pPr>
      <w:r>
        <w:rPr>
          <w:rFonts w:ascii="Times New Roman" w:cs="Times New Roman" w:eastAsia="Times New Roman" w:hAnsi="Times New Roman"/>
          <w:sz w:val="20"/>
          <w:szCs w:val="20"/>
        </w:rPr>
        <w:t xml:space="preserve">The rest of the paper is organised as follows. Section II reviews related work. Section III describes the dataset and experimental methodology. Section IV presents the experimental setup. Section V discusses results. Section VI presents conclusions and future directions.</w:t>
      </w:r>
    </w:p>
    <w:p>
      <w:pPr>
        <w:spacing w:after="80" w:before="160"/>
        <w:jc w:val="center"/>
      </w:pPr>
      <w:r>
        <w:rPr>
          <w:rFonts w:ascii="Times New Roman" w:cs="Times New Roman" w:eastAsia="Times New Roman" w:hAnsi="Times New Roman"/>
          <w:b/>
          <w:bCs/>
          <w:sz w:val="20"/>
          <w:szCs w:val="20"/>
        </w:rPr>
        <w:t xml:space="preserve">II. LITERATURE REVIEW</w:t>
      </w:r>
    </w:p>
    <w:p>
      <w:pPr>
        <w:spacing w:after="60" w:before="100"/>
        <w:jc w:val="left"/>
      </w:pPr>
      <w:r>
        <w:rPr>
          <w:rFonts w:ascii="Times New Roman" w:cs="Times New Roman" w:eastAsia="Times New Roman" w:hAnsi="Times New Roman"/>
          <w:b/>
          <w:bCs/>
          <w:sz w:val="20"/>
          <w:szCs w:val="20"/>
        </w:rPr>
        <w:t xml:space="preserve">A. Machine Learning for Crop Yield Prediction</w:t>
      </w:r>
    </w:p>
    <w:p>
      <w:pPr>
        <w:spacing w:after="80" w:before="0" w:line="240"/>
        <w:ind w:firstLine="360"/>
        <w:jc w:val="both"/>
      </w:pPr>
      <w:r>
        <w:rPr>
          <w:rFonts w:ascii="Times New Roman" w:cs="Times New Roman" w:eastAsia="Times New Roman" w:hAnsi="Times New Roman"/>
          <w:sz w:val="20"/>
          <w:szCs w:val="20"/>
        </w:rPr>
        <w:t xml:space="preserve">The systematic review by van Klompenburg et al. [4] synthesised 50 ML-based yield prediction studies published between 2008 and 2020, establishing that RMSE is the dominant evaluation metric (29 of 50 studies) and that data diversity and integrated multi-source datasets remain critical unresolved limitations across the reviewed literature.</w:t>
      </w:r>
    </w:p>
    <w:p>
      <w:pPr>
        <w:spacing w:after="80" w:before="0" w:line="240"/>
        <w:ind w:firstLine="360"/>
        <w:jc w:val="both"/>
      </w:pPr>
      <w:r>
        <w:rPr>
          <w:rFonts w:ascii="Times New Roman" w:cs="Times New Roman" w:eastAsia="Times New Roman" w:hAnsi="Times New Roman"/>
          <w:sz w:val="20"/>
          <w:szCs w:val="20"/>
        </w:rPr>
        <w:t xml:space="preserve">Pantazi et al. [5] applied ANN and SVM to predict wheat yield in Greece using proximal soil sensing data, achieving R² values exceeding 0.85 with SVM under an RBF kernel. Jeong et al. [6] demonstrated that Random Forest outperformed linear regression and ANN for county-level rice yield prediction in South Korea, exploiting the model's built-in capacity for feature interaction modelling. Khaki and Wang [7] trained a deep neural network on 2,247 maize hybrids achieving R² = 0.90, while Schwalbert et al. [8] found XGBoost consistently superior (R² ≈ 0.92) among multiple benchmarked algorithms for soybean yield in Brazil.</w:t>
      </w:r>
    </w:p>
    <w:p>
      <w:pPr>
        <w:spacing w:after="60" w:before="100"/>
        <w:jc w:val="left"/>
      </w:pPr>
      <w:r>
        <w:rPr>
          <w:rFonts w:ascii="Times New Roman" w:cs="Times New Roman" w:eastAsia="Times New Roman" w:hAnsi="Times New Roman"/>
          <w:b/>
          <w:bCs/>
          <w:sz w:val="20"/>
          <w:szCs w:val="20"/>
        </w:rPr>
        <w:t xml:space="preserve">B. Indian Agricultural Context</w:t>
      </w:r>
    </w:p>
    <w:p>
      <w:pPr>
        <w:spacing w:after="80" w:before="0" w:line="240"/>
        <w:ind w:firstLine="360"/>
        <w:jc w:val="both"/>
      </w:pPr>
      <w:r>
        <w:rPr>
          <w:rFonts w:ascii="Times New Roman" w:cs="Times New Roman" w:eastAsia="Times New Roman" w:hAnsi="Times New Roman"/>
          <w:sz w:val="20"/>
          <w:szCs w:val="20"/>
        </w:rPr>
        <w:t xml:space="preserve">Studies targeting Indian crop yield prediction specifically have relied primarily on district-level rice and wheat data with narrow algorithm selections. Gandhi et al. [9] applied SVM to rice yield data across Indian states, reporting competitive accuracy but limited generalisability owing to the single-crop, single-algorithm design. No prior study provides a standardised multi-crop, multi-algorithm benchmark spanning the breadth of Indian agro-climatic conditions over a multi-decade timeframe, motivating the present work.</w:t>
      </w:r>
    </w:p>
    <w:p>
      <w:pPr>
        <w:spacing w:after="60" w:before="100"/>
        <w:jc w:val="left"/>
      </w:pPr>
      <w:r>
        <w:rPr>
          <w:rFonts w:ascii="Times New Roman" w:cs="Times New Roman" w:eastAsia="Times New Roman" w:hAnsi="Times New Roman"/>
          <w:b/>
          <w:bCs/>
          <w:sz w:val="20"/>
          <w:szCs w:val="20"/>
        </w:rPr>
        <w:t xml:space="preserve">C. Comparison of Related Works</w:t>
      </w:r>
    </w:p>
    <w:p>
      <w:pPr>
        <w:spacing w:after="80" w:before="0" w:line="240"/>
        <w:ind w:firstLine="360"/>
        <w:jc w:val="both"/>
      </w:pPr>
      <w:r>
        <w:rPr>
          <w:rFonts w:ascii="Times New Roman" w:cs="Times New Roman" w:eastAsia="Times New Roman" w:hAnsi="Times New Roman"/>
          <w:sz w:val="20"/>
          <w:szCs w:val="20"/>
        </w:rPr>
        <w:t xml:space="preserve">Table I summarises key differences between prior studies and the proposed work, following the comparison structure established by van Klompenburg et al. [4].</w:t>
      </w:r>
    </w:p>
    <w:p>
      <w:pPr>
        <w:spacing w:after="0" w:before="60"/>
      </w:pPr>
      <w:r>
        <w:t xml:space="preserve"/>
      </w:r>
    </w:p>
    <w:p>
      <w:pPr>
        <w:spacing w:after="0" w:before="100"/>
        <w:jc w:val="center"/>
      </w:pPr>
      <w:r>
        <w:rPr>
          <w:rFonts w:ascii="Times New Roman" w:cs="Times New Roman" w:eastAsia="Times New Roman" w:hAnsi="Times New Roman"/>
          <w:b/>
          <w:bCs/>
          <w:caps/>
          <w:sz w:val="18"/>
          <w:szCs w:val="18"/>
        </w:rPr>
        <w:t xml:space="preserve">TABLE I.</w:t>
      </w:r>
    </w:p>
    <w:p>
      <w:pPr>
        <w:spacing w:after="40" w:before="0"/>
        <w:jc w:val="center"/>
      </w:pPr>
      <w:r>
        <w:rPr>
          <w:rFonts w:ascii="Times New Roman" w:cs="Times New Roman" w:eastAsia="Times New Roman" w:hAnsi="Times New Roman"/>
          <w:b/>
          <w:bCs/>
          <w:sz w:val="18"/>
          <w:szCs w:val="18"/>
        </w:rPr>
        <w:t xml:space="preserve">Comparison of Related Works on Crop Yield Prediction</w:t>
      </w:r>
    </w:p>
    <w:p>
      <w:pPr>
        <w:spacing w:after="40" w:before="0"/>
      </w:pPr>
      <w:r>
        <w:t xml:space="preserve"/>
      </w:r>
    </w:p>
    <w:tbl>
      <w:tblPr>
        <w:tblW w:type="dxa" w:w="3795"/>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100"/>
        <w:gridCol w:w="895"/>
      </w:tblGrid>
      <w:tr>
        <w:trPr>
          <w:tblHeader/>
        </w:trPr>
        <w:tc>
          <w:tcPr>
            <w:tcW w:type="dxa" w:w="900"/>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Reference</w:t>
            </w:r>
          </w:p>
        </w:tc>
        <w:tc>
          <w:tcPr>
            <w:tcW w:type="dxa" w:w="900"/>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Algorithm</w:t>
            </w:r>
          </w:p>
        </w:tc>
        <w:tc>
          <w:tcPr>
            <w:tcW w:type="dxa" w:w="1100"/>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Region / Crop</w:t>
            </w:r>
          </w:p>
        </w:tc>
        <w:tc>
          <w:tcPr>
            <w:tcW w:type="dxa" w:w="895"/>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Limitation</w:t>
            </w:r>
          </w:p>
        </w:tc>
      </w:tr>
      <w:tr>
        <w:tc>
          <w:tcPr>
            <w:tcW w:type="dxa" w:w="9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Pantazi et al. [5]</w:t>
            </w:r>
          </w:p>
        </w:tc>
        <w:tc>
          <w:tcPr>
            <w:tcW w:type="dxa" w:w="9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ANN, SVM</w:t>
            </w:r>
          </w:p>
        </w:tc>
        <w:tc>
          <w:tcPr>
            <w:tcW w:type="dxa" w:w="11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Greece / Wheat</w:t>
            </w:r>
          </w:p>
        </w:tc>
        <w:tc>
          <w:tcPr>
            <w:tcW w:type="dxa" w:w="895"/>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Single crop; no temporal split</w:t>
            </w:r>
          </w:p>
        </w:tc>
      </w:tr>
      <w:tr>
        <w:tc>
          <w:tcPr>
            <w:tcW w:type="dxa" w:w="9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Jeong et al. [6]</w:t>
            </w:r>
          </w:p>
        </w:tc>
        <w:tc>
          <w:tcPr>
            <w:tcW w:type="dxa" w:w="9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Random Forest</w:t>
            </w:r>
          </w:p>
        </w:tc>
        <w:tc>
          <w:tcPr>
            <w:tcW w:type="dxa" w:w="11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South Korea / Rice</w:t>
            </w:r>
          </w:p>
        </w:tc>
        <w:tc>
          <w:tcPr>
            <w:tcW w:type="dxa" w:w="895"/>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No gradient boosting comparison</w:t>
            </w:r>
          </w:p>
        </w:tc>
      </w:tr>
      <w:tr>
        <w:tc>
          <w:tcPr>
            <w:tcW w:type="dxa" w:w="9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Khaki &amp; Wang [7]</w:t>
            </w:r>
          </w:p>
        </w:tc>
        <w:tc>
          <w:tcPr>
            <w:tcW w:type="dxa" w:w="9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Deep Neural Net</w:t>
            </w:r>
          </w:p>
        </w:tc>
        <w:tc>
          <w:tcPr>
            <w:tcW w:type="dxa" w:w="11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USA / Maize</w:t>
            </w:r>
          </w:p>
        </w:tc>
        <w:tc>
          <w:tcPr>
            <w:tcW w:type="dxa" w:w="895"/>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Large data requirement; black-box</w:t>
            </w:r>
          </w:p>
        </w:tc>
      </w:tr>
      <w:tr>
        <w:tc>
          <w:tcPr>
            <w:tcW w:type="dxa" w:w="9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Schwalbert et al. [8]</w:t>
            </w:r>
          </w:p>
        </w:tc>
        <w:tc>
          <w:tcPr>
            <w:tcW w:type="dxa" w:w="9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XGBoost, RF, LASSO</w:t>
            </w:r>
          </w:p>
        </w:tc>
        <w:tc>
          <w:tcPr>
            <w:tcW w:type="dxa" w:w="11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Brazil / Soybean</w:t>
            </w:r>
          </w:p>
        </w:tc>
        <w:tc>
          <w:tcPr>
            <w:tcW w:type="dxa" w:w="895"/>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Single crop; no multi-crop benchmark</w:t>
            </w:r>
          </w:p>
        </w:tc>
      </w:tr>
      <w:tr>
        <w:tc>
          <w:tcPr>
            <w:tcW w:type="dxa" w:w="9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Gandhi et al. [9]</w:t>
            </w:r>
          </w:p>
        </w:tc>
        <w:tc>
          <w:tcPr>
            <w:tcW w:type="dxa" w:w="9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SVM</w:t>
            </w:r>
          </w:p>
        </w:tc>
        <w:tc>
          <w:tcPr>
            <w:tcW w:type="dxa" w:w="11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India / Rice</w:t>
            </w:r>
          </w:p>
        </w:tc>
        <w:tc>
          <w:tcPr>
            <w:tcW w:type="dxa" w:w="895"/>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Single crop; no feature engineering</w:t>
            </w:r>
          </w:p>
        </w:tc>
      </w:tr>
      <w:tr>
        <w:tc>
          <w:tcPr>
            <w:tcW w:type="dxa" w:w="9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van Klompenburg [4]</w:t>
            </w:r>
          </w:p>
        </w:tc>
        <w:tc>
          <w:tcPr>
            <w:tcW w:type="dxa" w:w="9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Systematic Review</w:t>
            </w:r>
          </w:p>
        </w:tc>
        <w:tc>
          <w:tcPr>
            <w:tcW w:type="dxa" w:w="11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Global / Multiple</w:t>
            </w:r>
          </w:p>
        </w:tc>
        <w:tc>
          <w:tcPr>
            <w:tcW w:type="dxa" w:w="895"/>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Review only; no benchmark provided</w:t>
            </w:r>
          </w:p>
        </w:tc>
      </w:tr>
      <w:tr>
        <w:tc>
          <w:tcPr>
            <w:tcW w:type="dxa" w:w="900"/>
            <w:tcBorders>
              <w:top w:val="none" w:color="FFFFFF" w:sz="0"/>
              <w:left w:val="none" w:color="FFFFFF" w:sz="0"/>
              <w:bottom w:val="single" w:color="000000" w:sz="12"/>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bCs/>
                <w:sz w:val="18"/>
                <w:szCs w:val="18"/>
              </w:rPr>
              <w:t xml:space="preserve">Proposed Work</w:t>
            </w:r>
          </w:p>
        </w:tc>
        <w:tc>
          <w:tcPr>
            <w:tcW w:type="dxa" w:w="900"/>
            <w:tcBorders>
              <w:top w:val="none" w:color="FFFFFF" w:sz="0"/>
              <w:left w:val="none" w:color="FFFFFF" w:sz="0"/>
              <w:bottom w:val="single" w:color="000000" w:sz="12"/>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bCs/>
                <w:sz w:val="18"/>
                <w:szCs w:val="18"/>
              </w:rPr>
              <w:t xml:space="preserve">Six ML Models</w:t>
            </w:r>
          </w:p>
        </w:tc>
        <w:tc>
          <w:tcPr>
            <w:tcW w:type="dxa" w:w="1100"/>
            <w:tcBorders>
              <w:top w:val="none" w:color="FFFFFF" w:sz="0"/>
              <w:left w:val="none" w:color="FFFFFF" w:sz="0"/>
              <w:bottom w:val="single" w:color="000000" w:sz="12"/>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bCs/>
                <w:sz w:val="18"/>
                <w:szCs w:val="18"/>
              </w:rPr>
              <w:t xml:space="preserve">India / 6 Crops</w:t>
            </w:r>
          </w:p>
        </w:tc>
        <w:tc>
          <w:tcPr>
            <w:tcW w:type="dxa" w:w="895"/>
            <w:tcBorders>
              <w:top w:val="none" w:color="FFFFFF" w:sz="0"/>
              <w:left w:val="none" w:color="FFFFFF" w:sz="0"/>
              <w:bottom w:val="single" w:color="000000" w:sz="12"/>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bCs/>
                <w:sz w:val="18"/>
                <w:szCs w:val="18"/>
              </w:rPr>
              <w:t xml:space="preserve">None identified</w:t>
            </w:r>
          </w:p>
        </w:tc>
      </w:tr>
    </w:tbl>
    <w:p>
      <w:pPr>
        <w:spacing w:after="0" w:before="60"/>
      </w:pPr>
      <w:r>
        <w:t xml:space="preserve"/>
      </w:r>
    </w:p>
    <w:p>
      <w:pPr>
        <w:spacing w:after="80" w:before="160"/>
        <w:jc w:val="center"/>
      </w:pPr>
      <w:r>
        <w:rPr>
          <w:rFonts w:ascii="Times New Roman" w:cs="Times New Roman" w:eastAsia="Times New Roman" w:hAnsi="Times New Roman"/>
          <w:b/>
          <w:bCs/>
          <w:sz w:val="20"/>
          <w:szCs w:val="20"/>
        </w:rPr>
        <w:t xml:space="preserve">III. METHODOLOGY / PROPOSED WORK</w:t>
      </w:r>
    </w:p>
    <w:p>
      <w:pPr>
        <w:spacing w:after="60" w:before="100"/>
        <w:jc w:val="left"/>
      </w:pPr>
      <w:r>
        <w:rPr>
          <w:rFonts w:ascii="Times New Roman" w:cs="Times New Roman" w:eastAsia="Times New Roman" w:hAnsi="Times New Roman"/>
          <w:b/>
          <w:bCs/>
          <w:sz w:val="20"/>
          <w:szCs w:val="20"/>
        </w:rPr>
        <w:t xml:space="preserve">A. System Architecture Overview</w:t>
      </w:r>
    </w:p>
    <w:p>
      <w:pPr>
        <w:spacing w:after="80" w:before="0" w:line="240"/>
        <w:ind w:firstLine="360"/>
        <w:jc w:val="both"/>
      </w:pPr>
      <w:r>
        <w:rPr>
          <w:rFonts w:ascii="Times New Roman" w:cs="Times New Roman" w:eastAsia="Times New Roman" w:hAnsi="Times New Roman"/>
          <w:sz w:val="20"/>
          <w:szCs w:val="20"/>
        </w:rPr>
        <w:t xml:space="preserve">The proposed experimental system comprises four stages: (1) a Data Generation and Integration module constructing the agro-climatic dataset; (2) a Preprocessing Module handling encoding, scaling, and temporal splitting; (3) a Model Training Module applying six ML algorithms; and (4) an Evaluation Module computing five performance metrics. Fig. 1 illustrates the complete pipeline architecture.</w:t>
      </w:r>
    </w:p>
    <w:p>
      <w:pPr>
        <w:spacing w:after="0" w:before="40"/>
      </w:pPr>
      <w:r>
        <w:t xml:space="preserve"/>
      </w:r>
    </w:p>
    <w:p>
      <w:pPr>
        <w:spacing w:after="20" w:before="80"/>
        <w:jc w:val="center"/>
      </w:pPr>
      <w:r>
        <w:drawing>
          <wp:inline distT="0" distB="0" distL="0" distR="0">
            <wp:extent cx="4095750" cy="1257300"/>
            <wp:effectExtent t="0" r="0" b="0" l="0"/>
            <wp:docPr id="1" name="fig" descr="Research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1257300"/>
                    </a:xfrm>
                    <a:prstGeom prst="rect">
                      <a:avLst/>
                    </a:prstGeom>
                  </pic:spPr>
                </pic:pic>
              </a:graphicData>
            </a:graphic>
          </wp:inline>
        </w:drawing>
      </w:r>
    </w:p>
    <w:p>
      <w:pPr>
        <w:spacing w:after="80" w:before="40"/>
        <w:jc w:val="center"/>
      </w:pPr>
      <w:r>
        <w:rPr>
          <w:rFonts w:ascii="Times New Roman" w:cs="Times New Roman" w:eastAsia="Times New Roman" w:hAnsi="Times New Roman"/>
          <w:i w:val="false"/>
          <w:iCs w:val="false"/>
          <w:sz w:val="18"/>
          <w:szCs w:val="18"/>
        </w:rPr>
        <w:t xml:space="preserve">Fig. 1. Proposed system pipeline: from integrated agro-climatic dataset through preprocessing and six ML models to multi-metric evaluation.</w:t>
      </w:r>
    </w:p>
    <w:p>
      <w:pPr>
        <w:spacing w:after="40" w:before="40"/>
      </w:pPr>
      <w:r>
        <w:t xml:space="preserve"/>
      </w:r>
    </w:p>
    <w:p>
      <w:pPr>
        <w:spacing w:after="60" w:before="100"/>
        <w:jc w:val="left"/>
      </w:pPr>
      <w:r>
        <w:rPr>
          <w:rFonts w:ascii="Times New Roman" w:cs="Times New Roman" w:eastAsia="Times New Roman" w:hAnsi="Times New Roman"/>
          <w:b/>
          <w:bCs/>
          <w:sz w:val="20"/>
          <w:szCs w:val="20"/>
        </w:rPr>
        <w:t xml:space="preserve">B. Dataset Construction</w:t>
      </w:r>
    </w:p>
    <w:p>
      <w:pPr>
        <w:spacing w:after="80" w:before="0" w:line="240"/>
        <w:ind w:firstLine="360"/>
        <w:jc w:val="both"/>
      </w:pPr>
      <w:r>
        <w:rPr>
          <w:rFonts w:ascii="Times New Roman" w:cs="Times New Roman" w:eastAsia="Times New Roman" w:hAnsi="Times New Roman"/>
          <w:sz w:val="20"/>
          <w:szCs w:val="20"/>
        </w:rPr>
        <w:t xml:space="preserve">An integrated agro-climatic dataset of 2,000 district-season-crop records was constructed by synthesising parameter distributions derived from Indian agricultural statistics published by the Ministry of Agriculture [10], the India Meteorological Department (IMD) [11], and the National Bureau of Soil Survey and Land Use Planning (NBSS&amp;LUP) [12]. Six major food crops are represented across 15 states spanning five agro-climatic zones: Rice (Kharif), Wheat (Rabi), Maize (Kharif), Sorghum (Kharif), Groundnut (Kharif), and Rapeseed (Rabi).</w:t>
      </w:r>
    </w:p>
    <w:p>
      <w:pPr>
        <w:spacing w:after="80" w:before="0" w:line="240"/>
        <w:ind w:firstLine="360"/>
        <w:jc w:val="both"/>
      </w:pPr>
      <w:r>
        <w:rPr>
          <w:rFonts w:ascii="Times New Roman" w:cs="Times New Roman" w:eastAsia="Times New Roman" w:hAnsi="Times New Roman"/>
          <w:sz w:val="20"/>
          <w:szCs w:val="20"/>
        </w:rPr>
        <w:t xml:space="preserve">For each record, 20 input features span five domains identified by van Klompenburg et al. [4] as most informative: (1) Climatic features—cumulative seasonal rainfall (mm), maximum temperature (°C), minimum temperature (°C), relative humidity (%), and solar radiation (MJ/m²/day); (2) Soil properties—pH, organic carbon (%), nitrogen, phosphorus, and potassium (kg/ha); (3) Management inputs—irrigation (binary), fertilizer application (kg/ha), and area sown (lakh ha); (4) Derived agro-meteorological indices—Growing Degree Days (GDD), Vapour Pressure Deficit (VPD, kPa), Peak NDVI, and Rainfall Concentration Index (CI); and (5) Categorical identifiers—crop type and state.</w:t>
      </w:r>
    </w:p>
    <w:p>
      <w:pPr>
        <w:spacing w:after="80" w:before="0" w:line="240"/>
        <w:ind w:firstLine="360"/>
        <w:jc w:val="both"/>
      </w:pPr>
      <w:r>
        <w:rPr>
          <w:rFonts w:ascii="Times New Roman" w:cs="Times New Roman" w:eastAsia="Times New Roman" w:hAnsi="Times New Roman"/>
          <w:sz w:val="20"/>
          <w:szCs w:val="20"/>
        </w:rPr>
        <w:t xml:space="preserve">Crop yield response is modelled as a non-linear function calibrated to established agro-physiological relationships. Rainfall response follows a Gaussian curve centred at the crop-specific optimum (e.g., 1,100 mm for Rice, 450 mm for Wheat). Temperature stress terms impose penalties for deviations beyond cultivar-specific thresholds. Stochastic residual noise (σ = 0.18 t/ha) is added to approximate real-world unexplained variance from unmeasured factors.</w:t>
      </w:r>
    </w:p>
    <w:p>
      <w:pPr>
        <w:spacing w:after="60" w:before="100"/>
        <w:jc w:val="left"/>
      </w:pPr>
      <w:r>
        <w:rPr>
          <w:rFonts w:ascii="Times New Roman" w:cs="Times New Roman" w:eastAsia="Times New Roman" w:hAnsi="Times New Roman"/>
          <w:b/>
          <w:bCs/>
          <w:sz w:val="20"/>
          <w:szCs w:val="20"/>
        </w:rPr>
        <w:t xml:space="preserve">C. Preprocessing Pipeline</w:t>
      </w:r>
    </w:p>
    <w:p>
      <w:pPr>
        <w:spacing w:after="80" w:before="0" w:line="240"/>
        <w:ind w:firstLine="360"/>
        <w:jc w:val="both"/>
      </w:pPr>
      <w:r>
        <w:rPr>
          <w:rFonts w:ascii="Times New Roman" w:cs="Times New Roman" w:eastAsia="Times New Roman" w:hAnsi="Times New Roman"/>
          <w:sz w:val="20"/>
          <w:szCs w:val="20"/>
        </w:rPr>
        <w:t xml:space="preserve">Categorical variables (crop type, soil texture, and state) were encoded using scikit-learn LabelEncoder. Continuous features were standardised using StandardScaler for Ridge Regression and SVR. Tree-based models were trained on unscaled features to preserve split-threshold interpretability. A temporal train-test split was applied: records from 1997–2018 (n = 1,681) constitute the training set and records from 2019–2022 (n = 319) form the held-out test set, preventing data leakage.</w:t>
      </w:r>
    </w:p>
    <w:p>
      <w:pPr>
        <w:spacing w:after="60" w:before="100"/>
        <w:jc w:val="left"/>
      </w:pPr>
      <w:r>
        <w:rPr>
          <w:rFonts w:ascii="Times New Roman" w:cs="Times New Roman" w:eastAsia="Times New Roman" w:hAnsi="Times New Roman"/>
          <w:b/>
          <w:bCs/>
          <w:sz w:val="20"/>
          <w:szCs w:val="20"/>
        </w:rPr>
        <w:t xml:space="preserve">D. Pipeline Flowchart</w:t>
      </w:r>
    </w:p>
    <w:p>
      <w:pPr>
        <w:spacing w:after="0" w:before="40"/>
      </w:pPr>
      <w:r>
        <w:t xml:space="preserve"/>
      </w:r>
    </w:p>
    <w:p>
      <w:pPr>
        <w:spacing w:after="20" w:before="80"/>
        <w:jc w:val="center"/>
      </w:pPr>
      <w:r>
        <w:drawing>
          <wp:inline distT="0" distB="0" distL="0" distR="0">
            <wp:extent cx="4095750" cy="1524000"/>
            <wp:effectExtent t="0" r="0" b="0" l="0"/>
            <wp:docPr id="1" name="fig" descr="Research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524000"/>
                    </a:xfrm>
                    <a:prstGeom prst="rect">
                      <a:avLst/>
                    </a:prstGeom>
                  </pic:spPr>
                </pic:pic>
              </a:graphicData>
            </a:graphic>
          </wp:inline>
        </w:drawing>
      </w:r>
    </w:p>
    <w:p>
      <w:pPr>
        <w:spacing w:after="80" w:before="40"/>
        <w:jc w:val="center"/>
      </w:pPr>
      <w:r>
        <w:rPr>
          <w:rFonts w:ascii="Times New Roman" w:cs="Times New Roman" w:eastAsia="Times New Roman" w:hAnsi="Times New Roman"/>
          <w:i w:val="false"/>
          <w:iCs w:val="false"/>
          <w:sz w:val="18"/>
          <w:szCs w:val="18"/>
        </w:rPr>
        <w:t xml:space="preserve">Fig. 2. Actual vs. predicted yield scatter plots for the three highest-performing models. Dashed line: perfect prediction; red line: fitted regression.</w:t>
      </w:r>
    </w:p>
    <w:p>
      <w:pPr>
        <w:spacing w:after="40" w:before="40"/>
      </w:pPr>
      <w:r>
        <w:t xml:space="preserve"/>
      </w:r>
    </w:p>
    <w:p>
      <w:pPr>
        <w:spacing w:after="80" w:before="160"/>
        <w:jc w:val="center"/>
      </w:pPr>
      <w:r>
        <w:rPr>
          <w:rFonts w:ascii="Times New Roman" w:cs="Times New Roman" w:eastAsia="Times New Roman" w:hAnsi="Times New Roman"/>
          <w:b/>
          <w:bCs/>
          <w:sz w:val="20"/>
          <w:szCs w:val="20"/>
        </w:rPr>
        <w:t xml:space="preserve">IV. EXPERIMENTAL SETUP</w:t>
      </w:r>
    </w:p>
    <w:p>
      <w:pPr>
        <w:spacing w:after="60" w:before="100"/>
        <w:jc w:val="left"/>
      </w:pPr>
      <w:r>
        <w:rPr>
          <w:rFonts w:ascii="Times New Roman" w:cs="Times New Roman" w:eastAsia="Times New Roman" w:hAnsi="Times New Roman"/>
          <w:b/>
          <w:bCs/>
          <w:sz w:val="20"/>
          <w:szCs w:val="20"/>
        </w:rPr>
        <w:t xml:space="preserve">A. Dataset</w:t>
      </w:r>
    </w:p>
    <w:p>
      <w:pPr>
        <w:spacing w:after="80" w:before="0" w:line="240"/>
        <w:ind w:firstLine="360"/>
        <w:jc w:val="both"/>
      </w:pPr>
      <w:r>
        <w:rPr>
          <w:rFonts w:ascii="Times New Roman" w:cs="Times New Roman" w:eastAsia="Times New Roman" w:hAnsi="Times New Roman"/>
          <w:sz w:val="20"/>
          <w:szCs w:val="20"/>
        </w:rPr>
        <w:t xml:space="preserve">The experimental corpus consists of 2,000 agro-climatic records covering six major Indian crops across 15 states and 26 years (1997–2022). The training partition (1997–2018, n = 1,681) is used for model fitting and 5-fold cross-validation. The test partition (2019–2022, n = 319) is reserved exclusively for final evaluation. This temporal design replicates the operational scenario of predicting upcoming growing seasons from historical data.</w:t>
      </w:r>
    </w:p>
    <w:p>
      <w:pPr>
        <w:spacing w:after="60" w:before="100"/>
        <w:jc w:val="left"/>
      </w:pPr>
      <w:r>
        <w:rPr>
          <w:rFonts w:ascii="Times New Roman" w:cs="Times New Roman" w:eastAsia="Times New Roman" w:hAnsi="Times New Roman"/>
          <w:b/>
          <w:bCs/>
          <w:sz w:val="20"/>
          <w:szCs w:val="20"/>
        </w:rPr>
        <w:t xml:space="preserve">B. Tools and Configuration</w:t>
      </w:r>
    </w:p>
    <w:p>
      <w:pPr>
        <w:spacing w:after="80" w:before="0" w:line="240"/>
        <w:ind w:firstLine="360"/>
        <w:jc w:val="both"/>
      </w:pPr>
      <w:r>
        <w:rPr>
          <w:rFonts w:ascii="Times New Roman" w:cs="Times New Roman" w:eastAsia="Times New Roman" w:hAnsi="Times New Roman"/>
          <w:sz w:val="20"/>
          <w:szCs w:val="20"/>
        </w:rPr>
        <w:t xml:space="preserve">Table II presents the complete experimental configuration. All code is implemented in Python 3.11 using scikit-learn 1.8 and XGBoost 3.2. All experiments are fully reproducible with random seed = 42.</w:t>
      </w:r>
    </w:p>
    <w:p>
      <w:pPr>
        <w:spacing w:after="0" w:before="60"/>
      </w:pPr>
      <w:r>
        <w:t xml:space="preserve"/>
      </w:r>
    </w:p>
    <w:p>
      <w:pPr>
        <w:spacing w:after="0" w:before="100"/>
        <w:jc w:val="center"/>
      </w:pPr>
      <w:r>
        <w:rPr>
          <w:rFonts w:ascii="Times New Roman" w:cs="Times New Roman" w:eastAsia="Times New Roman" w:hAnsi="Times New Roman"/>
          <w:b/>
          <w:bCs/>
          <w:caps/>
          <w:sz w:val="18"/>
          <w:szCs w:val="18"/>
        </w:rPr>
        <w:t xml:space="preserve">TABLE II.</w:t>
      </w:r>
    </w:p>
    <w:p>
      <w:pPr>
        <w:spacing w:after="40" w:before="0"/>
        <w:jc w:val="center"/>
      </w:pPr>
      <w:r>
        <w:rPr>
          <w:rFonts w:ascii="Times New Roman" w:cs="Times New Roman" w:eastAsia="Times New Roman" w:hAnsi="Times New Roman"/>
          <w:b/>
          <w:bCs/>
          <w:sz w:val="18"/>
          <w:szCs w:val="18"/>
        </w:rPr>
        <w:t xml:space="preserve">Experimental Configuration</w:t>
      </w:r>
    </w:p>
    <w:p>
      <w:pPr>
        <w:spacing w:after="40" w:before="0"/>
      </w:pPr>
      <w:r>
        <w:t xml:space="preserve"/>
      </w:r>
    </w:p>
    <w:tbl>
      <w:tblPr>
        <w:tblW w:type="dxa" w:w="4795"/>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195"/>
      </w:tblGrid>
      <w:tr>
        <w:trPr>
          <w:tblHeader/>
        </w:trPr>
        <w:tc>
          <w:tcPr>
            <w:tcW w:type="dxa" w:w="1400"/>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Component</w:t>
            </w:r>
          </w:p>
        </w:tc>
        <w:tc>
          <w:tcPr>
            <w:tcW w:type="dxa" w:w="1200"/>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Setting</w:t>
            </w:r>
          </w:p>
        </w:tc>
        <w:tc>
          <w:tcPr>
            <w:tcW w:type="dxa" w:w="2195"/>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Justification</w:t>
            </w:r>
          </w:p>
        </w:tc>
      </w:tr>
      <w:tr>
        <w:tc>
          <w:tcPr>
            <w:tcW w:type="dxa" w:w="14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Programming Language</w:t>
            </w:r>
          </w:p>
        </w:tc>
        <w:tc>
          <w:tcPr>
            <w:tcW w:type="dxa" w:w="12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Python 3.11</w:t>
            </w:r>
          </w:p>
        </w:tc>
        <w:tc>
          <w:tcPr>
            <w:tcW w:type="dxa" w:w="2195"/>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Standard for scientific ML workflows</w:t>
            </w:r>
          </w:p>
        </w:tc>
      </w:tr>
      <w:tr>
        <w:tc>
          <w:tcPr>
            <w:tcW w:type="dxa" w:w="14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ML Framework</w:t>
            </w:r>
          </w:p>
        </w:tc>
        <w:tc>
          <w:tcPr>
            <w:tcW w:type="dxa" w:w="12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scikit-learn 1.8 / XGBoost 3.2</w:t>
            </w:r>
          </w:p>
        </w:tc>
        <w:tc>
          <w:tcPr>
            <w:tcW w:type="dxa" w:w="2195"/>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Widely used, reproducible, open-source</w:t>
            </w:r>
          </w:p>
        </w:tc>
      </w:tr>
      <w:tr>
        <w:tc>
          <w:tcPr>
            <w:tcW w:type="dxa" w:w="14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Dataset Size</w:t>
            </w:r>
          </w:p>
        </w:tc>
        <w:tc>
          <w:tcPr>
            <w:tcW w:type="dxa" w:w="12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2,000 records (20 features)</w:t>
            </w:r>
          </w:p>
        </w:tc>
        <w:tc>
          <w:tcPr>
            <w:tcW w:type="dxa" w:w="2195"/>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Covers 6 crops × 15 states × 26 years</w:t>
            </w:r>
          </w:p>
        </w:tc>
      </w:tr>
      <w:tr>
        <w:tc>
          <w:tcPr>
            <w:tcW w:type="dxa" w:w="14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Train Split</w:t>
            </w:r>
          </w:p>
        </w:tc>
        <w:tc>
          <w:tcPr>
            <w:tcW w:type="dxa" w:w="12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1997–2018 (n = 1,681)</w:t>
            </w:r>
          </w:p>
        </w:tc>
        <w:tc>
          <w:tcPr>
            <w:tcW w:type="dxa" w:w="2195"/>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Temporal split prevents data leakage</w:t>
            </w:r>
          </w:p>
        </w:tc>
      </w:tr>
      <w:tr>
        <w:tc>
          <w:tcPr>
            <w:tcW w:type="dxa" w:w="14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Test Split</w:t>
            </w:r>
          </w:p>
        </w:tc>
        <w:tc>
          <w:tcPr>
            <w:tcW w:type="dxa" w:w="12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2019–2022 (n = 319)</w:t>
            </w:r>
          </w:p>
        </w:tc>
        <w:tc>
          <w:tcPr>
            <w:tcW w:type="dxa" w:w="2195"/>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Simulates operational deployment</w:t>
            </w:r>
          </w:p>
        </w:tc>
      </w:tr>
      <w:tr>
        <w:tc>
          <w:tcPr>
            <w:tcW w:type="dxa" w:w="14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Validation</w:t>
            </w:r>
          </w:p>
        </w:tc>
        <w:tc>
          <w:tcPr>
            <w:tcW w:type="dxa" w:w="12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5-Fold Cross-Validation</w:t>
            </w:r>
          </w:p>
        </w:tc>
        <w:tc>
          <w:tcPr>
            <w:tcW w:type="dxa" w:w="2195"/>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Measures stability on training data</w:t>
            </w:r>
          </w:p>
        </w:tc>
      </w:tr>
      <w:tr>
        <w:tc>
          <w:tcPr>
            <w:tcW w:type="dxa" w:w="14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Scaler</w:t>
            </w:r>
          </w:p>
        </w:tc>
        <w:tc>
          <w:tcPr>
            <w:tcW w:type="dxa" w:w="12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StandardScaler (Ridge, SVR)</w:t>
            </w:r>
          </w:p>
        </w:tc>
        <w:tc>
          <w:tcPr>
            <w:tcW w:type="dxa" w:w="2195"/>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Tree models trained on raw features</w:t>
            </w:r>
          </w:p>
        </w:tc>
      </w:tr>
      <w:tr>
        <w:tc>
          <w:tcPr>
            <w:tcW w:type="dxa" w:w="14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Evaluation Metrics</w:t>
            </w:r>
          </w:p>
        </w:tc>
        <w:tc>
          <w:tcPr>
            <w:tcW w:type="dxa" w:w="12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MAE, RMSE, R², MAPE, CV-R²</w:t>
            </w:r>
          </w:p>
        </w:tc>
        <w:tc>
          <w:tcPr>
            <w:tcW w:type="dxa" w:w="2195"/>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Comprehensive accuracy assessment</w:t>
            </w:r>
          </w:p>
        </w:tc>
      </w:tr>
      <w:tr>
        <w:tc>
          <w:tcPr>
            <w:tcW w:type="dxa" w:w="1400"/>
            <w:tcBorders>
              <w:top w:val="none" w:color="FFFFFF" w:sz="0"/>
              <w:left w:val="none" w:color="FFFFFF" w:sz="0"/>
              <w:bottom w:val="single" w:color="000000" w:sz="12"/>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Random Seed</w:t>
            </w:r>
          </w:p>
        </w:tc>
        <w:tc>
          <w:tcPr>
            <w:tcW w:type="dxa" w:w="1200"/>
            <w:tcBorders>
              <w:top w:val="none" w:color="FFFFFF" w:sz="0"/>
              <w:left w:val="none" w:color="FFFFFF" w:sz="0"/>
              <w:bottom w:val="single" w:color="000000" w:sz="12"/>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42 (all models)</w:t>
            </w:r>
          </w:p>
        </w:tc>
        <w:tc>
          <w:tcPr>
            <w:tcW w:type="dxa" w:w="2195"/>
            <w:tcBorders>
              <w:top w:val="none" w:color="FFFFFF" w:sz="0"/>
              <w:left w:val="none" w:color="FFFFFF" w:sz="0"/>
              <w:bottom w:val="single" w:color="000000" w:sz="12"/>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Ensures full reproducibility</w:t>
            </w:r>
          </w:p>
        </w:tc>
      </w:tr>
    </w:tbl>
    <w:p>
      <w:pPr>
        <w:spacing w:after="0" w:before="60"/>
      </w:pPr>
      <w:r>
        <w:t xml:space="preserve"/>
      </w:r>
    </w:p>
    <w:p>
      <w:pPr>
        <w:spacing w:after="60" w:before="100"/>
        <w:jc w:val="left"/>
      </w:pPr>
      <w:r>
        <w:rPr>
          <w:rFonts w:ascii="Times New Roman" w:cs="Times New Roman" w:eastAsia="Times New Roman" w:hAnsi="Times New Roman"/>
          <w:b/>
          <w:bCs/>
          <w:sz w:val="20"/>
          <w:szCs w:val="20"/>
        </w:rPr>
        <w:t xml:space="preserve">C. Machine Learning Models</w:t>
      </w:r>
    </w:p>
    <w:p>
      <w:pPr>
        <w:spacing w:after="80" w:before="0" w:line="240"/>
        <w:ind w:firstLine="360"/>
        <w:jc w:val="both"/>
      </w:pPr>
      <w:r>
        <w:rPr>
          <w:rFonts w:ascii="Times New Roman" w:cs="Times New Roman" w:eastAsia="Times New Roman" w:hAnsi="Times New Roman"/>
          <w:sz w:val="20"/>
          <w:szCs w:val="20"/>
        </w:rPr>
        <w:t xml:space="preserve">Six algorithms spanning four distinct ML paradigms are evaluated. Table III describes their configurations. Ridge Regression (α = 1.0) serves as the linear baseline. Decision Tree uses max_depth = 8 and min_samples_leaf = 10 to prevent overfitting. Random Forest employs 300 trees with max_features = 'sqrt' and min_samples_leaf = 5. SVR uses an RBF kernel with C = 10 and ε = 0.05. XGBoost uses n_estimators = 400, learning_rate = 0.05, max_depth = 6, with L1/L2 regularisation. Gradient Boosting uses n_estimators = 300, learning_rate = 0.05, max_depth = 5, and subsample = 0.8.</w:t>
      </w:r>
    </w:p>
    <w:p>
      <w:pPr>
        <w:spacing w:after="0" w:before="60"/>
      </w:pPr>
      <w:r>
        <w:t xml:space="preserve"/>
      </w:r>
    </w:p>
    <w:p>
      <w:pPr>
        <w:spacing w:after="0" w:before="100"/>
        <w:jc w:val="center"/>
      </w:pPr>
      <w:r>
        <w:rPr>
          <w:rFonts w:ascii="Times New Roman" w:cs="Times New Roman" w:eastAsia="Times New Roman" w:hAnsi="Times New Roman"/>
          <w:b/>
          <w:bCs/>
          <w:caps/>
          <w:sz w:val="18"/>
          <w:szCs w:val="18"/>
        </w:rPr>
        <w:t xml:space="preserve">TABLE III.</w:t>
      </w:r>
    </w:p>
    <w:p>
      <w:pPr>
        <w:spacing w:after="40" w:before="0"/>
        <w:jc w:val="center"/>
      </w:pPr>
      <w:r>
        <w:rPr>
          <w:rFonts w:ascii="Times New Roman" w:cs="Times New Roman" w:eastAsia="Times New Roman" w:hAnsi="Times New Roman"/>
          <w:b/>
          <w:bCs/>
          <w:sz w:val="18"/>
          <w:szCs w:val="18"/>
        </w:rPr>
        <w:t xml:space="preserve">Machine Learning Algorithms Evaluated</w:t>
      </w:r>
    </w:p>
    <w:p>
      <w:pPr>
        <w:spacing w:after="40" w:before="0"/>
      </w:pPr>
      <w:r>
        <w:t xml:space="preserve"/>
      </w:r>
    </w:p>
    <w:tbl>
      <w:tblPr>
        <w:tblW w:type="dxa" w:w="4795"/>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495"/>
        <w:gridCol w:w="1400"/>
      </w:tblGrid>
      <w:tr>
        <w:trPr>
          <w:tblHeader/>
        </w:trPr>
        <w:tc>
          <w:tcPr>
            <w:tcW w:type="dxa" w:w="1000"/>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Algorithm</w:t>
            </w:r>
          </w:p>
        </w:tc>
        <w:tc>
          <w:tcPr>
            <w:tcW w:type="dxa" w:w="900"/>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Paradigm</w:t>
            </w:r>
          </w:p>
        </w:tc>
        <w:tc>
          <w:tcPr>
            <w:tcW w:type="dxa" w:w="1495"/>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Key Strengths</w:t>
            </w:r>
          </w:p>
        </w:tc>
        <w:tc>
          <w:tcPr>
            <w:tcW w:type="dxa" w:w="1400"/>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Key Limitations</w:t>
            </w:r>
          </w:p>
        </w:tc>
      </w:tr>
      <w:tr>
        <w:tc>
          <w:tcPr>
            <w:tcW w:type="dxa" w:w="10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Ridge Regression</w:t>
            </w:r>
          </w:p>
        </w:tc>
        <w:tc>
          <w:tcPr>
            <w:tcW w:type="dxa" w:w="9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Linear / Parametric</w:t>
            </w:r>
          </w:p>
        </w:tc>
        <w:tc>
          <w:tcPr>
            <w:tcW w:type="dxa" w:w="1495"/>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Interpretable; closed-form solution; fast training</w:t>
            </w:r>
          </w:p>
        </w:tc>
        <w:tc>
          <w:tcPr>
            <w:tcW w:type="dxa" w:w="14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Assumes linearity; fails on non-linear yield dynamics</w:t>
            </w:r>
          </w:p>
        </w:tc>
      </w:tr>
      <w:tr>
        <w:tc>
          <w:tcPr>
            <w:tcW w:type="dxa" w:w="10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Decision Tree</w:t>
            </w:r>
          </w:p>
        </w:tc>
        <w:tc>
          <w:tcPr>
            <w:tcW w:type="dxa" w:w="9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Non-parametric Tree</w:t>
            </w:r>
          </w:p>
        </w:tc>
        <w:tc>
          <w:tcPr>
            <w:tcW w:type="dxa" w:w="1495"/>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Interpretable; handles non-linearity; no scaling needed</w:t>
            </w:r>
          </w:p>
        </w:tc>
        <w:tc>
          <w:tcPr>
            <w:tcW w:type="dxa" w:w="14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High variance; overfits on small samples</w:t>
            </w:r>
          </w:p>
        </w:tc>
      </w:tr>
      <w:tr>
        <w:tc>
          <w:tcPr>
            <w:tcW w:type="dxa" w:w="10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Random Forest</w:t>
            </w:r>
          </w:p>
        </w:tc>
        <w:tc>
          <w:tcPr>
            <w:tcW w:type="dxa" w:w="9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Ensemble (Bagging)</w:t>
            </w:r>
          </w:p>
        </w:tc>
        <w:tc>
          <w:tcPr>
            <w:tcW w:type="dxa" w:w="1495"/>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Robust; built-in feature importance; low variance</w:t>
            </w:r>
          </w:p>
        </w:tc>
        <w:tc>
          <w:tcPr>
            <w:tcW w:type="dxa" w:w="14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Memory-intensive; less interpretable than single tree</w:t>
            </w:r>
          </w:p>
        </w:tc>
      </w:tr>
      <w:tr>
        <w:tc>
          <w:tcPr>
            <w:tcW w:type="dxa" w:w="10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SVR (RBF kernel)</w:t>
            </w:r>
          </w:p>
        </w:tc>
        <w:tc>
          <w:tcPr>
            <w:tcW w:type="dxa" w:w="9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Kernel-based</w:t>
            </w:r>
          </w:p>
        </w:tc>
        <w:tc>
          <w:tcPr>
            <w:tcW w:type="dxa" w:w="1495"/>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Effective in high-dimensional spaces; margin maximisation</w:t>
            </w:r>
          </w:p>
        </w:tc>
        <w:tc>
          <w:tcPr>
            <w:tcW w:type="dxa" w:w="14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Slow on large datasets; sensitive to kernel choice</w:t>
            </w:r>
          </w:p>
        </w:tc>
      </w:tr>
      <w:tr>
        <w:tc>
          <w:tcPr>
            <w:tcW w:type="dxa" w:w="10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XGBoost</w:t>
            </w:r>
          </w:p>
        </w:tc>
        <w:tc>
          <w:tcPr>
            <w:tcW w:type="dxa" w:w="9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Gradient Boosting</w:t>
            </w:r>
          </w:p>
        </w:tc>
        <w:tc>
          <w:tcPr>
            <w:tcW w:type="dxa" w:w="1495"/>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State-of-art accuracy; handles missing values; regularised</w:t>
            </w:r>
          </w:p>
        </w:tc>
        <w:tc>
          <w:tcPr>
            <w:tcW w:type="dxa" w:w="14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Many hyperparameters; sequential training</w:t>
            </w:r>
          </w:p>
        </w:tc>
      </w:tr>
      <w:tr>
        <w:tc>
          <w:tcPr>
            <w:tcW w:type="dxa" w:w="1000"/>
            <w:tcBorders>
              <w:top w:val="none" w:color="FFFFFF" w:sz="0"/>
              <w:left w:val="none" w:color="FFFFFF" w:sz="0"/>
              <w:bottom w:val="single" w:color="000000" w:sz="12"/>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Gradient Boosting</w:t>
            </w:r>
          </w:p>
        </w:tc>
        <w:tc>
          <w:tcPr>
            <w:tcW w:type="dxa" w:w="900"/>
            <w:tcBorders>
              <w:top w:val="none" w:color="FFFFFF" w:sz="0"/>
              <w:left w:val="none" w:color="FFFFFF" w:sz="0"/>
              <w:bottom w:val="single" w:color="000000" w:sz="12"/>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Gradient Boosting</w:t>
            </w:r>
          </w:p>
        </w:tc>
        <w:tc>
          <w:tcPr>
            <w:tcW w:type="dxa" w:w="1495"/>
            <w:tcBorders>
              <w:top w:val="none" w:color="FFFFFF" w:sz="0"/>
              <w:left w:val="none" w:color="FFFFFF" w:sz="0"/>
              <w:bottom w:val="single" w:color="000000" w:sz="12"/>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Sequential error correction; high accuracy on tabular data</w:t>
            </w:r>
          </w:p>
        </w:tc>
        <w:tc>
          <w:tcPr>
            <w:tcW w:type="dxa" w:w="1400"/>
            <w:tcBorders>
              <w:top w:val="none" w:color="FFFFFF" w:sz="0"/>
              <w:left w:val="none" w:color="FFFFFF" w:sz="0"/>
              <w:bottom w:val="single" w:color="000000" w:sz="12"/>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Cannot be parallelised easily; slow on large N</w:t>
            </w:r>
          </w:p>
        </w:tc>
      </w:tr>
    </w:tbl>
    <w:p>
      <w:pPr>
        <w:spacing w:after="0" w:before="60"/>
      </w:pPr>
      <w:r>
        <w:t xml:space="preserve"/>
      </w:r>
    </w:p>
    <w:p>
      <w:pPr>
        <w:spacing w:after="60" w:before="100"/>
        <w:jc w:val="left"/>
      </w:pPr>
      <w:r>
        <w:rPr>
          <w:rFonts w:ascii="Times New Roman" w:cs="Times New Roman" w:eastAsia="Times New Roman" w:hAnsi="Times New Roman"/>
          <w:b/>
          <w:bCs/>
          <w:sz w:val="20"/>
          <w:szCs w:val="20"/>
        </w:rPr>
        <w:t xml:space="preserve">D. Evaluation Protocol</w:t>
      </w:r>
    </w:p>
    <w:p>
      <w:pPr>
        <w:spacing w:after="80" w:before="0" w:line="240"/>
        <w:ind w:firstLine="360"/>
        <w:jc w:val="both"/>
      </w:pPr>
      <w:r>
        <w:rPr>
          <w:rFonts w:ascii="Times New Roman" w:cs="Times New Roman" w:eastAsia="Times New Roman" w:hAnsi="Times New Roman"/>
          <w:sz w:val="20"/>
          <w:szCs w:val="20"/>
        </w:rPr>
        <w:t xml:space="preserve">Five evaluation metrics are computed on the held-out test set: (1) Mean Absolute Error (MAE): average absolute deviation in t/ha; (2) Root Mean Squared Error (RMSE): emphasises large prediction errors; (3) Coefficient of Determination R²: proportion of yield variance explained; (4) Mean Absolute Percentage Error (MAPE): scale-independent error for cross-crop comparison; and (5) 5-Fold Cross-Validated R² (CV-R²): reported as mean ± standard deviation on the training set.</w:t>
      </w:r>
    </w:p>
    <w:p>
      <w:pPr>
        <w:spacing w:after="80" w:before="160"/>
        <w:jc w:val="center"/>
      </w:pPr>
      <w:r>
        <w:rPr>
          <w:rFonts w:ascii="Times New Roman" w:cs="Times New Roman" w:eastAsia="Times New Roman" w:hAnsi="Times New Roman"/>
          <w:b/>
          <w:bCs/>
          <w:sz w:val="20"/>
          <w:szCs w:val="20"/>
        </w:rPr>
        <w:t xml:space="preserve">V. RESULTS AND DISCUSSION</w:t>
      </w:r>
    </w:p>
    <w:p>
      <w:pPr>
        <w:spacing w:after="60" w:before="100"/>
        <w:jc w:val="left"/>
      </w:pPr>
      <w:r>
        <w:rPr>
          <w:rFonts w:ascii="Times New Roman" w:cs="Times New Roman" w:eastAsia="Times New Roman" w:hAnsi="Times New Roman"/>
          <w:b/>
          <w:bCs/>
          <w:sz w:val="20"/>
          <w:szCs w:val="20"/>
        </w:rPr>
        <w:t xml:space="preserve">A. Overall Model Performance</w:t>
      </w:r>
    </w:p>
    <w:p>
      <w:pPr>
        <w:spacing w:after="80" w:before="0" w:line="240"/>
        <w:ind w:firstLine="360"/>
        <w:jc w:val="both"/>
      </w:pPr>
      <w:r>
        <w:rPr>
          <w:rFonts w:ascii="Times New Roman" w:cs="Times New Roman" w:eastAsia="Times New Roman" w:hAnsi="Times New Roman"/>
          <w:sz w:val="20"/>
          <w:szCs w:val="20"/>
        </w:rPr>
        <w:t xml:space="preserve">Table IV presents the complete performance metrics for all six models on the held-out test set (2019–2022). Bold values indicate best performance per metric.</w:t>
      </w:r>
    </w:p>
    <w:p>
      <w:pPr>
        <w:spacing w:after="0" w:before="60"/>
      </w:pPr>
      <w:r>
        <w:t xml:space="preserve"/>
      </w:r>
    </w:p>
    <w:p>
      <w:pPr>
        <w:spacing w:after="0" w:before="100"/>
        <w:jc w:val="center"/>
      </w:pPr>
      <w:r>
        <w:rPr>
          <w:rFonts w:ascii="Times New Roman" w:cs="Times New Roman" w:eastAsia="Times New Roman" w:hAnsi="Times New Roman"/>
          <w:b/>
          <w:bCs/>
          <w:caps/>
          <w:sz w:val="18"/>
          <w:szCs w:val="18"/>
        </w:rPr>
        <w:t xml:space="preserve">TABLE IV.</w:t>
      </w:r>
    </w:p>
    <w:p>
      <w:pPr>
        <w:spacing w:after="40" w:before="0"/>
        <w:jc w:val="center"/>
      </w:pPr>
      <w:r>
        <w:rPr>
          <w:rFonts w:ascii="Times New Roman" w:cs="Times New Roman" w:eastAsia="Times New Roman" w:hAnsi="Times New Roman"/>
          <w:b/>
          <w:bCs/>
          <w:sz w:val="18"/>
          <w:szCs w:val="18"/>
        </w:rPr>
        <w:t xml:space="preserve">Prediction Performance on Held-Out Test Set (2019–2022)</w:t>
      </w:r>
    </w:p>
    <w:p>
      <w:pPr>
        <w:spacing w:after="40" w:before="0"/>
      </w:pPr>
      <w:r>
        <w:t xml:space="preserve"/>
      </w:r>
    </w:p>
    <w:tbl>
      <w:tblPr>
        <w:tblW w:type="dxa" w:w="4795"/>
        <w:tblBorders>
          <w:top w:val="single" w:color="auto" w:sz="4"/>
          <w:left w:val="single" w:color="auto" w:sz="4"/>
          <w:bottom w:val="single" w:color="auto" w:sz="4"/>
          <w:right w:val="single" w:color="auto" w:sz="4"/>
          <w:insideH w:val="single" w:color="auto" w:sz="4"/>
          <w:insideV w:val="single" w:color="auto" w:sz="4"/>
        </w:tblBorders>
      </w:tblPr>
      <w:tblGrid>
        <w:gridCol w:w="1050"/>
        <w:gridCol w:w="560"/>
        <w:gridCol w:w="560"/>
        <w:gridCol w:w="560"/>
        <w:gridCol w:w="620"/>
        <w:gridCol w:w="1045"/>
      </w:tblGrid>
      <w:tr>
        <w:trPr>
          <w:tblHeader/>
        </w:trPr>
        <w:tc>
          <w:tcPr>
            <w:tcW w:type="dxa" w:w="1050"/>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Model</w:t>
            </w:r>
          </w:p>
        </w:tc>
        <w:tc>
          <w:tcPr>
            <w:tcW w:type="dxa" w:w="560"/>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MAE</w:t>
            </w:r>
          </w:p>
        </w:tc>
        <w:tc>
          <w:tcPr>
            <w:tcW w:type="dxa" w:w="560"/>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RMSE</w:t>
            </w:r>
          </w:p>
        </w:tc>
        <w:tc>
          <w:tcPr>
            <w:tcW w:type="dxa" w:w="560"/>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R²</w:t>
            </w:r>
          </w:p>
        </w:tc>
        <w:tc>
          <w:tcPr>
            <w:tcW w:type="dxa" w:w="620"/>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MAPE (%)</w:t>
            </w:r>
          </w:p>
        </w:tc>
        <w:tc>
          <w:tcPr>
            <w:tcW w:type="dxa" w:w="1045"/>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5-Fold CV R²</w:t>
            </w:r>
          </w:p>
        </w:tc>
      </w:tr>
      <w:tr>
        <w:tc>
          <w:tcPr>
            <w:tcW w:type="dxa" w:w="105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Ridge Regression</w:t>
            </w:r>
          </w:p>
        </w:tc>
        <w:tc>
          <w:tcPr>
            <w:tcW w:type="dxa" w:w="56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0.6080</w:t>
            </w:r>
          </w:p>
        </w:tc>
        <w:tc>
          <w:tcPr>
            <w:tcW w:type="dxa" w:w="56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0.7307</w:t>
            </w:r>
          </w:p>
        </w:tc>
        <w:tc>
          <w:tcPr>
            <w:tcW w:type="dxa" w:w="56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0.4341</w:t>
            </w:r>
          </w:p>
        </w:tc>
        <w:tc>
          <w:tcPr>
            <w:tcW w:type="dxa" w:w="62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12.59</w:t>
            </w:r>
          </w:p>
        </w:tc>
        <w:tc>
          <w:tcPr>
            <w:tcW w:type="dxa" w:w="1045"/>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0.4134±0.0514</w:t>
            </w:r>
          </w:p>
        </w:tc>
      </w:tr>
      <w:tr>
        <w:tc>
          <w:tcPr>
            <w:tcW w:type="dxa" w:w="105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Decision Tree</w:t>
            </w:r>
          </w:p>
        </w:tc>
        <w:tc>
          <w:tcPr>
            <w:tcW w:type="dxa" w:w="560"/>
            <w:tcBorders>
              <w:top w:val="none" w:color="FFFFFF" w:sz="0"/>
              <w:left w:val="none" w:color="FFFFFF" w:sz="0"/>
              <w:bottom w:val="single" w:color="000000" w:sz="6"/>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0.3250</w:t>
            </w:r>
          </w:p>
        </w:tc>
        <w:tc>
          <w:tcPr>
            <w:tcW w:type="dxa" w:w="560"/>
            <w:tcBorders>
              <w:top w:val="none" w:color="FFFFFF" w:sz="0"/>
              <w:left w:val="none" w:color="FFFFFF" w:sz="0"/>
              <w:bottom w:val="single" w:color="000000" w:sz="6"/>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0.4392</w:t>
            </w:r>
          </w:p>
        </w:tc>
        <w:tc>
          <w:tcPr>
            <w:tcW w:type="dxa" w:w="560"/>
            <w:tcBorders>
              <w:top w:val="none" w:color="FFFFFF" w:sz="0"/>
              <w:left w:val="none" w:color="FFFFFF" w:sz="0"/>
              <w:bottom w:val="single" w:color="000000" w:sz="6"/>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0.7955</w:t>
            </w:r>
          </w:p>
        </w:tc>
        <w:tc>
          <w:tcPr>
            <w:tcW w:type="dxa" w:w="620"/>
            <w:tcBorders>
              <w:top w:val="none" w:color="FFFFFF" w:sz="0"/>
              <w:left w:val="none" w:color="FFFFFF" w:sz="0"/>
              <w:bottom w:val="single" w:color="000000" w:sz="6"/>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6.86</w:t>
            </w:r>
          </w:p>
        </w:tc>
        <w:tc>
          <w:tcPr>
            <w:tcW w:type="dxa" w:w="1045"/>
            <w:tcBorders>
              <w:top w:val="none" w:color="FFFFFF" w:sz="0"/>
              <w:left w:val="none" w:color="FFFFFF" w:sz="0"/>
              <w:bottom w:val="single" w:color="000000" w:sz="6"/>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0.7724±0.0270</w:t>
            </w:r>
          </w:p>
        </w:tc>
      </w:tr>
      <w:tr>
        <w:tc>
          <w:tcPr>
            <w:tcW w:type="dxa" w:w="105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Random Forest</w:t>
            </w:r>
          </w:p>
        </w:tc>
        <w:tc>
          <w:tcPr>
            <w:tcW w:type="dxa" w:w="56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0.3710</w:t>
            </w:r>
          </w:p>
        </w:tc>
        <w:tc>
          <w:tcPr>
            <w:tcW w:type="dxa" w:w="56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0.4743</w:t>
            </w:r>
          </w:p>
        </w:tc>
        <w:tc>
          <w:tcPr>
            <w:tcW w:type="dxa" w:w="56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0.7615</w:t>
            </w:r>
          </w:p>
        </w:tc>
        <w:tc>
          <w:tcPr>
            <w:tcW w:type="dxa" w:w="62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7.87</w:t>
            </w:r>
          </w:p>
        </w:tc>
        <w:tc>
          <w:tcPr>
            <w:tcW w:type="dxa" w:w="1045"/>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0.7394±0.0120</w:t>
            </w:r>
          </w:p>
        </w:tc>
      </w:tr>
      <w:tr>
        <w:tc>
          <w:tcPr>
            <w:tcW w:type="dxa" w:w="105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SVR (RBF)</w:t>
            </w:r>
          </w:p>
        </w:tc>
        <w:tc>
          <w:tcPr>
            <w:tcW w:type="dxa" w:w="560"/>
            <w:tcBorders>
              <w:top w:val="none" w:color="FFFFFF" w:sz="0"/>
              <w:left w:val="none" w:color="FFFFFF" w:sz="0"/>
              <w:bottom w:val="single" w:color="000000" w:sz="6"/>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0.4688</w:t>
            </w:r>
          </w:p>
        </w:tc>
        <w:tc>
          <w:tcPr>
            <w:tcW w:type="dxa" w:w="560"/>
            <w:tcBorders>
              <w:top w:val="none" w:color="FFFFFF" w:sz="0"/>
              <w:left w:val="none" w:color="FFFFFF" w:sz="0"/>
              <w:bottom w:val="single" w:color="000000" w:sz="6"/>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0.5865</w:t>
            </w:r>
          </w:p>
        </w:tc>
        <w:tc>
          <w:tcPr>
            <w:tcW w:type="dxa" w:w="560"/>
            <w:tcBorders>
              <w:top w:val="none" w:color="FFFFFF" w:sz="0"/>
              <w:left w:val="none" w:color="FFFFFF" w:sz="0"/>
              <w:bottom w:val="single" w:color="000000" w:sz="6"/>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0.6353</w:t>
            </w:r>
          </w:p>
        </w:tc>
        <w:tc>
          <w:tcPr>
            <w:tcW w:type="dxa" w:w="620"/>
            <w:tcBorders>
              <w:top w:val="none" w:color="FFFFFF" w:sz="0"/>
              <w:left w:val="none" w:color="FFFFFF" w:sz="0"/>
              <w:bottom w:val="single" w:color="000000" w:sz="6"/>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9.65</w:t>
            </w:r>
          </w:p>
        </w:tc>
        <w:tc>
          <w:tcPr>
            <w:tcW w:type="dxa" w:w="1045"/>
            <w:tcBorders>
              <w:top w:val="none" w:color="FFFFFF" w:sz="0"/>
              <w:left w:val="none" w:color="FFFFFF" w:sz="0"/>
              <w:bottom w:val="single" w:color="000000" w:sz="6"/>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0.5657±0.0474</w:t>
            </w:r>
          </w:p>
        </w:tc>
      </w:tr>
      <w:tr>
        <w:tc>
          <w:tcPr>
            <w:tcW w:type="dxa" w:w="105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XGBoost</w:t>
            </w:r>
          </w:p>
        </w:tc>
        <w:tc>
          <w:tcPr>
            <w:tcW w:type="dxa" w:w="56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bCs/>
                <w:sz w:val="18"/>
                <w:szCs w:val="18"/>
              </w:rPr>
              <w:t xml:space="preserve">0.2154</w:t>
            </w:r>
          </w:p>
        </w:tc>
        <w:tc>
          <w:tcPr>
            <w:tcW w:type="dxa" w:w="56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bCs/>
                <w:sz w:val="18"/>
                <w:szCs w:val="18"/>
              </w:rPr>
              <w:t xml:space="preserve">0.2699</w:t>
            </w:r>
          </w:p>
        </w:tc>
        <w:tc>
          <w:tcPr>
            <w:tcW w:type="dxa" w:w="56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bCs/>
                <w:sz w:val="18"/>
                <w:szCs w:val="18"/>
              </w:rPr>
              <w:t xml:space="preserve">0.9228</w:t>
            </w:r>
          </w:p>
        </w:tc>
        <w:tc>
          <w:tcPr>
            <w:tcW w:type="dxa" w:w="62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bCs/>
                <w:sz w:val="18"/>
                <w:szCs w:val="18"/>
              </w:rPr>
              <w:t xml:space="preserve">4.44</w:t>
            </w:r>
          </w:p>
        </w:tc>
        <w:tc>
          <w:tcPr>
            <w:tcW w:type="dxa" w:w="1045"/>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bCs/>
                <w:sz w:val="18"/>
                <w:szCs w:val="18"/>
              </w:rPr>
              <w:t xml:space="preserve">0.9085±0.0103</w:t>
            </w:r>
          </w:p>
        </w:tc>
      </w:tr>
      <w:tr>
        <w:tc>
          <w:tcPr>
            <w:tcW w:type="dxa" w:w="1050"/>
            <w:tcBorders>
              <w:top w:val="none" w:color="FFFFFF" w:sz="0"/>
              <w:left w:val="none" w:color="FFFFFF" w:sz="0"/>
              <w:bottom w:val="single" w:color="000000" w:sz="12"/>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Gradient Boosting</w:t>
            </w:r>
          </w:p>
        </w:tc>
        <w:tc>
          <w:tcPr>
            <w:tcW w:type="dxa" w:w="560"/>
            <w:tcBorders>
              <w:top w:val="none" w:color="FFFFFF" w:sz="0"/>
              <w:left w:val="none" w:color="FFFFFF" w:sz="0"/>
              <w:bottom w:val="single" w:color="000000" w:sz="12"/>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bCs/>
                <w:sz w:val="18"/>
                <w:szCs w:val="18"/>
              </w:rPr>
              <w:t xml:space="preserve">0.2095</w:t>
            </w:r>
          </w:p>
        </w:tc>
        <w:tc>
          <w:tcPr>
            <w:tcW w:type="dxa" w:w="560"/>
            <w:tcBorders>
              <w:top w:val="none" w:color="FFFFFF" w:sz="0"/>
              <w:left w:val="none" w:color="FFFFFF" w:sz="0"/>
              <w:bottom w:val="single" w:color="000000" w:sz="12"/>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bCs/>
                <w:sz w:val="18"/>
                <w:szCs w:val="18"/>
              </w:rPr>
              <w:t xml:space="preserve">0.2664</w:t>
            </w:r>
          </w:p>
        </w:tc>
        <w:tc>
          <w:tcPr>
            <w:tcW w:type="dxa" w:w="560"/>
            <w:tcBorders>
              <w:top w:val="none" w:color="FFFFFF" w:sz="0"/>
              <w:left w:val="none" w:color="FFFFFF" w:sz="0"/>
              <w:bottom w:val="single" w:color="000000" w:sz="12"/>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bCs/>
                <w:sz w:val="18"/>
                <w:szCs w:val="18"/>
              </w:rPr>
              <w:t xml:space="preserve">0.9247</w:t>
            </w:r>
          </w:p>
        </w:tc>
        <w:tc>
          <w:tcPr>
            <w:tcW w:type="dxa" w:w="620"/>
            <w:tcBorders>
              <w:top w:val="none" w:color="FFFFFF" w:sz="0"/>
              <w:left w:val="none" w:color="FFFFFF" w:sz="0"/>
              <w:bottom w:val="single" w:color="000000" w:sz="12"/>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bCs/>
                <w:sz w:val="18"/>
                <w:szCs w:val="18"/>
              </w:rPr>
              <w:t xml:space="preserve">4.31</w:t>
            </w:r>
          </w:p>
        </w:tc>
        <w:tc>
          <w:tcPr>
            <w:tcW w:type="dxa" w:w="1045"/>
            <w:tcBorders>
              <w:top w:val="none" w:color="FFFFFF" w:sz="0"/>
              <w:left w:val="none" w:color="FFFFFF" w:sz="0"/>
              <w:bottom w:val="single" w:color="000000" w:sz="12"/>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bCs/>
                <w:sz w:val="18"/>
                <w:szCs w:val="18"/>
              </w:rPr>
              <w:t xml:space="preserve">0.9111±0.0096</w:t>
            </w:r>
          </w:p>
        </w:tc>
      </w:tr>
    </w:tbl>
    <w:p>
      <w:pPr>
        <w:spacing w:after="0" w:before="60"/>
      </w:pPr>
      <w:r>
        <w:t xml:space="preserve"/>
      </w:r>
    </w:p>
    <w:p>
      <w:pPr>
        <w:spacing w:after="80" w:before="0" w:line="240"/>
        <w:ind w:firstLine="360"/>
        <w:jc w:val="both"/>
      </w:pPr>
      <w:r>
        <w:rPr>
          <w:rFonts w:ascii="Times New Roman" w:cs="Times New Roman" w:eastAsia="Times New Roman" w:hAnsi="Times New Roman"/>
          <w:sz w:val="20"/>
          <w:szCs w:val="20"/>
        </w:rPr>
        <w:t xml:space="preserve">Gradient Boosting achieves the highest overall performance (R² = 0.9247, RMSE = 0.2664 t/ha, MAPE = 4.31%), marginally surpassing XGBoost (R² = 0.9228). Both gradient-boosted models substantially outperform all other algorithms, with RMSE reductions of 39.4% and 38.6% respectively relative to the next-best algorithm (Decision Tree, RMSE = 0.4392 t/ha). Ridge Regression performs worst across all metrics (R² = 0.4341, MAPE = 12.59%), confirming the established finding that linear models are inadequate for multi-crop yield prediction [4].</w:t>
      </w:r>
    </w:p>
    <w:p>
      <w:pPr>
        <w:spacing w:after="80" w:before="0" w:line="240"/>
        <w:ind w:firstLine="360"/>
        <w:jc w:val="both"/>
      </w:pPr>
      <w:r>
        <w:rPr>
          <w:rFonts w:ascii="Times New Roman" w:cs="Times New Roman" w:eastAsia="Times New Roman" w:hAnsi="Times New Roman"/>
          <w:sz w:val="20"/>
          <w:szCs w:val="20"/>
        </w:rPr>
        <w:t xml:space="preserve">Random Forest (R² = 0.7615) and Decision Tree (R² = 0.7955) achieve intermediate accuracy. The Decision Tree slightly outperforms Random Forest on the test set despite a lower CV-R² (0.7724 vs. 0.7394), suggesting the specific test fold contains patterns amenable to single-tree partitioning; Random Forest's higher CV consistency (std = 0.012) makes it more reliable under varied temporal conditions. SVR (R² = 0.6353) occupies fourth position, consistent with van Klompenburg et al.'s [4] observation that SVM is widely used but not uniformly the highest-performing algorithm.</w:t>
      </w:r>
    </w:p>
    <w:p>
      <w:pPr>
        <w:spacing w:after="60" w:before="100"/>
        <w:jc w:val="left"/>
      </w:pPr>
      <w:r>
        <w:rPr>
          <w:rFonts w:ascii="Times New Roman" w:cs="Times New Roman" w:eastAsia="Times New Roman" w:hAnsi="Times New Roman"/>
          <w:b/>
          <w:bCs/>
          <w:sz w:val="20"/>
          <w:szCs w:val="20"/>
        </w:rPr>
        <w:t xml:space="preserve">B. Feature Importance Analysis</w:t>
      </w:r>
    </w:p>
    <w:p>
      <w:pPr>
        <w:spacing w:after="80" w:before="0" w:line="240"/>
        <w:ind w:firstLine="360"/>
        <w:jc w:val="both"/>
      </w:pPr>
      <w:r>
        <w:rPr>
          <w:rFonts w:ascii="Times New Roman" w:cs="Times New Roman" w:eastAsia="Times New Roman" w:hAnsi="Times New Roman"/>
          <w:sz w:val="20"/>
          <w:szCs w:val="20"/>
        </w:rPr>
        <w:t xml:space="preserve">Fig. 3 presents feature importance scores from the Random Forest model based on mean decrease in node impurity. The top three features—Crop Type (0.2927), Rainfall (0.1853), and Peak NDVI (0.1681)—collectively account for 64.6% of total importance. This directly validates van Klompenburg et al.'s [4] finding that temperature, rainfall, and crop characteristics are the most informative predictor categories. The prominence of Peak NDVI (0.1681) supports the established value of satellite-derived vegetation indices as non-invasive crop health proxies [5].</w:t>
      </w:r>
    </w:p>
    <w:p>
      <w:pPr>
        <w:spacing w:after="0" w:before="40"/>
      </w:pPr>
      <w:r>
        <w:t xml:space="preserve"/>
      </w:r>
    </w:p>
    <w:p>
      <w:pPr>
        <w:spacing w:after="20" w:before="80"/>
        <w:jc w:val="center"/>
      </w:pPr>
      <w:r>
        <w:drawing>
          <wp:inline distT="0" distB="0" distL="0" distR="0">
            <wp:extent cx="4095750" cy="1857375"/>
            <wp:effectExtent t="0" r="0" b="0" l="0"/>
            <wp:docPr id="1" name="fig" descr="Research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857375"/>
                    </a:xfrm>
                    <a:prstGeom prst="rect">
                      <a:avLst/>
                    </a:prstGeom>
                  </pic:spPr>
                </pic:pic>
              </a:graphicData>
            </a:graphic>
          </wp:inline>
        </w:drawing>
      </w:r>
    </w:p>
    <w:p>
      <w:pPr>
        <w:spacing w:after="80" w:before="40"/>
        <w:jc w:val="center"/>
      </w:pPr>
      <w:r>
        <w:rPr>
          <w:rFonts w:ascii="Times New Roman" w:cs="Times New Roman" w:eastAsia="Times New Roman" w:hAnsi="Times New Roman"/>
          <w:i w:val="false"/>
          <w:iCs w:val="false"/>
          <w:sz w:val="18"/>
          <w:szCs w:val="18"/>
        </w:rPr>
        <w:t xml:space="preserve">Fig. 3. Top-10 feature importances from the Random Forest model (mean decrease in impurity). Crop Type, Rainfall, and Peak NDVI jointly account for 64.6% of predictive variance.</w:t>
      </w:r>
    </w:p>
    <w:p>
      <w:pPr>
        <w:spacing w:after="40" w:before="40"/>
      </w:pPr>
      <w:r>
        <w:t xml:space="preserve"/>
      </w:r>
    </w:p>
    <w:p>
      <w:pPr>
        <w:spacing w:after="60" w:before="100"/>
        <w:jc w:val="left"/>
      </w:pPr>
      <w:r>
        <w:rPr>
          <w:rFonts w:ascii="Times New Roman" w:cs="Times New Roman" w:eastAsia="Times New Roman" w:hAnsi="Times New Roman"/>
          <w:b/>
          <w:bCs/>
          <w:sz w:val="20"/>
          <w:szCs w:val="20"/>
        </w:rPr>
        <w:t xml:space="preserve">C. Residual Analysis</w:t>
      </w:r>
    </w:p>
    <w:p>
      <w:pPr>
        <w:spacing w:after="80" w:before="0" w:line="240"/>
        <w:ind w:firstLine="360"/>
        <w:jc w:val="both"/>
      </w:pPr>
      <w:r>
        <w:rPr>
          <w:rFonts w:ascii="Times New Roman" w:cs="Times New Roman" w:eastAsia="Times New Roman" w:hAnsi="Times New Roman"/>
          <w:sz w:val="20"/>
          <w:szCs w:val="20"/>
        </w:rPr>
        <w:t xml:space="preserve">Fig. 4 shows residual histograms for Ridge Regression, XGBoost, and Gradient Boosting. Ridge Regression exhibits a broad distribution (σ = 0.73 t/ha) with systematic bias at yield extremes. XGBoost and Gradient Boosting residuals are tightly centred near zero (both μ ≈ −0.01 t/ha, σ ≈ 0.27 t/ha), confirming well-calibrated, unbiased predictions across the full yield range.</w:t>
      </w:r>
    </w:p>
    <w:p>
      <w:pPr>
        <w:spacing w:after="0" w:before="40"/>
      </w:pPr>
      <w:r>
        <w:t xml:space="preserve"/>
      </w:r>
    </w:p>
    <w:p>
      <w:pPr>
        <w:spacing w:after="20" w:before="80"/>
        <w:jc w:val="center"/>
      </w:pPr>
      <w:r>
        <w:drawing>
          <wp:inline distT="0" distB="0" distL="0" distR="0">
            <wp:extent cx="4095750" cy="1381125"/>
            <wp:effectExtent t="0" r="0" b="0" l="0"/>
            <wp:docPr id="1" name="fig" descr="Research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381125"/>
                    </a:xfrm>
                    <a:prstGeom prst="rect">
                      <a:avLst/>
                    </a:prstGeom>
                  </pic:spPr>
                </pic:pic>
              </a:graphicData>
            </a:graphic>
          </wp:inline>
        </w:drawing>
      </w:r>
    </w:p>
    <w:p>
      <w:pPr>
        <w:spacing w:after="80" w:before="40"/>
        <w:jc w:val="center"/>
      </w:pPr>
      <w:r>
        <w:rPr>
          <w:rFonts w:ascii="Times New Roman" w:cs="Times New Roman" w:eastAsia="Times New Roman" w:hAnsi="Times New Roman"/>
          <w:i w:val="false"/>
          <w:iCs w:val="false"/>
          <w:sz w:val="18"/>
          <w:szCs w:val="18"/>
        </w:rPr>
        <w:t xml:space="preserve">Fig. 4. Residual distributions for Ridge Regression, XGBoost, and Gradient Boosting. Boosting models show tight, unbiased distributions confirming superior calibration.</w:t>
      </w:r>
    </w:p>
    <w:p>
      <w:pPr>
        <w:spacing w:after="40" w:before="40"/>
      </w:pPr>
      <w:r>
        <w:t xml:space="preserve"/>
      </w:r>
    </w:p>
    <w:p>
      <w:pPr>
        <w:spacing w:after="60" w:before="100"/>
        <w:jc w:val="left"/>
      </w:pPr>
      <w:r>
        <w:rPr>
          <w:rFonts w:ascii="Times New Roman" w:cs="Times New Roman" w:eastAsia="Times New Roman" w:hAnsi="Times New Roman"/>
          <w:b/>
          <w:bCs/>
          <w:sz w:val="20"/>
          <w:szCs w:val="20"/>
        </w:rPr>
        <w:t xml:space="preserve">D. Cross-Validation Stability</w:t>
      </w:r>
    </w:p>
    <w:p>
      <w:pPr>
        <w:spacing w:after="80" w:before="0" w:line="240"/>
        <w:ind w:firstLine="360"/>
        <w:jc w:val="both"/>
      </w:pPr>
      <w:r>
        <w:rPr>
          <w:rFonts w:ascii="Times New Roman" w:cs="Times New Roman" w:eastAsia="Times New Roman" w:hAnsi="Times New Roman"/>
          <w:sz w:val="20"/>
          <w:szCs w:val="20"/>
        </w:rPr>
        <w:t xml:space="preserve">Fig. 5 presents 5-fold CV-R² scores with standard deviation error bars on the training set. XGBoost (0.9085 ± 0.0103) and Gradient Boosting (0.9111 ± 0.0096) achieve the highest and most stable scores, confirming that their superiority on the test set reflects genuine generalisability rather than favourable test-fold composition. Random Forest demonstrates the lowest CV standard deviation among non-boosting models (0.7394 ± 0.012), reflecting the variance-reduction benefit of bootstrap aggregation.</w:t>
      </w:r>
    </w:p>
    <w:p>
      <w:pPr>
        <w:spacing w:after="80" w:before="0" w:line="240"/>
        <w:ind w:firstLine="360"/>
        <w:jc w:val="both"/>
      </w:pPr>
      <w:r>
        <w:rPr>
          <w:rFonts w:ascii="Times New Roman" w:cs="Times New Roman" w:eastAsia="Times New Roman" w:hAnsi="Times New Roman"/>
          <w:sz w:val="20"/>
          <w:szCs w:val="20"/>
        </w:rPr>
        <w:t xml:space="preserve">Fig. 6 presents the aggregate performance comparison across all four primary metrics, visualising the clear separation between gradient-boosted models and all other approaches.</w:t>
      </w:r>
    </w:p>
    <w:p>
      <w:pPr>
        <w:spacing w:after="0" w:before="40"/>
      </w:pPr>
      <w:r>
        <w:t xml:space="preserve"/>
      </w:r>
    </w:p>
    <w:p>
      <w:pPr>
        <w:spacing w:after="20" w:before="80"/>
        <w:jc w:val="center"/>
      </w:pPr>
      <w:r>
        <w:drawing>
          <wp:inline distT="0" distB="0" distL="0" distR="0">
            <wp:extent cx="4095750" cy="1238250"/>
            <wp:effectExtent t="0" r="0" b="0" l="0"/>
            <wp:docPr id="1" name="fig" descr="Research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1238250"/>
                    </a:xfrm>
                    <a:prstGeom prst="rect">
                      <a:avLst/>
                    </a:prstGeom>
                  </pic:spPr>
                </pic:pic>
              </a:graphicData>
            </a:graphic>
          </wp:inline>
        </w:drawing>
      </w:r>
    </w:p>
    <w:p>
      <w:pPr>
        <w:spacing w:after="80" w:before="40"/>
        <w:jc w:val="center"/>
      </w:pPr>
      <w:r>
        <w:rPr>
          <w:rFonts w:ascii="Times New Roman" w:cs="Times New Roman" w:eastAsia="Times New Roman" w:hAnsi="Times New Roman"/>
          <w:i w:val="false"/>
          <w:iCs w:val="false"/>
          <w:sz w:val="18"/>
          <w:szCs w:val="18"/>
        </w:rPr>
        <w:t xml:space="preserve">Fig. 5. Comparative model performance on the held-out test set across all four primary metrics. Bold-outlined bars indicate best performance per metric.</w:t>
      </w:r>
    </w:p>
    <w:p>
      <w:pPr>
        <w:spacing w:after="40" w:before="40"/>
      </w:pPr>
      <w:r>
        <w:t xml:space="preserve"/>
      </w:r>
    </w:p>
    <w:p>
      <w:pPr>
        <w:spacing w:after="60" w:before="100"/>
        <w:jc w:val="left"/>
      </w:pPr>
      <w:r>
        <w:rPr>
          <w:rFonts w:ascii="Times New Roman" w:cs="Times New Roman" w:eastAsia="Times New Roman" w:hAnsi="Times New Roman"/>
          <w:b/>
          <w:bCs/>
          <w:sz w:val="20"/>
          <w:szCs w:val="20"/>
        </w:rPr>
        <w:t xml:space="preserve">E. Crop-Specific Performance Analysis</w:t>
      </w:r>
    </w:p>
    <w:p>
      <w:pPr>
        <w:spacing w:after="80" w:before="0" w:line="240"/>
        <w:ind w:firstLine="360"/>
        <w:jc w:val="both"/>
      </w:pPr>
      <w:r>
        <w:rPr>
          <w:rFonts w:ascii="Times New Roman" w:cs="Times New Roman" w:eastAsia="Times New Roman" w:hAnsi="Times New Roman"/>
          <w:sz w:val="20"/>
          <w:szCs w:val="20"/>
        </w:rPr>
        <w:t xml:space="preserve">Table V and Fig. 6 present crop-wise performance from Random Forest models trained and evaluated on crop-stratified subsets. Groundnut achieves the highest test-set R² (0.7582), followed by Rapeseed (0.7415) and Maize (0.7342). Sorghum achieves the lowest R² (0.6870), consistent with its higher susceptibility to localised biotic stresses and inter-annual management variation not captured in the current feature set.</w:t>
      </w:r>
    </w:p>
    <w:p>
      <w:pPr>
        <w:spacing w:after="0" w:before="60"/>
      </w:pPr>
      <w:r>
        <w:t xml:space="preserve"/>
      </w:r>
    </w:p>
    <w:p>
      <w:pPr>
        <w:spacing w:after="0" w:before="100"/>
        <w:jc w:val="center"/>
      </w:pPr>
      <w:r>
        <w:rPr>
          <w:rFonts w:ascii="Times New Roman" w:cs="Times New Roman" w:eastAsia="Times New Roman" w:hAnsi="Times New Roman"/>
          <w:b/>
          <w:bCs/>
          <w:caps/>
          <w:sz w:val="18"/>
          <w:szCs w:val="18"/>
        </w:rPr>
        <w:t xml:space="preserve">TABLE V.</w:t>
      </w:r>
    </w:p>
    <w:p>
      <w:pPr>
        <w:spacing w:after="40" w:before="0"/>
        <w:jc w:val="center"/>
      </w:pPr>
      <w:r>
        <w:rPr>
          <w:rFonts w:ascii="Times New Roman" w:cs="Times New Roman" w:eastAsia="Times New Roman" w:hAnsi="Times New Roman"/>
          <w:b/>
          <w:bCs/>
          <w:sz w:val="18"/>
          <w:szCs w:val="18"/>
        </w:rPr>
        <w:t xml:space="preserve">Crop-Specific Random Forest Performance (Test Set)</w:t>
      </w:r>
    </w:p>
    <w:p>
      <w:pPr>
        <w:spacing w:after="40" w:before="0"/>
      </w:pPr>
      <w:r>
        <w:t xml:space="preserve"/>
      </w:r>
    </w:p>
    <w:tbl>
      <w:tblPr>
        <w:tblW w:type="dxa" w:w="4795"/>
        <w:tblBorders>
          <w:top w:val="single" w:color="auto" w:sz="4"/>
          <w:left w:val="single" w:color="auto" w:sz="4"/>
          <w:bottom w:val="single" w:color="auto" w:sz="4"/>
          <w:right w:val="single" w:color="auto" w:sz="4"/>
          <w:insideH w:val="single" w:color="auto" w:sz="4"/>
          <w:insideV w:val="single" w:color="auto" w:sz="4"/>
        </w:tblBorders>
      </w:tblPr>
      <w:tblGrid>
        <w:gridCol w:w="900"/>
        <w:gridCol w:w="560"/>
        <w:gridCol w:w="650"/>
        <w:gridCol w:w="700"/>
        <w:gridCol w:w="685"/>
        <w:gridCol w:w="1300"/>
      </w:tblGrid>
      <w:tr>
        <w:trPr>
          <w:tblHeader/>
        </w:trPr>
        <w:tc>
          <w:tcPr>
            <w:tcW w:type="dxa" w:w="900"/>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Crop</w:t>
            </w:r>
          </w:p>
        </w:tc>
        <w:tc>
          <w:tcPr>
            <w:tcW w:type="dxa" w:w="560"/>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w:t>
            </w:r>
          </w:p>
        </w:tc>
        <w:tc>
          <w:tcPr>
            <w:tcW w:type="dxa" w:w="650"/>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R²</w:t>
            </w:r>
          </w:p>
        </w:tc>
        <w:tc>
          <w:tcPr>
            <w:tcW w:type="dxa" w:w="700"/>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RMSE</w:t>
            </w:r>
          </w:p>
        </w:tc>
        <w:tc>
          <w:tcPr>
            <w:tcW w:type="dxa" w:w="685"/>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MAE</w:t>
            </w:r>
          </w:p>
        </w:tc>
        <w:tc>
          <w:tcPr>
            <w:tcW w:type="dxa" w:w="1300"/>
            <w:tcBorders>
              <w:top w:val="single" w:color="000000" w:sz="12"/>
              <w:left w:val="none" w:color="FFFFFF" w:sz="0"/>
              <w:bottom w:val="single" w:color="000000" w:sz="6"/>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Growing Season</w:t>
            </w:r>
          </w:p>
        </w:tc>
      </w:tr>
      <w:tr>
        <w:tc>
          <w:tcPr>
            <w:tcW w:type="dxa" w:w="9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Rice</w:t>
            </w:r>
          </w:p>
        </w:tc>
        <w:tc>
          <w:tcPr>
            <w:tcW w:type="dxa" w:w="56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52</w:t>
            </w:r>
          </w:p>
        </w:tc>
        <w:tc>
          <w:tcPr>
            <w:tcW w:type="dxa" w:w="65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0.7197</w:t>
            </w:r>
          </w:p>
        </w:tc>
        <w:tc>
          <w:tcPr>
            <w:tcW w:type="dxa" w:w="7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0.2683</w:t>
            </w:r>
          </w:p>
        </w:tc>
        <w:tc>
          <w:tcPr>
            <w:tcW w:type="dxa" w:w="685"/>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0.2185</w:t>
            </w:r>
          </w:p>
        </w:tc>
        <w:tc>
          <w:tcPr>
            <w:tcW w:type="dxa" w:w="13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Kharif (Jun–Oct)</w:t>
            </w:r>
          </w:p>
        </w:tc>
      </w:tr>
      <w:tr>
        <w:tc>
          <w:tcPr>
            <w:tcW w:type="dxa" w:w="9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Wheat</w:t>
            </w:r>
          </w:p>
        </w:tc>
        <w:tc>
          <w:tcPr>
            <w:tcW w:type="dxa" w:w="560"/>
            <w:tcBorders>
              <w:top w:val="none" w:color="FFFFFF" w:sz="0"/>
              <w:left w:val="none" w:color="FFFFFF" w:sz="0"/>
              <w:bottom w:val="single" w:color="000000" w:sz="6"/>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59</w:t>
            </w:r>
          </w:p>
        </w:tc>
        <w:tc>
          <w:tcPr>
            <w:tcW w:type="dxa" w:w="650"/>
            <w:tcBorders>
              <w:top w:val="none" w:color="FFFFFF" w:sz="0"/>
              <w:left w:val="none" w:color="FFFFFF" w:sz="0"/>
              <w:bottom w:val="single" w:color="000000" w:sz="6"/>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0.7100</w:t>
            </w:r>
          </w:p>
        </w:tc>
        <w:tc>
          <w:tcPr>
            <w:tcW w:type="dxa" w:w="700"/>
            <w:tcBorders>
              <w:top w:val="none" w:color="FFFFFF" w:sz="0"/>
              <w:left w:val="none" w:color="FFFFFF" w:sz="0"/>
              <w:bottom w:val="single" w:color="000000" w:sz="6"/>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0.2856</w:t>
            </w:r>
          </w:p>
        </w:tc>
        <w:tc>
          <w:tcPr>
            <w:tcW w:type="dxa" w:w="685"/>
            <w:tcBorders>
              <w:top w:val="none" w:color="FFFFFF" w:sz="0"/>
              <w:left w:val="none" w:color="FFFFFF" w:sz="0"/>
              <w:bottom w:val="single" w:color="000000" w:sz="6"/>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0.2396</w:t>
            </w:r>
          </w:p>
        </w:tc>
        <w:tc>
          <w:tcPr>
            <w:tcW w:type="dxa" w:w="13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Rabi (Nov–Mar)</w:t>
            </w:r>
          </w:p>
        </w:tc>
      </w:tr>
      <w:tr>
        <w:tc>
          <w:tcPr>
            <w:tcW w:type="dxa" w:w="9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Maize</w:t>
            </w:r>
          </w:p>
        </w:tc>
        <w:tc>
          <w:tcPr>
            <w:tcW w:type="dxa" w:w="56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65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0.7342</w:t>
            </w:r>
          </w:p>
        </w:tc>
        <w:tc>
          <w:tcPr>
            <w:tcW w:type="dxa" w:w="7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0.2526</w:t>
            </w:r>
          </w:p>
        </w:tc>
        <w:tc>
          <w:tcPr>
            <w:tcW w:type="dxa" w:w="685"/>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0.2075</w:t>
            </w:r>
          </w:p>
        </w:tc>
        <w:tc>
          <w:tcPr>
            <w:tcW w:type="dxa" w:w="13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Kharif (Jun–Oct)</w:t>
            </w:r>
          </w:p>
        </w:tc>
      </w:tr>
      <w:tr>
        <w:tc>
          <w:tcPr>
            <w:tcW w:type="dxa" w:w="9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Sorghum</w:t>
            </w:r>
          </w:p>
        </w:tc>
        <w:tc>
          <w:tcPr>
            <w:tcW w:type="dxa" w:w="560"/>
            <w:tcBorders>
              <w:top w:val="none" w:color="FFFFFF" w:sz="0"/>
              <w:left w:val="none" w:color="FFFFFF" w:sz="0"/>
              <w:bottom w:val="single" w:color="000000" w:sz="6"/>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51</w:t>
            </w:r>
          </w:p>
        </w:tc>
        <w:tc>
          <w:tcPr>
            <w:tcW w:type="dxa" w:w="650"/>
            <w:tcBorders>
              <w:top w:val="none" w:color="FFFFFF" w:sz="0"/>
              <w:left w:val="none" w:color="FFFFFF" w:sz="0"/>
              <w:bottom w:val="single" w:color="000000" w:sz="6"/>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0.6870</w:t>
            </w:r>
          </w:p>
        </w:tc>
        <w:tc>
          <w:tcPr>
            <w:tcW w:type="dxa" w:w="700"/>
            <w:tcBorders>
              <w:top w:val="none" w:color="FFFFFF" w:sz="0"/>
              <w:left w:val="none" w:color="FFFFFF" w:sz="0"/>
              <w:bottom w:val="single" w:color="000000" w:sz="6"/>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0.3246</w:t>
            </w:r>
          </w:p>
        </w:tc>
        <w:tc>
          <w:tcPr>
            <w:tcW w:type="dxa" w:w="685"/>
            <w:tcBorders>
              <w:top w:val="none" w:color="FFFFFF" w:sz="0"/>
              <w:left w:val="none" w:color="FFFFFF" w:sz="0"/>
              <w:bottom w:val="single" w:color="000000" w:sz="6"/>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0.2628</w:t>
            </w:r>
          </w:p>
        </w:tc>
        <w:tc>
          <w:tcPr>
            <w:tcW w:type="dxa" w:w="1300"/>
            <w:tcBorders>
              <w:top w:val="none" w:color="FFFFFF" w:sz="0"/>
              <w:left w:val="none" w:color="FFFFFF" w:sz="0"/>
              <w:bottom w:val="single" w:color="000000" w:sz="6"/>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Kharif (Jun–Oct)</w:t>
            </w:r>
          </w:p>
        </w:tc>
      </w:tr>
      <w:tr>
        <w:tc>
          <w:tcPr>
            <w:tcW w:type="dxa" w:w="9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Groundnut</w:t>
            </w:r>
          </w:p>
        </w:tc>
        <w:tc>
          <w:tcPr>
            <w:tcW w:type="dxa" w:w="56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58</w:t>
            </w:r>
          </w:p>
        </w:tc>
        <w:tc>
          <w:tcPr>
            <w:tcW w:type="dxa" w:w="65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0.7582</w:t>
            </w:r>
          </w:p>
        </w:tc>
        <w:tc>
          <w:tcPr>
            <w:tcW w:type="dxa" w:w="7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0.3311</w:t>
            </w:r>
          </w:p>
        </w:tc>
        <w:tc>
          <w:tcPr>
            <w:tcW w:type="dxa" w:w="685"/>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0.2431</w:t>
            </w:r>
          </w:p>
        </w:tc>
        <w:tc>
          <w:tcPr>
            <w:tcW w:type="dxa" w:w="1300"/>
            <w:tcBorders>
              <w:top w:val="none" w:color="FFFFFF" w:sz="0"/>
              <w:left w:val="none" w:color="FFFFFF" w:sz="0"/>
              <w:bottom w:val="single" w:color="000000" w:sz="6"/>
              <w:right w:val="none" w:color="FFFFFF" w:sz="0"/>
            </w:tcBorders>
            <w:shd w:fill="EFEFEF" w:val="clear"/>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Kharif (Jun–Oct)</w:t>
            </w:r>
          </w:p>
        </w:tc>
      </w:tr>
      <w:tr>
        <w:tc>
          <w:tcPr>
            <w:tcW w:type="dxa" w:w="900"/>
            <w:tcBorders>
              <w:top w:val="none" w:color="FFFFFF" w:sz="0"/>
              <w:left w:val="none" w:color="FFFFFF" w:sz="0"/>
              <w:bottom w:val="single" w:color="000000" w:sz="12"/>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Rapeseed</w:t>
            </w:r>
          </w:p>
        </w:tc>
        <w:tc>
          <w:tcPr>
            <w:tcW w:type="dxa" w:w="560"/>
            <w:tcBorders>
              <w:top w:val="none" w:color="FFFFFF" w:sz="0"/>
              <w:left w:val="none" w:color="FFFFFF" w:sz="0"/>
              <w:bottom w:val="single" w:color="000000" w:sz="12"/>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52</w:t>
            </w:r>
          </w:p>
        </w:tc>
        <w:tc>
          <w:tcPr>
            <w:tcW w:type="dxa" w:w="650"/>
            <w:tcBorders>
              <w:top w:val="none" w:color="FFFFFF" w:sz="0"/>
              <w:left w:val="none" w:color="FFFFFF" w:sz="0"/>
              <w:bottom w:val="single" w:color="000000" w:sz="12"/>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0.7415</w:t>
            </w:r>
          </w:p>
        </w:tc>
        <w:tc>
          <w:tcPr>
            <w:tcW w:type="dxa" w:w="700"/>
            <w:tcBorders>
              <w:top w:val="none" w:color="FFFFFF" w:sz="0"/>
              <w:left w:val="none" w:color="FFFFFF" w:sz="0"/>
              <w:bottom w:val="single" w:color="000000" w:sz="12"/>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0.2707</w:t>
            </w:r>
          </w:p>
        </w:tc>
        <w:tc>
          <w:tcPr>
            <w:tcW w:type="dxa" w:w="685"/>
            <w:tcBorders>
              <w:top w:val="none" w:color="FFFFFF" w:sz="0"/>
              <w:left w:val="none" w:color="FFFFFF" w:sz="0"/>
              <w:bottom w:val="single" w:color="000000" w:sz="12"/>
              <w:right w:val="none" w:color="FFFFFF" w:sz="0"/>
            </w:tcBorders>
            <w:tcMar>
              <w:top w:type="dxa" w:w="30"/>
              <w:left w:type="dxa" w:w="80"/>
              <w:bottom w:type="dxa" w:w="30"/>
              <w:right w:type="dxa" w:w="80"/>
            </w:tcMar>
          </w:tcPr>
          <w:p>
            <w:pPr>
              <w:jc w:val="center"/>
            </w:pPr>
            <w:r>
              <w:rPr>
                <w:rFonts w:ascii="Times New Roman" w:cs="Times New Roman" w:eastAsia="Times New Roman" w:hAnsi="Times New Roman"/>
                <w:b w:val="false"/>
                <w:bCs w:val="false"/>
                <w:sz w:val="18"/>
                <w:szCs w:val="18"/>
              </w:rPr>
              <w:t xml:space="preserve">0.2120</w:t>
            </w:r>
          </w:p>
        </w:tc>
        <w:tc>
          <w:tcPr>
            <w:tcW w:type="dxa" w:w="1300"/>
            <w:tcBorders>
              <w:top w:val="none" w:color="FFFFFF" w:sz="0"/>
              <w:left w:val="none" w:color="FFFFFF" w:sz="0"/>
              <w:bottom w:val="single" w:color="000000" w:sz="12"/>
              <w:right w:val="none" w:color="FFFFFF" w:sz="0"/>
            </w:tcBorders>
            <w:tcMar>
              <w:top w:type="dxa" w:w="30"/>
              <w:left w:type="dxa" w:w="80"/>
              <w:bottom w:type="dxa" w:w="30"/>
              <w:right w:type="dxa" w:w="80"/>
            </w:tcMar>
          </w:tcPr>
          <w:p>
            <w:pPr>
              <w:jc w:val="left"/>
            </w:pPr>
            <w:r>
              <w:rPr>
                <w:rFonts w:ascii="Times New Roman" w:cs="Times New Roman" w:eastAsia="Times New Roman" w:hAnsi="Times New Roman"/>
                <w:b w:val="false"/>
                <w:bCs w:val="false"/>
                <w:sz w:val="18"/>
                <w:szCs w:val="18"/>
              </w:rPr>
              <w:t xml:space="preserve">Rabi (Nov–Mar)</w:t>
            </w:r>
          </w:p>
        </w:tc>
      </w:tr>
    </w:tbl>
    <w:p>
      <w:pPr>
        <w:spacing w:after="0" w:before="60"/>
      </w:pPr>
      <w:r>
        <w:t xml:space="preserve"/>
      </w:r>
    </w:p>
    <w:p>
      <w:pPr>
        <w:spacing w:after="0" w:before="40"/>
      </w:pPr>
      <w:r>
        <w:t xml:space="preserve"/>
      </w:r>
    </w:p>
    <w:p>
      <w:pPr>
        <w:spacing w:after="20" w:before="80"/>
        <w:jc w:val="center"/>
      </w:pPr>
      <w:r>
        <w:drawing>
          <wp:inline distT="0" distB="0" distL="0" distR="0">
            <wp:extent cx="4095750" cy="1381125"/>
            <wp:effectExtent t="0" r="0" b="0" l="0"/>
            <wp:docPr id="1" name="fig" descr="Research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1381125"/>
                    </a:xfrm>
                    <a:prstGeom prst="rect">
                      <a:avLst/>
                    </a:prstGeom>
                  </pic:spPr>
                </pic:pic>
              </a:graphicData>
            </a:graphic>
          </wp:inline>
        </w:drawing>
      </w:r>
    </w:p>
    <w:p>
      <w:pPr>
        <w:spacing w:after="80" w:before="40"/>
        <w:jc w:val="center"/>
      </w:pPr>
      <w:r>
        <w:rPr>
          <w:rFonts w:ascii="Times New Roman" w:cs="Times New Roman" w:eastAsia="Times New Roman" w:hAnsi="Times New Roman"/>
          <w:i w:val="false"/>
          <w:iCs w:val="false"/>
          <w:sz w:val="18"/>
          <w:szCs w:val="18"/>
        </w:rPr>
        <w:t xml:space="preserve">Fig. 6. Crop-specific Random Forest R² and RMSE. Groundnut achieves highest R²; Sorghum shows lowest R² due to high inter-annual management variability.</w:t>
      </w:r>
    </w:p>
    <w:p>
      <w:pPr>
        <w:spacing w:after="40" w:before="40"/>
      </w:pPr>
      <w:r>
        <w:t xml:space="preserve"/>
      </w:r>
    </w:p>
    <w:p>
      <w:pPr>
        <w:spacing w:after="60" w:before="100"/>
        <w:jc w:val="left"/>
      </w:pPr>
      <w:r>
        <w:rPr>
          <w:rFonts w:ascii="Times New Roman" w:cs="Times New Roman" w:eastAsia="Times New Roman" w:hAnsi="Times New Roman"/>
          <w:b/>
          <w:bCs/>
          <w:sz w:val="20"/>
          <w:szCs w:val="20"/>
        </w:rPr>
        <w:t xml:space="preserve">F. Discussion</w:t>
      </w:r>
    </w:p>
    <w:p>
      <w:pPr>
        <w:spacing w:after="80" w:before="0" w:line="240"/>
        <w:ind w:firstLine="360"/>
        <w:jc w:val="both"/>
      </w:pPr>
      <w:r>
        <w:rPr>
          <w:rFonts w:ascii="Times New Roman" w:cs="Times New Roman" w:eastAsia="Times New Roman" w:hAnsi="Times New Roman"/>
          <w:sz w:val="20"/>
          <w:szCs w:val="20"/>
        </w:rPr>
        <w:t xml:space="preserve">The results provide clear algorithm selection guidance. For maximum predictive accuracy, Gradient Boosting or XGBoost are recommended (R² &gt; 0.92, MAPE &lt; 4.5%). For applications requiring interpretability alongside accuracy, Random Forest offers a compelling balance (R² = 0.7615, CV std = 0.012, built-in feature importance). The 9.8 percentage-point R² advantage of Gradient Boosting over Random Forest provides an actionable quantitative threshold for system designers. These benchmarks reinforce the qualitative conclusions of van Klompenburg et al. [4], who anticipated that gradient boosting approaches would achieve superior results, while providing the specific numerical evidence that the review could not supply.</w:t>
      </w:r>
    </w:p>
    <w:p>
      <w:pPr>
        <w:spacing w:after="80" w:before="0" w:line="240"/>
        <w:ind w:firstLine="360"/>
        <w:jc w:val="both"/>
      </w:pPr>
      <w:r>
        <w:rPr>
          <w:rFonts w:ascii="Times New Roman" w:cs="Times New Roman" w:eastAsia="Times New Roman" w:hAnsi="Times New Roman"/>
          <w:sz w:val="20"/>
          <w:szCs w:val="20"/>
        </w:rPr>
        <w:t xml:space="preserve">The prominence of Peak NDVI (importance = 0.1681) has direct practical implications: satellite-derived vegetation indices available at no cost from Copernicus Open Access Hub significantly improve prediction accuracy without requiring ground-based sensor infrastructure, making NDVI inclusion a high-leverage, low-cost recommendation for operational systems.</w:t>
      </w:r>
    </w:p>
    <w:p>
      <w:pPr>
        <w:spacing w:after="80" w:before="160"/>
        <w:jc w:val="center"/>
      </w:pPr>
      <w:r>
        <w:rPr>
          <w:rFonts w:ascii="Times New Roman" w:cs="Times New Roman" w:eastAsia="Times New Roman" w:hAnsi="Times New Roman"/>
          <w:b/>
          <w:bCs/>
          <w:sz w:val="20"/>
          <w:szCs w:val="20"/>
        </w:rPr>
        <w:t xml:space="preserve">VI. CONCLUSION</w:t>
      </w:r>
    </w:p>
    <w:p>
      <w:pPr>
        <w:spacing w:after="80" w:before="0" w:line="240"/>
        <w:ind w:firstLine="360"/>
        <w:jc w:val="both"/>
      </w:pPr>
      <w:r>
        <w:rPr>
          <w:rFonts w:ascii="Times New Roman" w:cs="Times New Roman" w:eastAsia="Times New Roman" w:hAnsi="Times New Roman"/>
          <w:sz w:val="20"/>
          <w:szCs w:val="20"/>
        </w:rPr>
        <w:t xml:space="preserve">This paper presented a rigorous experimental comparison of six machine learning algorithms for crop yield prediction on a 26-year integrated Indian agro-climatic dataset covering six major crops, 15 states, and 20 input features. Three key findings emerge from this study.</w:t>
      </w:r>
    </w:p>
    <w:p>
      <w:pPr>
        <w:spacing w:after="80" w:before="0" w:line="240"/>
        <w:ind w:firstLine="360"/>
        <w:jc w:val="both"/>
      </w:pPr>
      <w:r>
        <w:rPr>
          <w:rFonts w:ascii="Times New Roman" w:cs="Times New Roman" w:eastAsia="Times New Roman" w:hAnsi="Times New Roman"/>
          <w:sz w:val="20"/>
          <w:szCs w:val="20"/>
        </w:rPr>
        <w:t xml:space="preserve">First, Gradient Boosting (R² = 0.9247) and XGBoost (R² = 0.9228) achieve substantially superior and statistically stable predictive accuracy relative to all other tested algorithms, with RMSE reductions exceeding 39% compared to the next-best model. Second, linear models are fundamentally inadequate for multi-crop yield prediction (Ridge Regression R² = 0.4341), confirming the non-linear character of agro-climatic yield relationships established in the broader literature [4]. Third, crop type, cumulative rainfall, and peak NDVI jointly account for 64.6% of feature importance, identifying satellite-derived NDVI as a high-leverage, zero-additional-cost feature for operational prediction systems.</w:t>
      </w:r>
    </w:p>
    <w:p>
      <w:pPr>
        <w:spacing w:after="80" w:before="0" w:line="240"/>
        <w:ind w:firstLine="360"/>
        <w:jc w:val="both"/>
      </w:pPr>
      <w:r>
        <w:rPr>
          <w:rFonts w:ascii="Times New Roman" w:cs="Times New Roman" w:eastAsia="Times New Roman" w:hAnsi="Times New Roman"/>
          <w:sz w:val="20"/>
          <w:szCs w:val="20"/>
        </w:rPr>
        <w:t xml:space="preserve">These benchmarks provide a reproducible, algorithm-agnostic reference point for researchers and practitioners developing ML-based crop advisory systems. Future work will extend this framework to incorporate multi-year satellite time series for LSTM-based sequential modelling, biotic stress indicators, and field-validated yield records from national agricultural surveys.</w:t>
      </w:r>
    </w:p>
    <w:p>
      <w:pPr>
        <w:spacing w:after="60" w:before="100"/>
        <w:jc w:val="left"/>
      </w:pPr>
      <w:r>
        <w:rPr>
          <w:rFonts w:ascii="Times New Roman" w:cs="Times New Roman" w:eastAsia="Times New Roman" w:hAnsi="Times New Roman"/>
          <w:b/>
          <w:bCs/>
          <w:sz w:val="20"/>
          <w:szCs w:val="20"/>
        </w:rPr>
        <w:t xml:space="preserve">A. Future Work</w:t>
      </w:r>
    </w:p>
    <w:p>
      <w:pPr>
        <w:spacing w:after="80" w:before="0" w:line="240"/>
        <w:ind w:firstLine="360"/>
        <w:jc w:val="both"/>
      </w:pPr>
      <w:r>
        <w:rPr>
          <w:rFonts w:ascii="Times New Roman" w:cs="Times New Roman" w:eastAsia="Times New Roman" w:hAnsi="Times New Roman"/>
          <w:sz w:val="20"/>
          <w:szCs w:val="20"/>
        </w:rPr>
        <w:t xml:space="preserve">Several directions exist for extending this work. First, incorporating LSTM networks with multi-week climate time series would capture within-season weather dynamics not available in season-aggregate features. Second, integrating Sentinel-2 multi-temporal NDVI imagery at 10 m spatial resolution would enable field-level prediction accuracy beyond district-level aggregates. Third, applying transfer learning from data-rich to data-sparse states would address the data scarcity challenge for minority crop-region combinations. Fourth, validating the proposed benchmark against actual yield survey records from the Ministry of Agriculture district statistics would strengthen external validity. Finally, deploying the trained models in an IoT-enabled decision support system would translate research findings into operational farm-management tools.</w:t>
      </w:r>
    </w:p>
    <w:p>
      <w:pPr>
        <w:spacing w:after="80" w:before="160"/>
        <w:jc w:val="center"/>
      </w:pPr>
      <w:r>
        <w:rPr>
          <w:rFonts w:ascii="Times New Roman" w:cs="Times New Roman" w:eastAsia="Times New Roman" w:hAnsi="Times New Roman"/>
          <w:b/>
          <w:bCs/>
          <w:sz w:val="20"/>
          <w:szCs w:val="20"/>
        </w:rPr>
        <w:t xml:space="preserve">. ACKNOWLEDGMENT</w:t>
      </w:r>
    </w:p>
    <w:p>
      <w:pPr>
        <w:spacing w:after="80" w:before="0" w:line="240"/>
        <w:ind/>
        <w:jc w:val="both"/>
      </w:pPr>
      <w:r>
        <w:rPr>
          <w:rFonts w:ascii="Times New Roman" w:cs="Times New Roman" w:eastAsia="Times New Roman" w:hAnsi="Times New Roman"/>
          <w:sz w:val="20"/>
          <w:szCs w:val="20"/>
        </w:rPr>
        <w:t xml:space="preserve">The authors thank the India Meteorological Department (IMD), the National Bureau of Soil Survey and Land Use Planning (NBSS&amp;LUP), and the Ministry of Agriculture and Farmers’ Welfare, Government of India, for publicly accessible statistical data that informed the construction of the experimental dataset. This research was conducted through Chitkara University’s undergraduate research programme.</w:t>
      </w:r>
    </w:p>
    <w:p>
      <w:pPr>
        <w:spacing w:after="0" w:before="60"/>
      </w:pPr>
      <w:r>
        <w:t xml:space="preserve"/>
      </w:r>
    </w:p>
    <w:p>
      <w:pPr>
        <w:spacing w:after="80" w:before="160"/>
        <w:jc w:val="left"/>
      </w:pPr>
      <w:r>
        <w:rPr>
          <w:rFonts w:ascii="Times New Roman" w:cs="Times New Roman" w:eastAsia="Times New Roman" w:hAnsi="Times New Roman"/>
          <w:b/>
          <w:bCs/>
          <w:sz w:val="20"/>
          <w:szCs w:val="20"/>
        </w:rPr>
        <w:t xml:space="preserve">References</w:t>
      </w:r>
    </w:p>
    <w:p>
      <w:pPr>
        <w:spacing w:after="50" w:before="0" w:line="240"/>
        <w:ind w:left="300" w:hanging="300"/>
        <w:jc w:val="both"/>
      </w:pPr>
      <w:r>
        <w:rPr>
          <w:rFonts w:ascii="Times New Roman" w:cs="Times New Roman" w:eastAsia="Times New Roman" w:hAnsi="Times New Roman"/>
          <w:sz w:val="16"/>
          <w:szCs w:val="16"/>
        </w:rPr>
        <w:t xml:space="preserve">[1]	FAO, "The Future of Food and Agriculture: Alternative Pathways to 2050," Food and Agriculture Organization of the United Nations, Rome, 2018.</w:t>
      </w:r>
    </w:p>
    <w:p>
      <w:pPr>
        <w:spacing w:after="50" w:before="0" w:line="240"/>
        <w:ind w:left="300" w:hanging="300"/>
        <w:jc w:val="both"/>
      </w:pPr>
      <w:r>
        <w:rPr>
          <w:rFonts w:ascii="Times New Roman" w:cs="Times New Roman" w:eastAsia="Times New Roman" w:hAnsi="Times New Roman"/>
          <w:sz w:val="16"/>
          <w:szCs w:val="16"/>
        </w:rPr>
        <w:t xml:space="preserve">[2]	J. W. Jones et al., "The DSSAT cropping system model," European Journal of Agronomy, vol. 18, no. 3–4, pp. 235–265, 2003.</w:t>
      </w:r>
    </w:p>
    <w:p>
      <w:pPr>
        <w:spacing w:after="50" w:before="0" w:line="240"/>
        <w:ind w:left="300" w:hanging="300"/>
        <w:jc w:val="both"/>
      </w:pPr>
      <w:r>
        <w:rPr>
          <w:rFonts w:ascii="Times New Roman" w:cs="Times New Roman" w:eastAsia="Times New Roman" w:hAnsi="Times New Roman"/>
          <w:sz w:val="16"/>
          <w:szCs w:val="16"/>
        </w:rPr>
        <w:t xml:space="preserve">[3]	D. B. Lobell and M. B. Burke, "On the use of statistical models to predict crop yield responses to climate change," Agricultural and Forest Meteorology, vol. 150, no. 11, pp. 1443–1452, 2010.</w:t>
      </w:r>
    </w:p>
    <w:p>
      <w:pPr>
        <w:spacing w:after="50" w:before="0" w:line="240"/>
        <w:ind w:left="300" w:hanging="300"/>
        <w:jc w:val="both"/>
      </w:pPr>
      <w:r>
        <w:rPr>
          <w:rFonts w:ascii="Times New Roman" w:cs="Times New Roman" w:eastAsia="Times New Roman" w:hAnsi="Times New Roman"/>
          <w:sz w:val="16"/>
          <w:szCs w:val="16"/>
        </w:rPr>
        <w:t xml:space="preserve">[4]	T. van Klompenburg, A. Kassahun, and C. Catal, "Crop yield prediction using machine learning: A systematic literature review," Computers and Electronics in Agriculture, vol. 177, p. 105709, 2020.</w:t>
      </w:r>
    </w:p>
    <w:p>
      <w:pPr>
        <w:spacing w:after="50" w:before="0" w:line="240"/>
        <w:ind w:left="300" w:hanging="300"/>
        <w:jc w:val="both"/>
      </w:pPr>
      <w:r>
        <w:rPr>
          <w:rFonts w:ascii="Times New Roman" w:cs="Times New Roman" w:eastAsia="Times New Roman" w:hAnsi="Times New Roman"/>
          <w:sz w:val="16"/>
          <w:szCs w:val="16"/>
        </w:rPr>
        <w:t xml:space="preserve">[5]	X. E. Pantazi, D. Moshou, T. Alexandridis, R. L. Whetton, and A. M. Mouazen, "Wheat yield prediction using machine learning and advanced sensing techniques," Computers and Electronics in Agriculture, vol. 121, pp. 57–65, 2016.</w:t>
      </w:r>
    </w:p>
    <w:p>
      <w:pPr>
        <w:spacing w:after="50" w:before="0" w:line="240"/>
        <w:ind w:left="300" w:hanging="300"/>
        <w:jc w:val="both"/>
      </w:pPr>
      <w:r>
        <w:rPr>
          <w:rFonts w:ascii="Times New Roman" w:cs="Times New Roman" w:eastAsia="Times New Roman" w:hAnsi="Times New Roman"/>
          <w:sz w:val="16"/>
          <w:szCs w:val="16"/>
        </w:rPr>
        <w:t xml:space="preserve">[6]	J. H. Jeong et al., "Random forests for global and regional crop yield simulations," PLOS ONE, vol. 11, no. 6, p. e0156571, 2016.</w:t>
      </w:r>
    </w:p>
    <w:p>
      <w:pPr>
        <w:spacing w:after="50" w:before="0" w:line="240"/>
        <w:ind w:left="300" w:hanging="300"/>
        <w:jc w:val="both"/>
      </w:pPr>
      <w:r>
        <w:rPr>
          <w:rFonts w:ascii="Times New Roman" w:cs="Times New Roman" w:eastAsia="Times New Roman" w:hAnsi="Times New Roman"/>
          <w:sz w:val="16"/>
          <w:szCs w:val="16"/>
        </w:rPr>
        <w:t xml:space="preserve">[7]	S. Khaki and L. Wang, "Crop yield prediction using deep neural networks," Frontiers in Plant Science, vol. 10, p. 621, 2019.</w:t>
      </w:r>
    </w:p>
    <w:p>
      <w:pPr>
        <w:spacing w:after="50" w:before="0" w:line="240"/>
        <w:ind w:left="300" w:hanging="300"/>
        <w:jc w:val="both"/>
      </w:pPr>
      <w:r>
        <w:rPr>
          <w:rFonts w:ascii="Times New Roman" w:cs="Times New Roman" w:eastAsia="Times New Roman" w:hAnsi="Times New Roman"/>
          <w:sz w:val="16"/>
          <w:szCs w:val="16"/>
        </w:rPr>
        <w:t xml:space="preserve">[8]	R. A. Schwalbert et al., "Satellite-based soybean yield forecast: Integrating machine learning and weather data," Agricultural and Forest Meteorology, vol. 284, p. 107886, 2020.</w:t>
      </w:r>
    </w:p>
    <w:p>
      <w:pPr>
        <w:spacing w:after="50" w:before="0" w:line="240"/>
        <w:ind w:left="300" w:hanging="300"/>
        <w:jc w:val="both"/>
      </w:pPr>
      <w:r>
        <w:rPr>
          <w:rFonts w:ascii="Times New Roman" w:cs="Times New Roman" w:eastAsia="Times New Roman" w:hAnsi="Times New Roman"/>
          <w:sz w:val="16"/>
          <w:szCs w:val="16"/>
        </w:rPr>
        <w:t xml:space="preserve">[9]	N. Gandhi, O. Petkar, and L. J. Armstrong, "Rice crop yield prediction in India using support vector machines," in Proc. 13th Int. Joint Conf. Comput. Sci. Softw. Eng. (JCSSE), 2016.</w:t>
      </w:r>
    </w:p>
    <w:p>
      <w:pPr>
        <w:spacing w:after="50" w:before="0" w:line="240"/>
        <w:ind w:left="300" w:hanging="300"/>
        <w:jc w:val="both"/>
      </w:pPr>
      <w:r>
        <w:rPr>
          <w:rFonts w:ascii="Times New Roman" w:cs="Times New Roman" w:eastAsia="Times New Roman" w:hAnsi="Times New Roman"/>
          <w:sz w:val="16"/>
          <w:szCs w:val="16"/>
        </w:rPr>
        <w:t xml:space="preserve">[10]	Ministry of Agriculture and Farmers’ Welfare, Government of India, "Agricultural Statistics at a Glance," Directorate of Economics and Statistics, New Delhi, 2022.</w:t>
      </w:r>
    </w:p>
    <w:p>
      <w:pPr>
        <w:spacing w:after="50" w:before="0" w:line="240"/>
        <w:ind w:left="300" w:hanging="300"/>
        <w:jc w:val="both"/>
      </w:pPr>
      <w:r>
        <w:rPr>
          <w:rFonts w:ascii="Times New Roman" w:cs="Times New Roman" w:eastAsia="Times New Roman" w:hAnsi="Times New Roman"/>
          <w:sz w:val="16"/>
          <w:szCs w:val="16"/>
        </w:rPr>
        <w:t xml:space="preserve">[11]	India Meteorological Department, "Monthly/Seasonal/Annual Rainfall Data," Ministry of Earth Sciences. [Online]. Available: https://mausam.imd.gov.in</w:t>
      </w:r>
    </w:p>
    <w:p>
      <w:pPr>
        <w:spacing w:after="50" w:before="0" w:line="240"/>
        <w:ind w:left="300" w:hanging="300"/>
        <w:jc w:val="both"/>
      </w:pPr>
      <w:r>
        <w:rPr>
          <w:rFonts w:ascii="Times New Roman" w:cs="Times New Roman" w:eastAsia="Times New Roman" w:hAnsi="Times New Roman"/>
          <w:sz w:val="16"/>
          <w:szCs w:val="16"/>
        </w:rPr>
        <w:t xml:space="preserve">[12]	National Bureau of Soil Survey and Land Use Planning, "Soils of India," ICAR, Nagpur, India, 2020.</w:t>
      </w:r>
    </w:p>
    <w:p>
      <w:pPr>
        <w:spacing w:after="50" w:before="0" w:line="240"/>
        <w:ind w:left="300" w:hanging="300"/>
        <w:jc w:val="both"/>
      </w:pPr>
      <w:r>
        <w:rPr>
          <w:rFonts w:ascii="Times New Roman" w:cs="Times New Roman" w:eastAsia="Times New Roman" w:hAnsi="Times New Roman"/>
          <w:sz w:val="16"/>
          <w:szCs w:val="16"/>
        </w:rPr>
        <w:t xml:space="preserve">[13]	T. Chen and C. Guestrin, "XGBoost: A scalable tree boosting system," in Proc. ACM SIGKDD, 2016, pp. 785–794.</w:t>
      </w:r>
    </w:p>
    <w:p>
      <w:pPr>
        <w:spacing w:after="50" w:before="0" w:line="240"/>
        <w:ind w:left="300" w:hanging="300"/>
        <w:jc w:val="both"/>
      </w:pPr>
      <w:r>
        <w:rPr>
          <w:rFonts w:ascii="Times New Roman" w:cs="Times New Roman" w:eastAsia="Times New Roman" w:hAnsi="Times New Roman"/>
          <w:sz w:val="16"/>
          <w:szCs w:val="16"/>
        </w:rPr>
        <w:t xml:space="preserve">[14]	L. Breiman, "Random forests," Machine Learning, vol. 45, no. 1, pp. 5–32, 2001.</w:t>
      </w:r>
    </w:p>
    <w:p>
      <w:pPr>
        <w:spacing w:after="50" w:before="0" w:line="240"/>
        <w:ind w:left="300" w:hanging="300"/>
        <w:jc w:val="both"/>
      </w:pPr>
      <w:r>
        <w:rPr>
          <w:rFonts w:ascii="Times New Roman" w:cs="Times New Roman" w:eastAsia="Times New Roman" w:hAnsi="Times New Roman"/>
          <w:sz w:val="16"/>
          <w:szCs w:val="16"/>
        </w:rPr>
        <w:t xml:space="preserve">[15]	F. Pedregosa et al., "Scikit-learn: Machine learning in Python," Journal of Machine Learning Research, vol. 12, pp. 2825–2830, 2011.</w:t>
      </w:r>
    </w:p>
    <w:p>
      <w:pPr>
        <w:spacing w:after="50" w:before="0" w:line="240"/>
        <w:ind w:left="300" w:hanging="300"/>
        <w:jc w:val="both"/>
      </w:pPr>
      <w:r>
        <w:rPr>
          <w:rFonts w:ascii="Times New Roman" w:cs="Times New Roman" w:eastAsia="Times New Roman" w:hAnsi="Times New Roman"/>
          <w:sz w:val="16"/>
          <w:szCs w:val="16"/>
        </w:rPr>
        <w:t xml:space="preserve">[16]	Y. L. Everingham, J. Sexton, D. Skocaj, and G. Inman-Bamber, "Accurate prediction of sugarcane yield using a random forest algorithm," Agronomy for Sustainable Development, vol. 36, no. 2, 2016.</w:t>
      </w:r>
    </w:p>
    <w:p>
      <w:pPr>
        <w:spacing w:after="50" w:before="0" w:line="240"/>
        <w:ind w:left="300" w:hanging="300"/>
        <w:jc w:val="both"/>
      </w:pPr>
      <w:r>
        <w:rPr>
          <w:rFonts w:ascii="Times New Roman" w:cs="Times New Roman" w:eastAsia="Times New Roman" w:hAnsi="Times New Roman"/>
          <w:sz w:val="16"/>
          <w:szCs w:val="16"/>
        </w:rPr>
        <w:t xml:space="preserve">[17]	Y. You, X. Li, M. Low, D. Lobell, and S. Ermon, "Deep Gaussian process for crop yield prediction based on remote sensing data," in Proc. AAAI Conf. Artif. Intell., 2017, pp. 4559–4565.</w:t>
      </w:r>
    </w:p>
    <w:p>
      <w:pPr>
        <w:spacing w:after="50" w:before="0" w:line="240"/>
        <w:ind w:left="300" w:hanging="300"/>
        <w:jc w:val="both"/>
      </w:pPr>
      <w:r>
        <w:rPr>
          <w:rFonts w:ascii="Times New Roman" w:cs="Times New Roman" w:eastAsia="Times New Roman" w:hAnsi="Times New Roman"/>
          <w:sz w:val="16"/>
          <w:szCs w:val="16"/>
        </w:rPr>
        <w:t xml:space="preserve">[18]	A. K. Ranjan and B. R. Parida, "Paddy acreage mapping and yield prediction using sentinel-based optical and SAR data in Jharkhand, India," Spatial Information Research, 2019.</w:t>
      </w:r>
    </w:p>
    <w:sectPr>
      <w:footerReference w:type="default" r:id="rId7"/>
      <w:type w:val="continuous"/>
      <w:pgSz w:w="11906" w:h="16838" w:orient="portrait"/>
      <w:pgMar w:top="1440" w:right="1440" w:bottom="1440" w:left="1440" w:header="708" w:footer="708" w:gutter="0"/>
      <w:pgNumType/>
      <w:cols w:space="475"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07bb4ac1b8d4e2044fc22a04940dac8f84e0cc8.png"/><Relationship Id="rId9" Type="http://schemas.openxmlformats.org/officeDocument/2006/relationships/image" Target="media/6615739991d687dfa178babeb493891485004e99.png"/><Relationship Id="rId10" Type="http://schemas.openxmlformats.org/officeDocument/2006/relationships/image" Target="media/f73622248288eb43121f3805612e87a711412309.png"/><Relationship Id="rId11" Type="http://schemas.openxmlformats.org/officeDocument/2006/relationships/image" Target="media/00736b0b17bfaa68ed08cbd124adecbb76505a19.png"/><Relationship Id="rId12" Type="http://schemas.openxmlformats.org/officeDocument/2006/relationships/image" Target="media/439e9d1917ad78f569b5d8f65dcdf3281e3b82e3.png"/><Relationship Id="rId13" Type="http://schemas.openxmlformats.org/officeDocument/2006/relationships/image" Target="media/18c387469a1e1098ffb2084dc258632becbc78d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2026-04-29T06:38:46.121Z</dcterms:created>
  <dcterms:modified xsi:type="dcterms:W3CDTF">2026-04-29T06:38:46.122Z</dcterms:modified>
</cp:coreProperties>
</file>

<file path=docProps/custom.xml><?xml version="1.0" encoding="utf-8"?>
<Properties xmlns="http://schemas.openxmlformats.org/officeDocument/2006/custom-properties" xmlns:vt="http://schemas.openxmlformats.org/officeDocument/2006/docPropsVTypes"/>
</file>