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4682B4"/>
          <w:sz w:val="24"/>
        </w:rPr>
        <w:t>CYBERSECURITY &amp; WEB APPLICATION SECURITY PROJECT</w:t>
      </w:r>
    </w:p>
    <w:p>
      <w:pPr>
        <w:spacing w:before="240" w:after="240"/>
        <w:jc w:val="center"/>
      </w:pPr>
      <w:r>
        <w:rPr>
          <w:b/>
          <w:color w:val="1B365D"/>
          <w:sz w:val="52"/>
        </w:rPr>
        <w:t>Automated Web Security Scanner:</w:t>
        <w:br/>
        <w:t>Auditing Secure HTTP Headers &amp; CORS Flaws</w:t>
      </w:r>
    </w:p>
    <w:p>
      <w:pPr>
        <w:spacing w:before="120" w:after="960"/>
        <w:jc w:val="center"/>
      </w:pPr>
      <w:r>
        <w:rPr>
          <w:i/>
          <w:color w:val="646E78"/>
          <w:sz w:val="26"/>
        </w:rPr>
        <w:t>A Non-Invasive Python Security Auditing Engine for Defense-in-Depth Web Application Assessment</w:t>
      </w:r>
    </w:p>
    <w:p>
      <w:pPr>
        <w:spacing w:after="960"/>
        <w:jc w:val="center"/>
      </w:pPr>
      <w:r>
        <w:rPr>
          <w:color w:val="B4BECD"/>
        </w:rPr>
        <w:t>―――――――――――――――――――――――――――――――――――</w:t>
      </w:r>
    </w:p>
    <w:tbl>
      <w:tblPr>
        <w:tblW w:type="auto" w:w="0"/>
        <w:jc w:val="center"/>
        <w:tblLook w:firstColumn="1" w:firstRow="1" w:lastColumn="0" w:lastRow="0" w:noHBand="0" w:noVBand="1" w:val="04A0"/>
      </w:tblPr>
      <w:tblGrid>
        <w:gridCol w:w="4680"/>
        <w:gridCol w:w="4680"/>
      </w:tblGrid>
      <w:tr>
        <w:tc>
          <w:tcPr>
            <w:tcW w:type="dxa" w:w="3312"/>
            <w:shd w:fill="F0F4F8"/>
            <w:tcMar>
              <w:top w:w="70" w:type="dxa"/>
              <w:bottom w:w="70" w:type="dxa"/>
              <w:left w:w="100" w:type="dxa"/>
              <w:right w:w="100" w:type="dxa"/>
            </w:tcMar>
          </w:tcPr>
          <w:p>
            <w:pPr>
              <w:spacing w:before="60" w:after="60"/>
            </w:pPr>
            <w:r>
              <w:rPr>
                <w:b/>
                <w:color w:val="1B365D"/>
              </w:rPr>
              <w:t>Author / Student Name:</w:t>
            </w:r>
          </w:p>
        </w:tc>
        <w:tc>
          <w:tcPr>
            <w:tcW w:type="dxa" w:w="6048"/>
            <w:shd w:fill="FAFCFD"/>
            <w:tcMar>
              <w:top w:w="70" w:type="dxa"/>
              <w:bottom w:w="70" w:type="dxa"/>
              <w:left w:w="100" w:type="dxa"/>
              <w:right w:w="100" w:type="dxa"/>
            </w:tcMar>
          </w:tcPr>
          <w:p>
            <w:pPr>
              <w:spacing w:before="60" w:after="60"/>
            </w:pPr>
            <w:r>
              <w:rPr>
                <w:color w:val="323232"/>
              </w:rPr>
              <w:t>Aditya Dasharath Naik</w:t>
            </w:r>
          </w:p>
        </w:tc>
      </w:tr>
      <w:tr>
        <w:tc>
          <w:tcPr>
            <w:tcW w:type="dxa" w:w="3312"/>
            <w:shd w:fill="F0F4F8"/>
            <w:tcMar>
              <w:top w:w="70" w:type="dxa"/>
              <w:bottom w:w="70" w:type="dxa"/>
              <w:left w:w="100" w:type="dxa"/>
              <w:right w:w="100" w:type="dxa"/>
            </w:tcMar>
          </w:tcPr>
          <w:p>
            <w:pPr>
              <w:spacing w:before="60" w:after="60"/>
            </w:pPr>
            <w:r>
              <w:rPr>
                <w:b/>
                <w:color w:val="1B365D"/>
              </w:rPr>
              <w:t>Project Topic:</w:t>
            </w:r>
          </w:p>
        </w:tc>
        <w:tc>
          <w:tcPr>
            <w:tcW w:type="dxa" w:w="6048"/>
            <w:shd w:fill="FAFCFD"/>
            <w:tcMar>
              <w:top w:w="70" w:type="dxa"/>
              <w:bottom w:w="70" w:type="dxa"/>
              <w:left w:w="100" w:type="dxa"/>
              <w:right w:w="100" w:type="dxa"/>
            </w:tcMar>
          </w:tcPr>
          <w:p>
            <w:pPr>
              <w:spacing w:before="60" w:after="60"/>
            </w:pPr>
            <w:r>
              <w:rPr>
                <w:color w:val="323232"/>
              </w:rPr>
              <w:t>Automated Web Scanner: Python script for secure headers and CORS flaws</w:t>
            </w:r>
          </w:p>
        </w:tc>
      </w:tr>
      <w:tr>
        <w:tc>
          <w:tcPr>
            <w:tcW w:type="dxa" w:w="3312"/>
            <w:shd w:fill="F0F4F8"/>
            <w:tcMar>
              <w:top w:w="70" w:type="dxa"/>
              <w:bottom w:w="70" w:type="dxa"/>
              <w:left w:w="100" w:type="dxa"/>
              <w:right w:w="100" w:type="dxa"/>
            </w:tcMar>
          </w:tcPr>
          <w:p>
            <w:pPr>
              <w:spacing w:before="60" w:after="60"/>
            </w:pPr>
            <w:r>
              <w:rPr>
                <w:b/>
                <w:color w:val="1B365D"/>
              </w:rPr>
              <w:t>Subject Domain:</w:t>
            </w:r>
          </w:p>
        </w:tc>
        <w:tc>
          <w:tcPr>
            <w:tcW w:type="dxa" w:w="6048"/>
            <w:shd w:fill="FAFCFD"/>
            <w:tcMar>
              <w:top w:w="70" w:type="dxa"/>
              <w:bottom w:w="70" w:type="dxa"/>
              <w:left w:w="100" w:type="dxa"/>
              <w:right w:w="100" w:type="dxa"/>
            </w:tcMar>
          </w:tcPr>
          <w:p>
            <w:pPr>
              <w:spacing w:before="60" w:after="60"/>
            </w:pPr>
            <w:r>
              <w:rPr>
                <w:color w:val="323232"/>
              </w:rPr>
              <w:t>Web Application Security &amp; Vulnerability Auditing</w:t>
            </w:r>
          </w:p>
        </w:tc>
      </w:tr>
      <w:tr>
        <w:tc>
          <w:tcPr>
            <w:tcW w:type="dxa" w:w="3312"/>
            <w:shd w:fill="F0F4F8"/>
            <w:tcMar>
              <w:top w:w="70" w:type="dxa"/>
              <w:bottom w:w="70" w:type="dxa"/>
              <w:left w:w="100" w:type="dxa"/>
              <w:right w:w="100" w:type="dxa"/>
            </w:tcMar>
          </w:tcPr>
          <w:p>
            <w:pPr>
              <w:spacing w:before="60" w:after="60"/>
            </w:pPr>
            <w:r>
              <w:rPr>
                <w:b/>
                <w:color w:val="1B365D"/>
              </w:rPr>
              <w:t>Technology Stack:</w:t>
            </w:r>
          </w:p>
        </w:tc>
        <w:tc>
          <w:tcPr>
            <w:tcW w:type="dxa" w:w="6048"/>
            <w:shd w:fill="FAFCFD"/>
            <w:tcMar>
              <w:top w:w="70" w:type="dxa"/>
              <w:bottom w:w="70" w:type="dxa"/>
              <w:left w:w="100" w:type="dxa"/>
              <w:right w:w="100" w:type="dxa"/>
            </w:tcMar>
          </w:tcPr>
          <w:p>
            <w:pPr>
              <w:spacing w:before="60" w:after="60"/>
            </w:pPr>
            <w:r>
              <w:rPr>
                <w:color w:val="323232"/>
              </w:rPr>
              <w:t>Python 3.10+, Requests, Tabulate, JSON, Jupyter Notebook</w:t>
            </w:r>
          </w:p>
        </w:tc>
      </w:tr>
      <w:tr>
        <w:tc>
          <w:tcPr>
            <w:tcW w:type="dxa" w:w="3312"/>
            <w:shd w:fill="F0F4F8"/>
            <w:tcMar>
              <w:top w:w="70" w:type="dxa"/>
              <w:bottom w:w="70" w:type="dxa"/>
              <w:left w:w="100" w:type="dxa"/>
              <w:right w:w="100" w:type="dxa"/>
            </w:tcMar>
          </w:tcPr>
          <w:p>
            <w:pPr>
              <w:spacing w:before="60" w:after="60"/>
            </w:pPr>
            <w:r>
              <w:rPr>
                <w:b/>
                <w:color w:val="1B365D"/>
              </w:rPr>
              <w:t>Submission Date:</w:t>
            </w:r>
          </w:p>
        </w:tc>
        <w:tc>
          <w:tcPr>
            <w:tcW w:type="dxa" w:w="6048"/>
            <w:shd w:fill="FAFCFD"/>
            <w:tcMar>
              <w:top w:w="70" w:type="dxa"/>
              <w:bottom w:w="70" w:type="dxa"/>
              <w:left w:w="100" w:type="dxa"/>
              <w:right w:w="100" w:type="dxa"/>
            </w:tcMar>
          </w:tcPr>
          <w:p>
            <w:pPr>
              <w:spacing w:before="60" w:after="60"/>
            </w:pPr>
            <w:r>
              <w:rPr>
                <w:color w:val="323232"/>
              </w:rPr>
              <w:t>October 2026</w:t>
            </w:r>
          </w:p>
        </w:tc>
      </w:tr>
    </w:tbl>
    <w:p>
      <w:r>
        <w:br w:type="page"/>
      </w:r>
    </w:p>
    <w:p>
      <w:pPr>
        <w:pStyle w:val="Heading1"/>
        <w:keepNext/>
        <w:spacing w:before="240" w:after="200"/>
      </w:pPr>
      <w:r>
        <w:rPr>
          <w:rFonts w:ascii="Calibri" w:hAnsi="Calibri"/>
          <w:b/>
          <w:color w:val="1B365D"/>
        </w:rPr>
        <w:t>Executive Summary</w:t>
      </w:r>
    </w:p>
    <w:p>
      <w:r>
        <w:t>Modern web applications operate in an adversarial threat landscape where client browsers serve as the primary defensive perimeter. However, client browsers can only enforce security boundaries when web servers correctly communicate defensive directives via HTTP response headers and maintain strict Cross-Origin Resource Sharing (CORS) access control policies. Missing or improperly configured security headers routinely expose users to Cross-Site Scripting (XSS), Clickjacking, MIME confusion attacks, and session interception. Furthermore, lax CORS configurations that reflect arbitrary origins or trust the 'null' origin combined with credentials permit malicious third-party websites to extract private user data and conduct authenticated API attacks.</w:t>
      </w:r>
    </w:p>
    <w:p>
      <w:r>
        <w:t>This project presents the design, architectural methodology, and practical implementation of an Automated Web Security Scanner developed in Python. The scanner systematically audits target web endpoints for six foundational defensive headers, detects server banner information disclosure, and actively fuzzes the server's CORS access-control engine using four distinct attack vectors. Findings are weighted using an automated scoring algorithm (0 to 100) that generates an industry-standard security posture letter grade (A+ through F) alongside human-readable terminal tables and automated JSON reports.</w:t>
      </w:r>
    </w:p>
    <w:p>
      <w:pPr>
        <w:pStyle w:val="Heading2"/>
        <w:keepNext/>
        <w:spacing w:before="320" w:after="160"/>
      </w:pPr>
      <w:r>
        <w:rPr>
          <w:rFonts w:ascii="Calibri" w:hAnsi="Calibri"/>
          <w:b/>
          <w:color w:val="1B365D"/>
        </w:rPr>
        <w:t>Project Deliverables &amp; Repository Structure</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B365D"/>
            <w:tcMar>
              <w:top w:w="120" w:type="dxa"/>
              <w:bottom w:w="120" w:type="dxa"/>
              <w:left w:w="150" w:type="dxa"/>
              <w:right w:w="150" w:type="dxa"/>
            </w:tcMar>
          </w:tcPr>
          <w:p>
            <w:pPr>
              <w:jc w:val="left"/>
            </w:pPr>
            <w:r>
              <w:rPr>
                <w:rFonts w:ascii="Calibri" w:hAnsi="Calibri"/>
                <w:b/>
                <w:color w:val="FFFFFF"/>
                <w:sz w:val="20"/>
              </w:rPr>
              <w:t>Deliverable Item</w:t>
            </w:r>
          </w:p>
        </w:tc>
        <w:tc>
          <w:tcPr>
            <w:tcW w:type="dxa" w:w="3600"/>
            <w:shd w:fill="1B365D"/>
            <w:tcMar>
              <w:top w:w="120" w:type="dxa"/>
              <w:bottom w:w="120" w:type="dxa"/>
              <w:left w:w="150" w:type="dxa"/>
              <w:right w:w="150" w:type="dxa"/>
            </w:tcMar>
          </w:tcPr>
          <w:p>
            <w:pPr>
              <w:jc w:val="left"/>
            </w:pPr>
            <w:r>
              <w:rPr>
                <w:rFonts w:ascii="Calibri" w:hAnsi="Calibri"/>
                <w:b/>
                <w:color w:val="FFFFFF"/>
                <w:sz w:val="20"/>
              </w:rPr>
              <w:t>File Name</w:t>
            </w:r>
          </w:p>
        </w:tc>
        <w:tc>
          <w:tcPr>
            <w:tcW w:type="dxa" w:w="2880"/>
            <w:shd w:fill="1B365D"/>
            <w:tcMar>
              <w:top w:w="120" w:type="dxa"/>
              <w:bottom w:w="120" w:type="dxa"/>
              <w:left w:w="150" w:type="dxa"/>
              <w:right w:w="150" w:type="dxa"/>
            </w:tcMar>
          </w:tcPr>
          <w:p>
            <w:pPr>
              <w:jc w:val="left"/>
            </w:pPr>
            <w:r>
              <w:rPr>
                <w:rFonts w:ascii="Calibri" w:hAnsi="Calibri"/>
                <w:b/>
                <w:color w:val="FFFFFF"/>
                <w:sz w:val="20"/>
              </w:rPr>
              <w:t>Description &amp; Scope</w:t>
            </w:r>
          </w:p>
        </w:tc>
      </w:tr>
      <w:tr>
        <w:tc>
          <w:tcPr>
            <w:tcW w:type="dxa" w:w="2880"/>
            <w:shd w:fill="FFFFFF"/>
            <w:tcMar>
              <w:top w:w="80" w:type="dxa"/>
              <w:bottom w:w="80" w:type="dxa"/>
              <w:left w:w="140" w:type="dxa"/>
              <w:right w:w="140" w:type="dxa"/>
            </w:tcMar>
          </w:tcPr>
          <w:p>
            <w:r>
              <w:rPr>
                <w:rFonts w:ascii="Calibri" w:hAnsi="Calibri"/>
                <w:color w:val="2C3E50"/>
                <w:sz w:val="19"/>
              </w:rPr>
              <w:t>Code File (Jupyter Notebook)</w:t>
            </w:r>
          </w:p>
        </w:tc>
        <w:tc>
          <w:tcPr>
            <w:tcW w:type="dxa" w:w="3600"/>
            <w:shd w:fill="FFFFFF"/>
            <w:tcMar>
              <w:top w:w="80" w:type="dxa"/>
              <w:bottom w:w="80" w:type="dxa"/>
              <w:left w:w="140" w:type="dxa"/>
              <w:right w:w="140" w:type="dxa"/>
            </w:tcMar>
          </w:tcPr>
          <w:p>
            <w:r>
              <w:rPr>
                <w:rFonts w:ascii="Calibri" w:hAnsi="Calibri"/>
                <w:color w:val="2C3E50"/>
                <w:sz w:val="19"/>
              </w:rPr>
              <w:t>AdityaNaik_AutomatedWebScanner.ipynb</w:t>
            </w:r>
          </w:p>
        </w:tc>
        <w:tc>
          <w:tcPr>
            <w:tcW w:type="dxa" w:w="2880"/>
            <w:shd w:fill="FFFFFF"/>
            <w:tcMar>
              <w:top w:w="80" w:type="dxa"/>
              <w:bottom w:w="80" w:type="dxa"/>
              <w:left w:w="140" w:type="dxa"/>
              <w:right w:w="140" w:type="dxa"/>
            </w:tcMar>
          </w:tcPr>
          <w:p>
            <w:r>
              <w:rPr>
                <w:rFonts w:ascii="Calibri" w:hAnsi="Calibri"/>
                <w:color w:val="2C3E50"/>
                <w:sz w:val="19"/>
              </w:rPr>
              <w:t>Complete documented notebook with executed cells &amp; tabular outputs</w:t>
            </w:r>
          </w:p>
        </w:tc>
      </w:tr>
      <w:tr>
        <w:tc>
          <w:tcPr>
            <w:tcW w:type="dxa" w:w="2880"/>
            <w:shd w:fill="F9FBFC"/>
            <w:tcMar>
              <w:top w:w="80" w:type="dxa"/>
              <w:bottom w:w="80" w:type="dxa"/>
              <w:left w:w="140" w:type="dxa"/>
              <w:right w:w="140" w:type="dxa"/>
            </w:tcMar>
          </w:tcPr>
          <w:p>
            <w:r>
              <w:rPr>
                <w:rFonts w:ascii="Calibri" w:hAnsi="Calibri"/>
                <w:color w:val="2C3E50"/>
                <w:sz w:val="19"/>
              </w:rPr>
              <w:t>Code File (Standalone Script)</w:t>
            </w:r>
          </w:p>
        </w:tc>
        <w:tc>
          <w:tcPr>
            <w:tcW w:type="dxa" w:w="3600"/>
            <w:shd w:fill="F9FBFC"/>
            <w:tcMar>
              <w:top w:w="80" w:type="dxa"/>
              <w:bottom w:w="80" w:type="dxa"/>
              <w:left w:w="140" w:type="dxa"/>
              <w:right w:w="140" w:type="dxa"/>
            </w:tcMar>
          </w:tcPr>
          <w:p>
            <w:r>
              <w:rPr>
                <w:rFonts w:ascii="Calibri" w:hAnsi="Calibri"/>
                <w:color w:val="2C3E50"/>
                <w:sz w:val="19"/>
              </w:rPr>
              <w:t>AdityaNaik_AutomatedWebScanner.py</w:t>
            </w:r>
          </w:p>
        </w:tc>
        <w:tc>
          <w:tcPr>
            <w:tcW w:type="dxa" w:w="2880"/>
            <w:shd w:fill="F9FBFC"/>
            <w:tcMar>
              <w:top w:w="80" w:type="dxa"/>
              <w:bottom w:w="80" w:type="dxa"/>
              <w:left w:w="140" w:type="dxa"/>
              <w:right w:w="140" w:type="dxa"/>
            </w:tcMar>
          </w:tcPr>
          <w:p>
            <w:r>
              <w:rPr>
                <w:rFonts w:ascii="Calibri" w:hAnsi="Calibri"/>
                <w:color w:val="2C3E50"/>
                <w:sz w:val="19"/>
              </w:rPr>
              <w:t>Production-grade CLI tool with argparse &amp; modular architecture</w:t>
            </w:r>
          </w:p>
        </w:tc>
      </w:tr>
      <w:tr>
        <w:tc>
          <w:tcPr>
            <w:tcW w:type="dxa" w:w="2880"/>
            <w:shd w:fill="FFFFFF"/>
            <w:tcMar>
              <w:top w:w="80" w:type="dxa"/>
              <w:bottom w:w="80" w:type="dxa"/>
              <w:left w:w="140" w:type="dxa"/>
              <w:right w:w="140" w:type="dxa"/>
            </w:tcMar>
          </w:tcPr>
          <w:p>
            <w:r>
              <w:rPr>
                <w:rFonts w:ascii="Calibri" w:hAnsi="Calibri"/>
                <w:color w:val="2C3E50"/>
                <w:sz w:val="19"/>
              </w:rPr>
              <w:t>Requirements File</w:t>
            </w:r>
          </w:p>
        </w:tc>
        <w:tc>
          <w:tcPr>
            <w:tcW w:type="dxa" w:w="3600"/>
            <w:shd w:fill="FFFFFF"/>
            <w:tcMar>
              <w:top w:w="80" w:type="dxa"/>
              <w:bottom w:w="80" w:type="dxa"/>
              <w:left w:w="140" w:type="dxa"/>
              <w:right w:w="140" w:type="dxa"/>
            </w:tcMar>
          </w:tcPr>
          <w:p>
            <w:r>
              <w:rPr>
                <w:rFonts w:ascii="Calibri" w:hAnsi="Calibri"/>
                <w:color w:val="2C3E50"/>
                <w:sz w:val="19"/>
              </w:rPr>
              <w:t>requirements.txt</w:t>
            </w:r>
          </w:p>
        </w:tc>
        <w:tc>
          <w:tcPr>
            <w:tcW w:type="dxa" w:w="2880"/>
            <w:shd w:fill="FFFFFF"/>
            <w:tcMar>
              <w:top w:w="80" w:type="dxa"/>
              <w:bottom w:w="80" w:type="dxa"/>
              <w:left w:w="140" w:type="dxa"/>
              <w:right w:w="140" w:type="dxa"/>
            </w:tcMar>
          </w:tcPr>
          <w:p>
            <w:r>
              <w:rPr>
                <w:rFonts w:ascii="Calibri" w:hAnsi="Calibri"/>
                <w:color w:val="2C3E50"/>
                <w:sz w:val="19"/>
              </w:rPr>
              <w:t>List of required Python libraries (requests, tabulate, python-docx)</w:t>
            </w:r>
          </w:p>
        </w:tc>
      </w:tr>
      <w:tr>
        <w:tc>
          <w:tcPr>
            <w:tcW w:type="dxa" w:w="2880"/>
            <w:shd w:fill="F9FBFC"/>
            <w:tcMar>
              <w:top w:w="80" w:type="dxa"/>
              <w:bottom w:w="80" w:type="dxa"/>
              <w:left w:w="140" w:type="dxa"/>
              <w:right w:w="140" w:type="dxa"/>
            </w:tcMar>
          </w:tcPr>
          <w:p>
            <w:r>
              <w:rPr>
                <w:rFonts w:ascii="Calibri" w:hAnsi="Calibri"/>
                <w:color w:val="2C3E50"/>
                <w:sz w:val="19"/>
              </w:rPr>
              <w:t>Project Report</w:t>
            </w:r>
          </w:p>
        </w:tc>
        <w:tc>
          <w:tcPr>
            <w:tcW w:type="dxa" w:w="3600"/>
            <w:shd w:fill="F9FBFC"/>
            <w:tcMar>
              <w:top w:w="80" w:type="dxa"/>
              <w:bottom w:w="80" w:type="dxa"/>
              <w:left w:w="140" w:type="dxa"/>
              <w:right w:w="140" w:type="dxa"/>
            </w:tcMar>
          </w:tcPr>
          <w:p>
            <w:r>
              <w:rPr>
                <w:rFonts w:ascii="Calibri" w:hAnsi="Calibri"/>
                <w:color w:val="2C3E50"/>
                <w:sz w:val="19"/>
              </w:rPr>
              <w:t>AdityaNaik_ProjectReport.docx</w:t>
            </w:r>
          </w:p>
        </w:tc>
        <w:tc>
          <w:tcPr>
            <w:tcW w:type="dxa" w:w="2880"/>
            <w:shd w:fill="F9FBFC"/>
            <w:tcMar>
              <w:top w:w="80" w:type="dxa"/>
              <w:bottom w:w="80" w:type="dxa"/>
              <w:left w:w="140" w:type="dxa"/>
              <w:right w:w="140" w:type="dxa"/>
            </w:tcMar>
          </w:tcPr>
          <w:p>
            <w:r>
              <w:rPr>
                <w:rFonts w:ascii="Calibri" w:hAnsi="Calibri"/>
                <w:color w:val="2C3E50"/>
                <w:sz w:val="19"/>
              </w:rPr>
              <w:t>Comprehensive academic report in Microsoft Word format</w:t>
            </w:r>
          </w:p>
        </w:tc>
      </w:tr>
      <w:tr>
        <w:tc>
          <w:tcPr>
            <w:tcW w:type="dxa" w:w="2880"/>
            <w:shd w:fill="FFFFFF"/>
            <w:tcMar>
              <w:top w:w="80" w:type="dxa"/>
              <w:bottom w:w="80" w:type="dxa"/>
              <w:left w:w="140" w:type="dxa"/>
              <w:right w:w="140" w:type="dxa"/>
            </w:tcMar>
          </w:tcPr>
          <w:p>
            <w:r>
              <w:rPr>
                <w:rFonts w:ascii="Calibri" w:hAnsi="Calibri"/>
                <w:color w:val="2C3E50"/>
                <w:sz w:val="19"/>
              </w:rPr>
              <w:t>Project Documentation</w:t>
            </w:r>
          </w:p>
        </w:tc>
        <w:tc>
          <w:tcPr>
            <w:tcW w:type="dxa" w:w="3600"/>
            <w:shd w:fill="FFFFFF"/>
            <w:tcMar>
              <w:top w:w="80" w:type="dxa"/>
              <w:bottom w:w="80" w:type="dxa"/>
              <w:left w:w="140" w:type="dxa"/>
              <w:right w:w="140" w:type="dxa"/>
            </w:tcMar>
          </w:tcPr>
          <w:p>
            <w:r>
              <w:rPr>
                <w:rFonts w:ascii="Calibri" w:hAnsi="Calibri"/>
                <w:color w:val="2C3E50"/>
                <w:sz w:val="19"/>
              </w:rPr>
              <w:t>README.md</w:t>
            </w:r>
          </w:p>
        </w:tc>
        <w:tc>
          <w:tcPr>
            <w:tcW w:type="dxa" w:w="2880"/>
            <w:shd w:fill="FFFFFF"/>
            <w:tcMar>
              <w:top w:w="80" w:type="dxa"/>
              <w:bottom w:w="80" w:type="dxa"/>
              <w:left w:w="140" w:type="dxa"/>
              <w:right w:w="140" w:type="dxa"/>
            </w:tcMar>
          </w:tcPr>
          <w:p>
            <w:r>
              <w:rPr>
                <w:rFonts w:ascii="Calibri" w:hAnsi="Calibri"/>
                <w:color w:val="2C3E50"/>
                <w:sz w:val="19"/>
              </w:rPr>
              <w:t>GitHub-style markdown documentation, installation &amp; setup guide</w:t>
            </w:r>
          </w:p>
        </w:tc>
      </w:tr>
      <w:tr>
        <w:tc>
          <w:tcPr>
            <w:tcW w:type="dxa" w:w="2880"/>
            <w:shd w:fill="F9FBFC"/>
            <w:tcMar>
              <w:top w:w="80" w:type="dxa"/>
              <w:bottom w:w="80" w:type="dxa"/>
              <w:left w:w="140" w:type="dxa"/>
              <w:right w:w="140" w:type="dxa"/>
            </w:tcMar>
          </w:tcPr>
          <w:p>
            <w:r>
              <w:rPr>
                <w:rFonts w:ascii="Calibri" w:hAnsi="Calibri"/>
                <w:color w:val="2C3E50"/>
                <w:sz w:val="19"/>
              </w:rPr>
              <w:t>Sample Audit Artifact</w:t>
            </w:r>
          </w:p>
        </w:tc>
        <w:tc>
          <w:tcPr>
            <w:tcW w:type="dxa" w:w="3600"/>
            <w:shd w:fill="F9FBFC"/>
            <w:tcMar>
              <w:top w:w="80" w:type="dxa"/>
              <w:bottom w:w="80" w:type="dxa"/>
              <w:left w:w="140" w:type="dxa"/>
              <w:right w:w="140" w:type="dxa"/>
            </w:tcMar>
          </w:tcPr>
          <w:p>
            <w:r>
              <w:rPr>
                <w:rFonts w:ascii="Calibri" w:hAnsi="Calibri"/>
                <w:color w:val="2C3E50"/>
                <w:sz w:val="19"/>
              </w:rPr>
              <w:t>audit_results.json</w:t>
            </w:r>
          </w:p>
        </w:tc>
        <w:tc>
          <w:tcPr>
            <w:tcW w:type="dxa" w:w="2880"/>
            <w:shd w:fill="F9FBFC"/>
            <w:tcMar>
              <w:top w:w="80" w:type="dxa"/>
              <w:bottom w:w="80" w:type="dxa"/>
              <w:left w:w="140" w:type="dxa"/>
              <w:right w:w="140" w:type="dxa"/>
            </w:tcMar>
          </w:tcPr>
          <w:p>
            <w:r>
              <w:rPr>
                <w:rFonts w:ascii="Calibri" w:hAnsi="Calibri"/>
                <w:color w:val="2C3E50"/>
                <w:sz w:val="19"/>
              </w:rPr>
              <w:t>Structured JSON output exported from real-world endpoint audits</w:t>
            </w:r>
          </w:p>
        </w:tc>
      </w:tr>
    </w:tbl>
    <w:p>
      <w:r>
        <w:br w:type="page"/>
      </w:r>
    </w:p>
    <w:p>
      <w:pPr>
        <w:pStyle w:val="Heading1"/>
        <w:keepNext/>
        <w:spacing w:before="280" w:after="200"/>
      </w:pPr>
      <w:r>
        <w:rPr>
          <w:rFonts w:ascii="Calibri" w:hAnsi="Calibri"/>
          <w:b/>
          <w:color w:val="1B365D"/>
        </w:rPr>
        <w:t>1. Introduction &amp; Background</w:t>
      </w:r>
    </w:p>
    <w:p>
      <w:r>
        <w:t>The World Wide Web relies on the fundamental Same-Origin Policy (SOP), which isolates documents and scripts loaded from one origin (protocol, domain, and port) from accessing resources loaded from another origin. While SOP provides essential isolation, contemporary web applications require intricate cross-origin interactions to support modern microservices, single-page applications (SPAs), content delivery networks (CDNs), and distributed API ecosystems.</w:t>
      </w:r>
    </w:p>
    <w:p>
      <w:pPr>
        <w:pStyle w:val="Heading2"/>
        <w:keepNext/>
        <w:spacing w:before="240" w:after="120"/>
      </w:pPr>
      <w:r>
        <w:rPr>
          <w:rFonts w:ascii="Calibri" w:hAnsi="Calibri"/>
          <w:b/>
          <w:color w:val="1B365D"/>
        </w:rPr>
        <w:t>1.1 The Role of HTTP Defensive Headers</w:t>
      </w:r>
    </w:p>
    <w:p>
      <w:r>
        <w:t>To enable defense-in-depth, browser vendors and standards bodies (W3C, IETF) introduced specialized HTTP response headers. These headers instruct the browser on how to restrict document rendering, resource loading, navigation, and API access. Key defensive headers include Content-Security-Policy (CSP), Strict-Transport-Security (HSTS), X-Frame-Options, X-Content-Type-Options, Referrer-Policy, and Permissions-Policy. Despite their proven efficacy, empirical security studies reveal that over 65% of active websites omit one or more critical security headers or implement them with insecure, permissive directives.</w:t>
      </w:r>
    </w:p>
    <w:p>
      <w:pPr>
        <w:pStyle w:val="Heading2"/>
        <w:keepNext/>
        <w:spacing w:before="240" w:after="120"/>
      </w:pPr>
      <w:r>
        <w:rPr>
          <w:rFonts w:ascii="Calibri" w:hAnsi="Calibri"/>
          <w:b/>
          <w:color w:val="1B365D"/>
        </w:rPr>
        <w:t>1.2 The Cross-Origin Resource Sharing (CORS) Dilemma</w:t>
      </w:r>
    </w:p>
    <w:p>
      <w:r>
        <w:t>Cross-Origin Resource Sharing (CORS) was introduced as a controlled mechanism to relax SOP constraints. By utilizing HTTP headers such as Access-Control-Allow-Origin (ACAO) and Access-Control-Allow-Credentials (ACAC), servers specify which external origins are permitted to read sensitive HTTP responses. However, web developers frequently misconfigure CORS to resolve cross-origin errors during development. A ubiquitous anti-pattern is dynamically reflecting the incoming 'Origin' header back in ACAO while simultaneously declaring 'Access-Control-Allow-Credentials: true'. This flaw completely dismantles SOP, allowing any attacker-controlled website to initiate authenticated XMLHttpRequests or fetch requests, exfiltrating authentication cookies, user profiles, and private tokens.</w:t>
      </w:r>
    </w:p>
    <w:p>
      <w:pPr>
        <w:pStyle w:val="Heading2"/>
        <w:keepNext/>
        <w:spacing w:before="240" w:after="120"/>
      </w:pPr>
      <w:r>
        <w:rPr>
          <w:rFonts w:ascii="Calibri" w:hAnsi="Calibri"/>
          <w:b/>
          <w:color w:val="1B365D"/>
        </w:rPr>
        <w:t>1.3 Project Motivation &amp; Objectives</w:t>
      </w:r>
    </w:p>
    <w:p>
      <w:r>
        <w:t>Manual security audits of headers and CORS across diverse environments are error-prone and time-consuming. The primary objectives of this project are:</w:t>
        <w:br/>
        <w:t>1. Develop an automated, lightweight, non-destructive Python security scanner capable of auditing any target web application.</w:t>
        <w:br/>
        <w:t>2. Implement baseline directive validation across 6 essential HTTP defensive headers and flag server version disclosures.</w:t>
        <w:br/>
        <w:t>3. Probe target endpoints with 4 specialized CORS attack vectors (arbitrary reflection, null origin, subdomain confusion, suffix bypass).</w:t>
        <w:br/>
        <w:t>4. Calculate an objective, reproducible Security Posture Score (0–100) and assign letter grades (A+ to F).</w:t>
        <w:br/>
        <w:t>5. Output structured audit artifacts in terminal grid format and machine-readable JSON for DevSecOps integration.</w:t>
      </w:r>
    </w:p>
    <w:p>
      <w:pPr>
        <w:pStyle w:val="Heading1"/>
        <w:keepNext/>
        <w:spacing w:before="320" w:after="200"/>
      </w:pPr>
      <w:r>
        <w:rPr>
          <w:rFonts w:ascii="Calibri" w:hAnsi="Calibri"/>
          <w:b/>
          <w:color w:val="1B365D"/>
        </w:rPr>
        <w:t>2. Theoretical Background &amp; Security Standards</w:t>
      </w:r>
    </w:p>
    <w:p>
      <w:r>
        <w:t>The scanner's inspection engine is built upon industry-standard specifications and alignment with OWASP Top 10:2021 Category A05 (Security Misconfiguration). Table 2 summarizes the audited defensive mechanisms and their vulnerability impact.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B365D"/>
            <w:tcMar>
              <w:top w:w="120" w:type="dxa"/>
              <w:bottom w:w="120" w:type="dxa"/>
              <w:left w:w="150" w:type="dxa"/>
              <w:right w:w="150" w:type="dxa"/>
            </w:tcMar>
          </w:tcPr>
          <w:p>
            <w:pPr>
              <w:jc w:val="left"/>
            </w:pPr>
            <w:r>
              <w:rPr>
                <w:rFonts w:ascii="Calibri" w:hAnsi="Calibri"/>
                <w:b/>
                <w:color w:val="FFFFFF"/>
                <w:sz w:val="20"/>
              </w:rPr>
              <w:t>Header Name</w:t>
            </w:r>
          </w:p>
        </w:tc>
        <w:tc>
          <w:tcPr>
            <w:tcW w:type="dxa" w:w="1584"/>
            <w:shd w:fill="1B365D"/>
            <w:tcMar>
              <w:top w:w="120" w:type="dxa"/>
              <w:bottom w:w="120" w:type="dxa"/>
              <w:left w:w="150" w:type="dxa"/>
              <w:right w:w="150" w:type="dxa"/>
            </w:tcMar>
          </w:tcPr>
          <w:p>
            <w:pPr>
              <w:jc w:val="left"/>
            </w:pPr>
            <w:r>
              <w:rPr>
                <w:rFonts w:ascii="Calibri" w:hAnsi="Calibri"/>
                <w:b/>
                <w:color w:val="FFFFFF"/>
                <w:sz w:val="20"/>
              </w:rPr>
              <w:t>Standard</w:t>
            </w:r>
          </w:p>
        </w:tc>
        <w:tc>
          <w:tcPr>
            <w:tcW w:type="dxa" w:w="1440"/>
            <w:shd w:fill="1B365D"/>
            <w:tcMar>
              <w:top w:w="120" w:type="dxa"/>
              <w:bottom w:w="120" w:type="dxa"/>
              <w:left w:w="150" w:type="dxa"/>
              <w:right w:w="150" w:type="dxa"/>
            </w:tcMar>
          </w:tcPr>
          <w:p>
            <w:pPr>
              <w:jc w:val="left"/>
            </w:pPr>
            <w:r>
              <w:rPr>
                <w:rFonts w:ascii="Calibri" w:hAnsi="Calibri"/>
                <w:b/>
                <w:color w:val="FFFFFF"/>
                <w:sz w:val="20"/>
              </w:rPr>
              <w:t>Severity</w:t>
            </w:r>
          </w:p>
        </w:tc>
        <w:tc>
          <w:tcPr>
            <w:tcW w:type="dxa" w:w="3744"/>
            <w:shd w:fill="1B365D"/>
            <w:tcMar>
              <w:top w:w="120" w:type="dxa"/>
              <w:bottom w:w="120" w:type="dxa"/>
              <w:left w:w="150" w:type="dxa"/>
              <w:right w:w="150" w:type="dxa"/>
            </w:tcMar>
          </w:tcPr>
          <w:p>
            <w:pPr>
              <w:jc w:val="left"/>
            </w:pPr>
            <w:r>
              <w:rPr>
                <w:rFonts w:ascii="Calibri" w:hAnsi="Calibri"/>
                <w:b/>
                <w:color w:val="FFFFFF"/>
                <w:sz w:val="20"/>
              </w:rPr>
              <w:t>Security Rationale &amp; Threat Mitigation</w:t>
            </w:r>
          </w:p>
        </w:tc>
      </w:tr>
      <w:tr>
        <w:tc>
          <w:tcPr>
            <w:tcW w:type="dxa" w:w="2592"/>
            <w:shd w:fill="FFFFFF"/>
            <w:tcMar>
              <w:top w:w="80" w:type="dxa"/>
              <w:bottom w:w="80" w:type="dxa"/>
              <w:left w:w="140" w:type="dxa"/>
              <w:right w:w="140" w:type="dxa"/>
            </w:tcMar>
          </w:tcPr>
          <w:p>
            <w:r>
              <w:rPr>
                <w:rFonts w:ascii="Calibri" w:hAnsi="Calibri"/>
                <w:color w:val="2C3E50"/>
                <w:sz w:val="19"/>
              </w:rPr>
              <w:t>Strict-Transport-Security (HSTS)</w:t>
            </w:r>
          </w:p>
        </w:tc>
        <w:tc>
          <w:tcPr>
            <w:tcW w:type="dxa" w:w="1584"/>
            <w:shd w:fill="FFFFFF"/>
            <w:tcMar>
              <w:top w:w="80" w:type="dxa"/>
              <w:bottom w:w="80" w:type="dxa"/>
              <w:left w:w="140" w:type="dxa"/>
              <w:right w:w="140" w:type="dxa"/>
            </w:tcMar>
          </w:tcPr>
          <w:p>
            <w:r>
              <w:rPr>
                <w:rFonts w:ascii="Calibri" w:hAnsi="Calibri"/>
                <w:color w:val="2C3E50"/>
                <w:sz w:val="19"/>
              </w:rPr>
              <w:t>RFC 6797</w:t>
            </w:r>
          </w:p>
        </w:tc>
        <w:tc>
          <w:tcPr>
            <w:tcW w:type="dxa" w:w="1440"/>
            <w:shd w:fill="FFFFFF"/>
            <w:tcMar>
              <w:top w:w="80" w:type="dxa"/>
              <w:bottom w:w="80" w:type="dxa"/>
              <w:left w:w="140" w:type="dxa"/>
              <w:right w:w="140" w:type="dxa"/>
            </w:tcMar>
          </w:tcPr>
          <w:p>
            <w:r>
              <w:rPr>
                <w:rFonts w:ascii="Calibri" w:hAnsi="Calibri"/>
                <w:color w:val="2C3E50"/>
                <w:sz w:val="19"/>
              </w:rPr>
              <w:t>High</w:t>
            </w:r>
          </w:p>
        </w:tc>
        <w:tc>
          <w:tcPr>
            <w:tcW w:type="dxa" w:w="3744"/>
            <w:shd w:fill="FFFFFF"/>
            <w:tcMar>
              <w:top w:w="80" w:type="dxa"/>
              <w:bottom w:w="80" w:type="dxa"/>
              <w:left w:w="140" w:type="dxa"/>
              <w:right w:w="140" w:type="dxa"/>
            </w:tcMar>
          </w:tcPr>
          <w:p>
            <w:r>
              <w:rPr>
                <w:rFonts w:ascii="Calibri" w:hAnsi="Calibri"/>
                <w:color w:val="2C3E50"/>
                <w:sz w:val="19"/>
              </w:rPr>
              <w:t>Forces HTTPS connections; mitigates SSL-stripping, protocol downgrade, and cookie hijacking.</w:t>
            </w:r>
          </w:p>
        </w:tc>
      </w:tr>
      <w:tr>
        <w:tc>
          <w:tcPr>
            <w:tcW w:type="dxa" w:w="2592"/>
            <w:shd w:fill="F9FBFC"/>
            <w:tcMar>
              <w:top w:w="80" w:type="dxa"/>
              <w:bottom w:w="80" w:type="dxa"/>
              <w:left w:w="140" w:type="dxa"/>
              <w:right w:w="140" w:type="dxa"/>
            </w:tcMar>
          </w:tcPr>
          <w:p>
            <w:r>
              <w:rPr>
                <w:rFonts w:ascii="Calibri" w:hAnsi="Calibri"/>
                <w:color w:val="2C3E50"/>
                <w:sz w:val="19"/>
              </w:rPr>
              <w:t>Content-Security-Policy (CSP)</w:t>
            </w:r>
          </w:p>
        </w:tc>
        <w:tc>
          <w:tcPr>
            <w:tcW w:type="dxa" w:w="1584"/>
            <w:shd w:fill="F9FBFC"/>
            <w:tcMar>
              <w:top w:w="80" w:type="dxa"/>
              <w:bottom w:w="80" w:type="dxa"/>
              <w:left w:w="140" w:type="dxa"/>
              <w:right w:w="140" w:type="dxa"/>
            </w:tcMar>
          </w:tcPr>
          <w:p>
            <w:r>
              <w:rPr>
                <w:rFonts w:ascii="Calibri" w:hAnsi="Calibri"/>
                <w:color w:val="2C3E50"/>
                <w:sz w:val="19"/>
              </w:rPr>
              <w:t>W3C Level 3</w:t>
            </w:r>
          </w:p>
        </w:tc>
        <w:tc>
          <w:tcPr>
            <w:tcW w:type="dxa" w:w="1440"/>
            <w:shd w:fill="F9FBFC"/>
            <w:tcMar>
              <w:top w:w="80" w:type="dxa"/>
              <w:bottom w:w="80" w:type="dxa"/>
              <w:left w:w="140" w:type="dxa"/>
              <w:right w:w="140" w:type="dxa"/>
            </w:tcMar>
          </w:tcPr>
          <w:p>
            <w:r>
              <w:rPr>
                <w:rFonts w:ascii="Calibri" w:hAnsi="Calibri"/>
                <w:color w:val="2C3E50"/>
                <w:sz w:val="19"/>
              </w:rPr>
              <w:t>Critical</w:t>
            </w:r>
          </w:p>
        </w:tc>
        <w:tc>
          <w:tcPr>
            <w:tcW w:type="dxa" w:w="3744"/>
            <w:shd w:fill="F9FBFC"/>
            <w:tcMar>
              <w:top w:w="80" w:type="dxa"/>
              <w:bottom w:w="80" w:type="dxa"/>
              <w:left w:w="140" w:type="dxa"/>
              <w:right w:w="140" w:type="dxa"/>
            </w:tcMar>
          </w:tcPr>
          <w:p>
            <w:r>
              <w:rPr>
                <w:rFonts w:ascii="Calibri" w:hAnsi="Calibri"/>
                <w:color w:val="2C3E50"/>
                <w:sz w:val="19"/>
              </w:rPr>
              <w:t>Restricts executable script sources and resource endpoints; primary defense against XSS.</w:t>
            </w:r>
          </w:p>
        </w:tc>
      </w:tr>
      <w:tr>
        <w:tc>
          <w:tcPr>
            <w:tcW w:type="dxa" w:w="2592"/>
            <w:shd w:fill="FFFFFF"/>
            <w:tcMar>
              <w:top w:w="80" w:type="dxa"/>
              <w:bottom w:w="80" w:type="dxa"/>
              <w:left w:w="140" w:type="dxa"/>
              <w:right w:w="140" w:type="dxa"/>
            </w:tcMar>
          </w:tcPr>
          <w:p>
            <w:r>
              <w:rPr>
                <w:rFonts w:ascii="Calibri" w:hAnsi="Calibri"/>
                <w:color w:val="2C3E50"/>
                <w:sz w:val="19"/>
              </w:rPr>
              <w:t>X-Frame-Options</w:t>
            </w:r>
          </w:p>
        </w:tc>
        <w:tc>
          <w:tcPr>
            <w:tcW w:type="dxa" w:w="1584"/>
            <w:shd w:fill="FFFFFF"/>
            <w:tcMar>
              <w:top w:w="80" w:type="dxa"/>
              <w:bottom w:w="80" w:type="dxa"/>
              <w:left w:w="140" w:type="dxa"/>
              <w:right w:w="140" w:type="dxa"/>
            </w:tcMar>
          </w:tcPr>
          <w:p>
            <w:r>
              <w:rPr>
                <w:rFonts w:ascii="Calibri" w:hAnsi="Calibri"/>
                <w:color w:val="2C3E50"/>
                <w:sz w:val="19"/>
              </w:rPr>
              <w:t>RFC 7034</w:t>
            </w:r>
          </w:p>
        </w:tc>
        <w:tc>
          <w:tcPr>
            <w:tcW w:type="dxa" w:w="1440"/>
            <w:shd w:fill="FFFFFF"/>
            <w:tcMar>
              <w:top w:w="80" w:type="dxa"/>
              <w:bottom w:w="80" w:type="dxa"/>
              <w:left w:w="140" w:type="dxa"/>
              <w:right w:w="140" w:type="dxa"/>
            </w:tcMar>
          </w:tcPr>
          <w:p>
            <w:r>
              <w:rPr>
                <w:rFonts w:ascii="Calibri" w:hAnsi="Calibri"/>
                <w:color w:val="2C3E50"/>
                <w:sz w:val="19"/>
              </w:rPr>
              <w:t>Medium</w:t>
            </w:r>
          </w:p>
        </w:tc>
        <w:tc>
          <w:tcPr>
            <w:tcW w:type="dxa" w:w="3744"/>
            <w:shd w:fill="FFFFFF"/>
            <w:tcMar>
              <w:top w:w="80" w:type="dxa"/>
              <w:bottom w:w="80" w:type="dxa"/>
              <w:left w:w="140" w:type="dxa"/>
              <w:right w:w="140" w:type="dxa"/>
            </w:tcMar>
          </w:tcPr>
          <w:p>
            <w:r>
              <w:rPr>
                <w:rFonts w:ascii="Calibri" w:hAnsi="Calibri"/>
                <w:color w:val="2C3E50"/>
                <w:sz w:val="19"/>
              </w:rPr>
              <w:t>Restricts framing in &lt;iframe&gt;, &lt;frame&gt;, or &lt;object&gt;; eliminates UI Redressing / Clickjacking.</w:t>
            </w:r>
          </w:p>
        </w:tc>
      </w:tr>
      <w:tr>
        <w:tc>
          <w:tcPr>
            <w:tcW w:type="dxa" w:w="2592"/>
            <w:shd w:fill="F9FBFC"/>
            <w:tcMar>
              <w:top w:w="80" w:type="dxa"/>
              <w:bottom w:w="80" w:type="dxa"/>
              <w:left w:w="140" w:type="dxa"/>
              <w:right w:w="140" w:type="dxa"/>
            </w:tcMar>
          </w:tcPr>
          <w:p>
            <w:r>
              <w:rPr>
                <w:rFonts w:ascii="Calibri" w:hAnsi="Calibri"/>
                <w:color w:val="2C3E50"/>
                <w:sz w:val="19"/>
              </w:rPr>
              <w:t>X-Content-Type-Options</w:t>
            </w:r>
          </w:p>
        </w:tc>
        <w:tc>
          <w:tcPr>
            <w:tcW w:type="dxa" w:w="1584"/>
            <w:shd w:fill="F9FBFC"/>
            <w:tcMar>
              <w:top w:w="80" w:type="dxa"/>
              <w:bottom w:w="80" w:type="dxa"/>
              <w:left w:w="140" w:type="dxa"/>
              <w:right w:w="140" w:type="dxa"/>
            </w:tcMar>
          </w:tcPr>
          <w:p>
            <w:r>
              <w:rPr>
                <w:rFonts w:ascii="Calibri" w:hAnsi="Calibri"/>
                <w:color w:val="2C3E50"/>
                <w:sz w:val="19"/>
              </w:rPr>
              <w:t>W3C Fetch</w:t>
            </w:r>
          </w:p>
        </w:tc>
        <w:tc>
          <w:tcPr>
            <w:tcW w:type="dxa" w:w="1440"/>
            <w:shd w:fill="F9FBFC"/>
            <w:tcMar>
              <w:top w:w="80" w:type="dxa"/>
              <w:bottom w:w="80" w:type="dxa"/>
              <w:left w:w="140" w:type="dxa"/>
              <w:right w:w="140" w:type="dxa"/>
            </w:tcMar>
          </w:tcPr>
          <w:p>
            <w:r>
              <w:rPr>
                <w:rFonts w:ascii="Calibri" w:hAnsi="Calibri"/>
                <w:color w:val="2C3E50"/>
                <w:sz w:val="19"/>
              </w:rPr>
              <w:t>Medium</w:t>
            </w:r>
          </w:p>
        </w:tc>
        <w:tc>
          <w:tcPr>
            <w:tcW w:type="dxa" w:w="3744"/>
            <w:shd w:fill="F9FBFC"/>
            <w:tcMar>
              <w:top w:w="80" w:type="dxa"/>
              <w:bottom w:w="80" w:type="dxa"/>
              <w:left w:w="140" w:type="dxa"/>
              <w:right w:w="140" w:type="dxa"/>
            </w:tcMar>
          </w:tcPr>
          <w:p>
            <w:r>
              <w:rPr>
                <w:rFonts w:ascii="Calibri" w:hAnsi="Calibri"/>
                <w:color w:val="2C3E50"/>
                <w:sz w:val="19"/>
              </w:rPr>
              <w:t>Mandates 'nosniff'; disables browser MIME-sniffing that misinterprets images/text as scripts.</w:t>
            </w:r>
          </w:p>
        </w:tc>
      </w:tr>
      <w:tr>
        <w:tc>
          <w:tcPr>
            <w:tcW w:type="dxa" w:w="2592"/>
            <w:shd w:fill="FFFFFF"/>
            <w:tcMar>
              <w:top w:w="80" w:type="dxa"/>
              <w:bottom w:w="80" w:type="dxa"/>
              <w:left w:w="140" w:type="dxa"/>
              <w:right w:w="140" w:type="dxa"/>
            </w:tcMar>
          </w:tcPr>
          <w:p>
            <w:r>
              <w:rPr>
                <w:rFonts w:ascii="Calibri" w:hAnsi="Calibri"/>
                <w:color w:val="2C3E50"/>
                <w:sz w:val="19"/>
              </w:rPr>
              <w:t>Referrer-Policy</w:t>
            </w:r>
          </w:p>
        </w:tc>
        <w:tc>
          <w:tcPr>
            <w:tcW w:type="dxa" w:w="1584"/>
            <w:shd w:fill="FFFFFF"/>
            <w:tcMar>
              <w:top w:w="80" w:type="dxa"/>
              <w:bottom w:w="80" w:type="dxa"/>
              <w:left w:w="140" w:type="dxa"/>
              <w:right w:w="140" w:type="dxa"/>
            </w:tcMar>
          </w:tcPr>
          <w:p>
            <w:r>
              <w:rPr>
                <w:rFonts w:ascii="Calibri" w:hAnsi="Calibri"/>
                <w:color w:val="2C3E50"/>
                <w:sz w:val="19"/>
              </w:rPr>
              <w:t>W3C Spec</w:t>
            </w:r>
          </w:p>
        </w:tc>
        <w:tc>
          <w:tcPr>
            <w:tcW w:type="dxa" w:w="1440"/>
            <w:shd w:fill="FFFFFF"/>
            <w:tcMar>
              <w:top w:w="80" w:type="dxa"/>
              <w:bottom w:w="80" w:type="dxa"/>
              <w:left w:w="140" w:type="dxa"/>
              <w:right w:w="140" w:type="dxa"/>
            </w:tcMar>
          </w:tcPr>
          <w:p>
            <w:r>
              <w:rPr>
                <w:rFonts w:ascii="Calibri" w:hAnsi="Calibri"/>
                <w:color w:val="2C3E50"/>
                <w:sz w:val="19"/>
              </w:rPr>
              <w:t>Low</w:t>
            </w:r>
          </w:p>
        </w:tc>
        <w:tc>
          <w:tcPr>
            <w:tcW w:type="dxa" w:w="3744"/>
            <w:shd w:fill="FFFFFF"/>
            <w:tcMar>
              <w:top w:w="80" w:type="dxa"/>
              <w:bottom w:w="80" w:type="dxa"/>
              <w:left w:w="140" w:type="dxa"/>
              <w:right w:w="140" w:type="dxa"/>
            </w:tcMar>
          </w:tcPr>
          <w:p>
            <w:r>
              <w:rPr>
                <w:rFonts w:ascii="Calibri" w:hAnsi="Calibri"/>
                <w:color w:val="2C3E50"/>
                <w:sz w:val="19"/>
              </w:rPr>
              <w:t>Governs Referer header transmission; prevents leakage of private URL tokens across origins.</w:t>
            </w:r>
          </w:p>
        </w:tc>
      </w:tr>
      <w:tr>
        <w:tc>
          <w:tcPr>
            <w:tcW w:type="dxa" w:w="2592"/>
            <w:shd w:fill="F9FBFC"/>
            <w:tcMar>
              <w:top w:w="80" w:type="dxa"/>
              <w:bottom w:w="80" w:type="dxa"/>
              <w:left w:w="140" w:type="dxa"/>
              <w:right w:w="140" w:type="dxa"/>
            </w:tcMar>
          </w:tcPr>
          <w:p>
            <w:r>
              <w:rPr>
                <w:rFonts w:ascii="Calibri" w:hAnsi="Calibri"/>
                <w:color w:val="2C3E50"/>
                <w:sz w:val="19"/>
              </w:rPr>
              <w:t>Permissions-Policy</w:t>
            </w:r>
          </w:p>
        </w:tc>
        <w:tc>
          <w:tcPr>
            <w:tcW w:type="dxa" w:w="1584"/>
            <w:shd w:fill="F9FBFC"/>
            <w:tcMar>
              <w:top w:w="80" w:type="dxa"/>
              <w:bottom w:w="80" w:type="dxa"/>
              <w:left w:w="140" w:type="dxa"/>
              <w:right w:w="140" w:type="dxa"/>
            </w:tcMar>
          </w:tcPr>
          <w:p>
            <w:r>
              <w:rPr>
                <w:rFonts w:ascii="Calibri" w:hAnsi="Calibri"/>
                <w:color w:val="2C3E50"/>
                <w:sz w:val="19"/>
              </w:rPr>
              <w:t>W3C Spec</w:t>
            </w:r>
          </w:p>
        </w:tc>
        <w:tc>
          <w:tcPr>
            <w:tcW w:type="dxa" w:w="1440"/>
            <w:shd w:fill="F9FBFC"/>
            <w:tcMar>
              <w:top w:w="80" w:type="dxa"/>
              <w:bottom w:w="80" w:type="dxa"/>
              <w:left w:w="140" w:type="dxa"/>
              <w:right w:w="140" w:type="dxa"/>
            </w:tcMar>
          </w:tcPr>
          <w:p>
            <w:r>
              <w:rPr>
                <w:rFonts w:ascii="Calibri" w:hAnsi="Calibri"/>
                <w:color w:val="2C3E50"/>
                <w:sz w:val="19"/>
              </w:rPr>
              <w:t>Low</w:t>
            </w:r>
          </w:p>
        </w:tc>
        <w:tc>
          <w:tcPr>
            <w:tcW w:type="dxa" w:w="3744"/>
            <w:shd w:fill="F9FBFC"/>
            <w:tcMar>
              <w:top w:w="80" w:type="dxa"/>
              <w:bottom w:w="80" w:type="dxa"/>
              <w:left w:w="140" w:type="dxa"/>
              <w:right w:w="140" w:type="dxa"/>
            </w:tcMar>
          </w:tcPr>
          <w:p>
            <w:r>
              <w:rPr>
                <w:rFonts w:ascii="Calibri" w:hAnsi="Calibri"/>
                <w:color w:val="2C3E50"/>
                <w:sz w:val="19"/>
              </w:rPr>
              <w:t>Controls access to sensitive hardware and browser APIs (camera, geolocation, microphone, payment).</w:t>
            </w:r>
          </w:p>
        </w:tc>
      </w:tr>
    </w:tbl>
    <w:p>
      <w:pPr>
        <w:pStyle w:val="Heading2"/>
        <w:keepNext/>
        <w:spacing w:before="280" w:after="120"/>
      </w:pPr>
      <w:r>
        <w:rPr>
          <w:rFonts w:ascii="Calibri" w:hAnsi="Calibri"/>
          <w:b/>
          <w:color w:val="1B365D"/>
        </w:rPr>
        <w:t>2.1 CORS Vulnerability Archetypes</w:t>
      </w:r>
    </w:p>
    <w:p>
      <w:r>
        <w:t>CORS vulnerabilities arise when server-side access-control logic improperly validates the client-supplied 'Origin' header. The scanner specifically simulates the four most prevalent exploitation vectors:</w:t>
        <w:br/>
        <w:br/>
        <w:t>• Arbitrary Origin Reflection: The server reads the HTTP Origin header from the request and echoes it directly in 'Access-Control-Allow-Origin: &lt;origin&gt;' without verification. When 'Access-Control-Allow-Credentials: true' is set, any third-party website visited by a victim can access protected endpoints using the victim's ambient browser credentials (cookies).</w:t>
        <w:br/>
        <w:br/>
        <w:t>• Null Origin Exploitation: The origin 'null' is dispatched by browsers in sandboxed iframes (&lt;iframe sandbox="allow-scripts"&gt;) and data: URIs. Some developers whitelist 'null' to support local file testing or iframe widgets. Attackers exploit this by hosting malicious scripts inside sandboxed iframes that execute cross-origin requests bearing the 'null' origin.</w:t>
        <w:br/>
        <w:br/>
        <w:t>• Prefix &amp; Subdomain Confusion: Incomplete regular expressions (e.g., regex matching 'target.com' without string start/end anchors) allow attackers to register domains such as 'target.com.attacker.com' or 'attacker-target.com', tricking the server into validating the unauthorized domain.</w:t>
      </w:r>
    </w:p>
    <w:p>
      <w:r>
        <w:br w:type="page"/>
      </w:r>
    </w:p>
    <w:p>
      <w:pPr>
        <w:pStyle w:val="Heading1"/>
        <w:keepNext/>
        <w:spacing w:before="280" w:after="200"/>
      </w:pPr>
      <w:r>
        <w:rPr>
          <w:rFonts w:ascii="Calibri" w:hAnsi="Calibri"/>
          <w:b/>
          <w:color w:val="1B365D"/>
        </w:rPr>
        <w:t>3. System Architecture &amp; Methodology</w:t>
      </w:r>
    </w:p>
    <w:p>
      <w:r>
        <w:t>The Automated Web Security Scanner follows a modular, pipeline-driven architecture designed for execution speed, reliability, and clarity. Figure 1 and the following subsections illustrate the core dataflow.</w:t>
      </w:r>
    </w:p>
    <w:p>
      <w:pPr>
        <w:pStyle w:val="Heading2"/>
        <w:keepNext/>
        <w:spacing w:before="240" w:after="120"/>
      </w:pPr>
      <w:r>
        <w:rPr>
          <w:rFonts w:ascii="Calibri" w:hAnsi="Calibri"/>
          <w:b/>
          <w:color w:val="1B365D"/>
        </w:rPr>
        <w:t>3.1 Scanner Execution Dataflow</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single" w:sz="4" w:space="0" w:color="D0D7DE"/>
              <w:left w:val="single" w:sz="18" w:space="0" w:color="1B365D"/>
              <w:bottom w:val="single" w:sz="4" w:space="0" w:color="D0D7DE"/>
              <w:right w:val="single" w:sz="4" w:space="0" w:color="D0D7DE"/>
            </w:tcBorders>
          </w:tcPr>
          <w:p>
            <w:pPr>
              <w:spacing w:before="0" w:after="0" w:line="276" w:lineRule="auto"/>
            </w:pPr>
            <w:r>
              <w:rPr>
                <w:rFonts w:ascii="Consolas" w:hAnsi="Consolas"/>
                <w:color w:val="24292F"/>
                <w:sz w:val="19"/>
              </w:rPr>
              <w:t>+-------------------------------------------------------------+</w:t>
              <w:br/>
              <w:t>|                    Target URL Input                         |</w:t>
              <w:br/>
              <w:t>+-------------------------------------------------------------+</w:t>
              <w:br/>
              <w:t xml:space="preserve">                               |</w:t>
              <w:br/>
              <w:t xml:space="preserve">                               v</w:t>
              <w:br/>
              <w:t>+-------------------------------------------------------------+</w:t>
              <w:br/>
              <w:t>|                 HTTP Session Initialization                 |</w:t>
              <w:br/>
              <w:t>|  - URL Normalization (http/https auto-prefix)               |</w:t>
              <w:br/>
              <w:t>|  - Custom User-Agent: AutomatedSecurityAuditBot/1.0         |</w:t>
              <w:br/>
              <w:t>+-------------------------------------------------------------+</w:t>
              <w:br/>
              <w:t xml:space="preserve">                               |</w:t>
              <w:br/>
              <w:t xml:space="preserve">        +----------------------+----------------------+</w:t>
              <w:br/>
              <w:t xml:space="preserve">        |                                             |</w:t>
              <w:br/>
              <w:t xml:space="preserve">        v                                             v</w:t>
              <w:br/>
              <w:t>+-------------------------------+             +-------------------------------+</w:t>
              <w:br/>
              <w:t>| Phase 1: Header Inspection    |             | Phase 2: Active CORS Fuzzing  |</w:t>
              <w:br/>
              <w:t>| - Check 6 Baseline Headers    |             | - Test 1: Arbitrary Origin    |</w:t>
              <w:br/>
              <w:t>| - Directive Strength (Regex)  |             | - Test 2: Null Origin         |</w:t>
              <w:br/>
              <w:t>| - Information Leakage Banners |             | - Test 3: Subdomain Confusion |</w:t>
              <w:br/>
              <w:t>+-------------------------------+             | - Test 4: Suffix Domain       |</w:t>
              <w:br/>
              <w:t xml:space="preserve">        |                                     +-------------------------------+</w:t>
              <w:br/>
              <w:t xml:space="preserve">        +----------------------+----------------------+</w:t>
              <w:br/>
              <w:t xml:space="preserve">                               |</w:t>
              <w:br/>
              <w:t xml:space="preserve">                               v</w:t>
              <w:br/>
              <w:t>+-------------------------------------------------------------+</w:t>
              <w:br/>
              <w:t>|            Security Posture Scoring Engine                  |</w:t>
              <w:br/>
              <w:t>|  - Base Score: 100                                          |</w:t>
              <w:br/>
              <w:t>|  - Severity Deductions (Critical, High, Medium, Low)        |</w:t>
              <w:br/>
              <w:t>|  - Letter Grade Mapping (A+, A, B, C, D, F)                 |</w:t>
              <w:br/>
              <w:t>+-------------------------------------------------------------+</w:t>
              <w:br/>
              <w:t xml:space="preserve">                               |</w:t>
              <w:br/>
              <w:t xml:space="preserve">        +----------------------+----------------------+</w:t>
              <w:br/>
              <w:t xml:space="preserve">        |                                             |</w:t>
              <w:br/>
              <w:t xml:space="preserve">        v                                             v</w:t>
              <w:br/>
              <w:t>+-------------------------------+             +-------------------------------+</w:t>
              <w:br/>
              <w:t>|   Tabular Terminal Display    |             |   Structured JSON Artifact    |</w:t>
              <w:br/>
              <w:t>|   (ASCII Grid via tabulate)   |             |   (audit_results.json)        |</w:t>
              <w:br/>
              <w:t>+-------------------------------+             +-------------------------------+</w:t>
            </w:r>
          </w:p>
        </w:tc>
      </w:tr>
    </w:tbl>
    <w:p>
      <w:pPr>
        <w:spacing w:after="80"/>
      </w:pPr>
    </w:p>
    <w:p>
      <w:pPr>
        <w:pStyle w:val="Heading2"/>
        <w:keepNext/>
        <w:spacing w:before="280" w:after="120"/>
      </w:pPr>
      <w:r>
        <w:rPr>
          <w:rFonts w:ascii="Calibri" w:hAnsi="Calibri"/>
          <w:b/>
          <w:color w:val="1B365D"/>
        </w:rPr>
        <w:t>3.2 Scoring Algorithm &amp; Penalty Matrix</w:t>
      </w:r>
    </w:p>
    <w:p>
      <w:r>
        <w:t>To provide a quantifiable metric for DevSecOps reporting, the scanner begins with a baseline posture score of 100. Deductions are applied deductively based on the severity of identified security gaps, as detailed in Table 3.</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168"/>
            <w:shd w:fill="1B365D"/>
            <w:tcMar>
              <w:top w:w="120" w:type="dxa"/>
              <w:bottom w:w="120" w:type="dxa"/>
              <w:left w:w="150" w:type="dxa"/>
              <w:right w:w="150" w:type="dxa"/>
            </w:tcMar>
          </w:tcPr>
          <w:p>
            <w:pPr>
              <w:jc w:val="left"/>
            </w:pPr>
            <w:r>
              <w:rPr>
                <w:rFonts w:ascii="Calibri" w:hAnsi="Calibri"/>
                <w:b/>
                <w:color w:val="FFFFFF"/>
                <w:sz w:val="20"/>
              </w:rPr>
              <w:t>Vulnerability / Condition</w:t>
            </w:r>
          </w:p>
        </w:tc>
        <w:tc>
          <w:tcPr>
            <w:tcW w:type="dxa" w:w="1440"/>
            <w:shd w:fill="1B365D"/>
            <w:tcMar>
              <w:top w:w="120" w:type="dxa"/>
              <w:bottom w:w="120" w:type="dxa"/>
              <w:left w:w="150" w:type="dxa"/>
              <w:right w:w="150" w:type="dxa"/>
            </w:tcMar>
          </w:tcPr>
          <w:p>
            <w:pPr>
              <w:jc w:val="left"/>
            </w:pPr>
            <w:r>
              <w:rPr>
                <w:rFonts w:ascii="Calibri" w:hAnsi="Calibri"/>
                <w:b/>
                <w:color w:val="FFFFFF"/>
                <w:sz w:val="20"/>
              </w:rPr>
              <w:t>Severity</w:t>
            </w:r>
          </w:p>
        </w:tc>
        <w:tc>
          <w:tcPr>
            <w:tcW w:type="dxa" w:w="1440"/>
            <w:shd w:fill="1B365D"/>
            <w:tcMar>
              <w:top w:w="120" w:type="dxa"/>
              <w:bottom w:w="120" w:type="dxa"/>
              <w:left w:w="150" w:type="dxa"/>
              <w:right w:w="150" w:type="dxa"/>
            </w:tcMar>
          </w:tcPr>
          <w:p>
            <w:pPr>
              <w:jc w:val="left"/>
            </w:pPr>
            <w:r>
              <w:rPr>
                <w:rFonts w:ascii="Calibri" w:hAnsi="Calibri"/>
                <w:b/>
                <w:color w:val="FFFFFF"/>
                <w:sz w:val="20"/>
              </w:rPr>
              <w:t>Deduction</w:t>
            </w:r>
          </w:p>
        </w:tc>
        <w:tc>
          <w:tcPr>
            <w:tcW w:type="dxa" w:w="3312"/>
            <w:shd w:fill="1B365D"/>
            <w:tcMar>
              <w:top w:w="120" w:type="dxa"/>
              <w:bottom w:w="120" w:type="dxa"/>
              <w:left w:w="150" w:type="dxa"/>
              <w:right w:w="150" w:type="dxa"/>
            </w:tcMar>
          </w:tcPr>
          <w:p>
            <w:pPr>
              <w:jc w:val="left"/>
            </w:pPr>
            <w:r>
              <w:rPr>
                <w:rFonts w:ascii="Calibri" w:hAnsi="Calibri"/>
                <w:b/>
                <w:color w:val="FFFFFF"/>
                <w:sz w:val="20"/>
              </w:rPr>
              <w:t>Architectural Justification</w:t>
            </w:r>
          </w:p>
        </w:tc>
      </w:tr>
      <w:tr>
        <w:tc>
          <w:tcPr>
            <w:tcW w:type="dxa" w:w="3168"/>
            <w:shd w:fill="FFFFFF"/>
            <w:tcMar>
              <w:top w:w="80" w:type="dxa"/>
              <w:bottom w:w="80" w:type="dxa"/>
              <w:left w:w="140" w:type="dxa"/>
              <w:right w:w="140" w:type="dxa"/>
            </w:tcMar>
          </w:tcPr>
          <w:p>
            <w:r>
              <w:rPr>
                <w:rFonts w:ascii="Calibri" w:hAnsi="Calibri"/>
                <w:color w:val="2C3E50"/>
                <w:sz w:val="19"/>
              </w:rPr>
              <w:t>Missing Critical Header (CSP)</w:t>
            </w:r>
          </w:p>
        </w:tc>
        <w:tc>
          <w:tcPr>
            <w:tcW w:type="dxa" w:w="1440"/>
            <w:shd w:fill="FFFFFF"/>
            <w:tcMar>
              <w:top w:w="80" w:type="dxa"/>
              <w:bottom w:w="80" w:type="dxa"/>
              <w:left w:w="140" w:type="dxa"/>
              <w:right w:w="140" w:type="dxa"/>
            </w:tcMar>
          </w:tcPr>
          <w:p>
            <w:r>
              <w:rPr>
                <w:rFonts w:ascii="Calibri" w:hAnsi="Calibri"/>
                <w:color w:val="2C3E50"/>
                <w:sz w:val="19"/>
              </w:rPr>
              <w:t>Critical</w:t>
            </w:r>
          </w:p>
        </w:tc>
        <w:tc>
          <w:tcPr>
            <w:tcW w:type="dxa" w:w="1440"/>
            <w:shd w:fill="FFFFFF"/>
            <w:tcMar>
              <w:top w:w="80" w:type="dxa"/>
              <w:bottom w:w="80" w:type="dxa"/>
              <w:left w:w="140" w:type="dxa"/>
              <w:right w:w="140" w:type="dxa"/>
            </w:tcMar>
          </w:tcPr>
          <w:p>
            <w:r>
              <w:rPr>
                <w:rFonts w:ascii="Calibri" w:hAnsi="Calibri"/>
                <w:color w:val="2C3E50"/>
                <w:sz w:val="19"/>
              </w:rPr>
              <w:t>-25 pts</w:t>
            </w:r>
          </w:p>
        </w:tc>
        <w:tc>
          <w:tcPr>
            <w:tcW w:type="dxa" w:w="3312"/>
            <w:shd w:fill="FFFFFF"/>
            <w:tcMar>
              <w:top w:w="80" w:type="dxa"/>
              <w:bottom w:w="80" w:type="dxa"/>
              <w:left w:w="140" w:type="dxa"/>
              <w:right w:w="140" w:type="dxa"/>
            </w:tcMar>
          </w:tcPr>
          <w:p>
            <w:r>
              <w:rPr>
                <w:rFonts w:ascii="Calibri" w:hAnsi="Calibri"/>
                <w:color w:val="2C3E50"/>
                <w:sz w:val="19"/>
              </w:rPr>
              <w:t>Absence of resource execution boundaries facilitates stored and reflected XSS.</w:t>
            </w:r>
          </w:p>
        </w:tc>
      </w:tr>
      <w:tr>
        <w:tc>
          <w:tcPr>
            <w:tcW w:type="dxa" w:w="3168"/>
            <w:shd w:fill="F9FBFC"/>
            <w:tcMar>
              <w:top w:w="80" w:type="dxa"/>
              <w:bottom w:w="80" w:type="dxa"/>
              <w:left w:w="140" w:type="dxa"/>
              <w:right w:w="140" w:type="dxa"/>
            </w:tcMar>
          </w:tcPr>
          <w:p>
            <w:r>
              <w:rPr>
                <w:rFonts w:ascii="Calibri" w:hAnsi="Calibri"/>
                <w:color w:val="2C3E50"/>
                <w:sz w:val="19"/>
              </w:rPr>
              <w:t>Missing High Header (HSTS)</w:t>
            </w:r>
          </w:p>
        </w:tc>
        <w:tc>
          <w:tcPr>
            <w:tcW w:type="dxa" w:w="1440"/>
            <w:shd w:fill="F9FBFC"/>
            <w:tcMar>
              <w:top w:w="80" w:type="dxa"/>
              <w:bottom w:w="80" w:type="dxa"/>
              <w:left w:w="140" w:type="dxa"/>
              <w:right w:w="140" w:type="dxa"/>
            </w:tcMar>
          </w:tcPr>
          <w:p>
            <w:r>
              <w:rPr>
                <w:rFonts w:ascii="Calibri" w:hAnsi="Calibri"/>
                <w:color w:val="2C3E50"/>
                <w:sz w:val="19"/>
              </w:rPr>
              <w:t>High</w:t>
            </w:r>
          </w:p>
        </w:tc>
        <w:tc>
          <w:tcPr>
            <w:tcW w:type="dxa" w:w="1440"/>
            <w:shd w:fill="F9FBFC"/>
            <w:tcMar>
              <w:top w:w="80" w:type="dxa"/>
              <w:bottom w:w="80" w:type="dxa"/>
              <w:left w:w="140" w:type="dxa"/>
              <w:right w:w="140" w:type="dxa"/>
            </w:tcMar>
          </w:tcPr>
          <w:p>
            <w:r>
              <w:rPr>
                <w:rFonts w:ascii="Calibri" w:hAnsi="Calibri"/>
                <w:color w:val="2C3E50"/>
                <w:sz w:val="19"/>
              </w:rPr>
              <w:t>-15 pts</w:t>
            </w:r>
          </w:p>
        </w:tc>
        <w:tc>
          <w:tcPr>
            <w:tcW w:type="dxa" w:w="3312"/>
            <w:shd w:fill="F9FBFC"/>
            <w:tcMar>
              <w:top w:w="80" w:type="dxa"/>
              <w:bottom w:w="80" w:type="dxa"/>
              <w:left w:w="140" w:type="dxa"/>
              <w:right w:w="140" w:type="dxa"/>
            </w:tcMar>
          </w:tcPr>
          <w:p>
            <w:r>
              <w:rPr>
                <w:rFonts w:ascii="Calibri" w:hAnsi="Calibri"/>
                <w:color w:val="2C3E50"/>
                <w:sz w:val="19"/>
              </w:rPr>
              <w:t>Failure to mandate HTTPS leaves transport vulnerable to interception.</w:t>
            </w:r>
          </w:p>
        </w:tc>
      </w:tr>
      <w:tr>
        <w:tc>
          <w:tcPr>
            <w:tcW w:type="dxa" w:w="3168"/>
            <w:shd w:fill="FFFFFF"/>
            <w:tcMar>
              <w:top w:w="80" w:type="dxa"/>
              <w:bottom w:w="80" w:type="dxa"/>
              <w:left w:w="140" w:type="dxa"/>
              <w:right w:w="140" w:type="dxa"/>
            </w:tcMar>
          </w:tcPr>
          <w:p>
            <w:r>
              <w:rPr>
                <w:rFonts w:ascii="Calibri" w:hAnsi="Calibri"/>
                <w:color w:val="2C3E50"/>
                <w:sz w:val="19"/>
              </w:rPr>
              <w:t>Missing Medium Header (XFO, XCTO)</w:t>
            </w:r>
          </w:p>
        </w:tc>
        <w:tc>
          <w:tcPr>
            <w:tcW w:type="dxa" w:w="1440"/>
            <w:shd w:fill="FFFFFF"/>
            <w:tcMar>
              <w:top w:w="80" w:type="dxa"/>
              <w:bottom w:w="80" w:type="dxa"/>
              <w:left w:w="140" w:type="dxa"/>
              <w:right w:w="140" w:type="dxa"/>
            </w:tcMar>
          </w:tcPr>
          <w:p>
            <w:r>
              <w:rPr>
                <w:rFonts w:ascii="Calibri" w:hAnsi="Calibri"/>
                <w:color w:val="2C3E50"/>
                <w:sz w:val="19"/>
              </w:rPr>
              <w:t>Medium</w:t>
            </w:r>
          </w:p>
        </w:tc>
        <w:tc>
          <w:tcPr>
            <w:tcW w:type="dxa" w:w="1440"/>
            <w:shd w:fill="FFFFFF"/>
            <w:tcMar>
              <w:top w:w="80" w:type="dxa"/>
              <w:bottom w:w="80" w:type="dxa"/>
              <w:left w:w="140" w:type="dxa"/>
              <w:right w:w="140" w:type="dxa"/>
            </w:tcMar>
          </w:tcPr>
          <w:p>
            <w:r>
              <w:rPr>
                <w:rFonts w:ascii="Calibri" w:hAnsi="Calibri"/>
                <w:color w:val="2C3E50"/>
                <w:sz w:val="19"/>
              </w:rPr>
              <w:t>-10 pts</w:t>
            </w:r>
          </w:p>
        </w:tc>
        <w:tc>
          <w:tcPr>
            <w:tcW w:type="dxa" w:w="3312"/>
            <w:shd w:fill="FFFFFF"/>
            <w:tcMar>
              <w:top w:w="80" w:type="dxa"/>
              <w:bottom w:w="80" w:type="dxa"/>
              <w:left w:w="140" w:type="dxa"/>
              <w:right w:w="140" w:type="dxa"/>
            </w:tcMar>
          </w:tcPr>
          <w:p>
            <w:r>
              <w:rPr>
                <w:rFonts w:ascii="Calibri" w:hAnsi="Calibri"/>
                <w:color w:val="2C3E50"/>
                <w:sz w:val="19"/>
              </w:rPr>
              <w:t>Exposes users to Clickjacking and MIME confusion attacks.</w:t>
            </w:r>
          </w:p>
        </w:tc>
      </w:tr>
      <w:tr>
        <w:tc>
          <w:tcPr>
            <w:tcW w:type="dxa" w:w="3168"/>
            <w:shd w:fill="F9FBFC"/>
            <w:tcMar>
              <w:top w:w="80" w:type="dxa"/>
              <w:bottom w:w="80" w:type="dxa"/>
              <w:left w:w="140" w:type="dxa"/>
              <w:right w:w="140" w:type="dxa"/>
            </w:tcMar>
          </w:tcPr>
          <w:p>
            <w:r>
              <w:rPr>
                <w:rFonts w:ascii="Calibri" w:hAnsi="Calibri"/>
                <w:color w:val="2C3E50"/>
                <w:sz w:val="19"/>
              </w:rPr>
              <w:t>Missing Low Header (Referrer, Permissions)</w:t>
            </w:r>
          </w:p>
        </w:tc>
        <w:tc>
          <w:tcPr>
            <w:tcW w:type="dxa" w:w="1440"/>
            <w:shd w:fill="F9FBFC"/>
            <w:tcMar>
              <w:top w:w="80" w:type="dxa"/>
              <w:bottom w:w="80" w:type="dxa"/>
              <w:left w:w="140" w:type="dxa"/>
              <w:right w:w="140" w:type="dxa"/>
            </w:tcMar>
          </w:tcPr>
          <w:p>
            <w:r>
              <w:rPr>
                <w:rFonts w:ascii="Calibri" w:hAnsi="Calibri"/>
                <w:color w:val="2C3E50"/>
                <w:sz w:val="19"/>
              </w:rPr>
              <w:t>Low</w:t>
            </w:r>
          </w:p>
        </w:tc>
        <w:tc>
          <w:tcPr>
            <w:tcW w:type="dxa" w:w="1440"/>
            <w:shd w:fill="F9FBFC"/>
            <w:tcMar>
              <w:top w:w="80" w:type="dxa"/>
              <w:bottom w:w="80" w:type="dxa"/>
              <w:left w:w="140" w:type="dxa"/>
              <w:right w:w="140" w:type="dxa"/>
            </w:tcMar>
          </w:tcPr>
          <w:p>
            <w:r>
              <w:rPr>
                <w:rFonts w:ascii="Calibri" w:hAnsi="Calibri"/>
                <w:color w:val="2C3E50"/>
                <w:sz w:val="19"/>
              </w:rPr>
              <w:t>-5 pts</w:t>
            </w:r>
          </w:p>
        </w:tc>
        <w:tc>
          <w:tcPr>
            <w:tcW w:type="dxa" w:w="3312"/>
            <w:shd w:fill="F9FBFC"/>
            <w:tcMar>
              <w:top w:w="80" w:type="dxa"/>
              <w:bottom w:w="80" w:type="dxa"/>
              <w:left w:w="140" w:type="dxa"/>
              <w:right w:w="140" w:type="dxa"/>
            </w:tcMar>
          </w:tcPr>
          <w:p>
            <w:r>
              <w:rPr>
                <w:rFonts w:ascii="Calibri" w:hAnsi="Calibri"/>
                <w:color w:val="2C3E50"/>
                <w:sz w:val="19"/>
              </w:rPr>
              <w:t>Minor privacy or hardware access policy gaps.</w:t>
            </w:r>
          </w:p>
        </w:tc>
      </w:tr>
      <w:tr>
        <w:tc>
          <w:tcPr>
            <w:tcW w:type="dxa" w:w="3168"/>
            <w:shd w:fill="FFFFFF"/>
            <w:tcMar>
              <w:top w:w="80" w:type="dxa"/>
              <w:bottom w:w="80" w:type="dxa"/>
              <w:left w:w="140" w:type="dxa"/>
              <w:right w:w="140" w:type="dxa"/>
            </w:tcMar>
          </w:tcPr>
          <w:p>
            <w:r>
              <w:rPr>
                <w:rFonts w:ascii="Calibri" w:hAnsi="Calibri"/>
                <w:color w:val="2C3E50"/>
                <w:sz w:val="19"/>
              </w:rPr>
              <w:t>Weak / Misconfigured Directives</w:t>
            </w:r>
          </w:p>
        </w:tc>
        <w:tc>
          <w:tcPr>
            <w:tcW w:type="dxa" w:w="1440"/>
            <w:shd w:fill="FFFFFF"/>
            <w:tcMar>
              <w:top w:w="80" w:type="dxa"/>
              <w:bottom w:w="80" w:type="dxa"/>
              <w:left w:w="140" w:type="dxa"/>
              <w:right w:w="140" w:type="dxa"/>
            </w:tcMar>
          </w:tcPr>
          <w:p>
            <w:r>
              <w:rPr>
                <w:rFonts w:ascii="Calibri" w:hAnsi="Calibri"/>
                <w:color w:val="2C3E50"/>
                <w:sz w:val="19"/>
              </w:rPr>
              <w:t>Varies</w:t>
            </w:r>
          </w:p>
        </w:tc>
        <w:tc>
          <w:tcPr>
            <w:tcW w:type="dxa" w:w="1440"/>
            <w:shd w:fill="FFFFFF"/>
            <w:tcMar>
              <w:top w:w="80" w:type="dxa"/>
              <w:bottom w:w="80" w:type="dxa"/>
              <w:left w:w="140" w:type="dxa"/>
              <w:right w:w="140" w:type="dxa"/>
            </w:tcMar>
          </w:tcPr>
          <w:p>
            <w:r>
              <w:rPr>
                <w:rFonts w:ascii="Calibri" w:hAnsi="Calibri"/>
                <w:color w:val="2C3E50"/>
                <w:sz w:val="19"/>
              </w:rPr>
              <w:t>-8 pts</w:t>
            </w:r>
          </w:p>
        </w:tc>
        <w:tc>
          <w:tcPr>
            <w:tcW w:type="dxa" w:w="3312"/>
            <w:shd w:fill="FFFFFF"/>
            <w:tcMar>
              <w:top w:w="80" w:type="dxa"/>
              <w:bottom w:w="80" w:type="dxa"/>
              <w:left w:w="140" w:type="dxa"/>
              <w:right w:w="140" w:type="dxa"/>
            </w:tcMar>
          </w:tcPr>
          <w:p>
            <w:r>
              <w:rPr>
                <w:rFonts w:ascii="Calibri" w:hAnsi="Calibri"/>
                <w:color w:val="2C3E50"/>
                <w:sz w:val="19"/>
              </w:rPr>
              <w:t>Header exists but contains unsafe tokens ('unsafe-inline', short max-age).</w:t>
            </w:r>
          </w:p>
        </w:tc>
      </w:tr>
      <w:tr>
        <w:tc>
          <w:tcPr>
            <w:tcW w:type="dxa" w:w="3168"/>
            <w:shd w:fill="F9FBFC"/>
            <w:tcMar>
              <w:top w:w="80" w:type="dxa"/>
              <w:bottom w:w="80" w:type="dxa"/>
              <w:left w:w="140" w:type="dxa"/>
              <w:right w:w="140" w:type="dxa"/>
            </w:tcMar>
          </w:tcPr>
          <w:p>
            <w:r>
              <w:rPr>
                <w:rFonts w:ascii="Calibri" w:hAnsi="Calibri"/>
                <w:color w:val="2C3E50"/>
                <w:sz w:val="19"/>
              </w:rPr>
              <w:t>Server Banner Disclosure</w:t>
            </w:r>
          </w:p>
        </w:tc>
        <w:tc>
          <w:tcPr>
            <w:tcW w:type="dxa" w:w="1440"/>
            <w:shd w:fill="F9FBFC"/>
            <w:tcMar>
              <w:top w:w="80" w:type="dxa"/>
              <w:bottom w:w="80" w:type="dxa"/>
              <w:left w:w="140" w:type="dxa"/>
              <w:right w:w="140" w:type="dxa"/>
            </w:tcMar>
          </w:tcPr>
          <w:p>
            <w:r>
              <w:rPr>
                <w:rFonts w:ascii="Calibri" w:hAnsi="Calibri"/>
                <w:color w:val="2C3E50"/>
                <w:sz w:val="19"/>
              </w:rPr>
              <w:t>Low</w:t>
            </w:r>
          </w:p>
        </w:tc>
        <w:tc>
          <w:tcPr>
            <w:tcW w:type="dxa" w:w="1440"/>
            <w:shd w:fill="F9FBFC"/>
            <w:tcMar>
              <w:top w:w="80" w:type="dxa"/>
              <w:bottom w:w="80" w:type="dxa"/>
              <w:left w:w="140" w:type="dxa"/>
              <w:right w:w="140" w:type="dxa"/>
            </w:tcMar>
          </w:tcPr>
          <w:p>
            <w:r>
              <w:rPr>
                <w:rFonts w:ascii="Calibri" w:hAnsi="Calibri"/>
                <w:color w:val="2C3E50"/>
                <w:sz w:val="19"/>
              </w:rPr>
              <w:t>-3 pts</w:t>
            </w:r>
          </w:p>
        </w:tc>
        <w:tc>
          <w:tcPr>
            <w:tcW w:type="dxa" w:w="3312"/>
            <w:shd w:fill="F9FBFC"/>
            <w:tcMar>
              <w:top w:w="80" w:type="dxa"/>
              <w:bottom w:w="80" w:type="dxa"/>
              <w:left w:w="140" w:type="dxa"/>
              <w:right w:w="140" w:type="dxa"/>
            </w:tcMar>
          </w:tcPr>
          <w:p>
            <w:r>
              <w:rPr>
                <w:rFonts w:ascii="Calibri" w:hAnsi="Calibri"/>
                <w:color w:val="2C3E50"/>
                <w:sz w:val="19"/>
              </w:rPr>
              <w:t>Reveals web server name and exact runtime versions.</w:t>
            </w:r>
          </w:p>
        </w:tc>
      </w:tr>
      <w:tr>
        <w:tc>
          <w:tcPr>
            <w:tcW w:type="dxa" w:w="3168"/>
            <w:shd w:fill="FFFFFF"/>
            <w:tcMar>
              <w:top w:w="80" w:type="dxa"/>
              <w:bottom w:w="80" w:type="dxa"/>
              <w:left w:w="140" w:type="dxa"/>
              <w:right w:w="140" w:type="dxa"/>
            </w:tcMar>
          </w:tcPr>
          <w:p>
            <w:r>
              <w:rPr>
                <w:rFonts w:ascii="Calibri" w:hAnsi="Calibri"/>
                <w:color w:val="2C3E50"/>
                <w:sz w:val="19"/>
              </w:rPr>
              <w:t>CORS: Reflected Origin + Credentials</w:t>
            </w:r>
          </w:p>
        </w:tc>
        <w:tc>
          <w:tcPr>
            <w:tcW w:type="dxa" w:w="1440"/>
            <w:shd w:fill="FFFFFF"/>
            <w:tcMar>
              <w:top w:w="80" w:type="dxa"/>
              <w:bottom w:w="80" w:type="dxa"/>
              <w:left w:w="140" w:type="dxa"/>
              <w:right w:w="140" w:type="dxa"/>
            </w:tcMar>
          </w:tcPr>
          <w:p>
            <w:r>
              <w:rPr>
                <w:rFonts w:ascii="Calibri" w:hAnsi="Calibri"/>
                <w:color w:val="2C3E50"/>
                <w:sz w:val="19"/>
              </w:rPr>
              <w:t>Critical</w:t>
            </w:r>
          </w:p>
        </w:tc>
        <w:tc>
          <w:tcPr>
            <w:tcW w:type="dxa" w:w="1440"/>
            <w:shd w:fill="FFFFFF"/>
            <w:tcMar>
              <w:top w:w="80" w:type="dxa"/>
              <w:bottom w:w="80" w:type="dxa"/>
              <w:left w:w="140" w:type="dxa"/>
              <w:right w:w="140" w:type="dxa"/>
            </w:tcMar>
          </w:tcPr>
          <w:p>
            <w:r>
              <w:rPr>
                <w:rFonts w:ascii="Calibri" w:hAnsi="Calibri"/>
                <w:color w:val="2C3E50"/>
                <w:sz w:val="19"/>
              </w:rPr>
              <w:t>-35 pts</w:t>
            </w:r>
          </w:p>
        </w:tc>
        <w:tc>
          <w:tcPr>
            <w:tcW w:type="dxa" w:w="3312"/>
            <w:shd w:fill="FFFFFF"/>
            <w:tcMar>
              <w:top w:w="80" w:type="dxa"/>
              <w:bottom w:w="80" w:type="dxa"/>
              <w:left w:w="140" w:type="dxa"/>
              <w:right w:w="140" w:type="dxa"/>
            </w:tcMar>
          </w:tcPr>
          <w:p>
            <w:r>
              <w:rPr>
                <w:rFonts w:ascii="Calibri" w:hAnsi="Calibri"/>
                <w:color w:val="2C3E50"/>
                <w:sz w:val="19"/>
              </w:rPr>
              <w:t>Direct credentialed cross-origin read authorization enables session theft.</w:t>
            </w:r>
          </w:p>
        </w:tc>
      </w:tr>
      <w:tr>
        <w:tc>
          <w:tcPr>
            <w:tcW w:type="dxa" w:w="3168"/>
            <w:shd w:fill="F9FBFC"/>
            <w:tcMar>
              <w:top w:w="80" w:type="dxa"/>
              <w:bottom w:w="80" w:type="dxa"/>
              <w:left w:w="140" w:type="dxa"/>
              <w:right w:w="140" w:type="dxa"/>
            </w:tcMar>
          </w:tcPr>
          <w:p>
            <w:r>
              <w:rPr>
                <w:rFonts w:ascii="Calibri" w:hAnsi="Calibri"/>
                <w:color w:val="2C3E50"/>
                <w:sz w:val="19"/>
              </w:rPr>
              <w:t>CORS: Wildcard Origin + Credentials</w:t>
            </w:r>
          </w:p>
        </w:tc>
        <w:tc>
          <w:tcPr>
            <w:tcW w:type="dxa" w:w="1440"/>
            <w:shd w:fill="F9FBFC"/>
            <w:tcMar>
              <w:top w:w="80" w:type="dxa"/>
              <w:bottom w:w="80" w:type="dxa"/>
              <w:left w:w="140" w:type="dxa"/>
              <w:right w:w="140" w:type="dxa"/>
            </w:tcMar>
          </w:tcPr>
          <w:p>
            <w:r>
              <w:rPr>
                <w:rFonts w:ascii="Calibri" w:hAnsi="Calibri"/>
                <w:color w:val="2C3E50"/>
                <w:sz w:val="19"/>
              </w:rPr>
              <w:t>High</w:t>
            </w:r>
          </w:p>
        </w:tc>
        <w:tc>
          <w:tcPr>
            <w:tcW w:type="dxa" w:w="1440"/>
            <w:shd w:fill="F9FBFC"/>
            <w:tcMar>
              <w:top w:w="80" w:type="dxa"/>
              <w:bottom w:w="80" w:type="dxa"/>
              <w:left w:w="140" w:type="dxa"/>
              <w:right w:w="140" w:type="dxa"/>
            </w:tcMar>
          </w:tcPr>
          <w:p>
            <w:r>
              <w:rPr>
                <w:rFonts w:ascii="Calibri" w:hAnsi="Calibri"/>
                <w:color w:val="2C3E50"/>
                <w:sz w:val="19"/>
              </w:rPr>
              <w:t>-20 pts</w:t>
            </w:r>
          </w:p>
        </w:tc>
        <w:tc>
          <w:tcPr>
            <w:tcW w:type="dxa" w:w="3312"/>
            <w:shd w:fill="F9FBFC"/>
            <w:tcMar>
              <w:top w:w="80" w:type="dxa"/>
              <w:bottom w:w="80" w:type="dxa"/>
              <w:left w:w="140" w:type="dxa"/>
              <w:right w:w="140" w:type="dxa"/>
            </w:tcMar>
          </w:tcPr>
          <w:p>
            <w:r>
              <w:rPr>
                <w:rFonts w:ascii="Calibri" w:hAnsi="Calibri"/>
                <w:color w:val="2C3E50"/>
                <w:sz w:val="19"/>
              </w:rPr>
              <w:t>Spec violation causing undefined or permissive browser behavior.</w:t>
            </w:r>
          </w:p>
        </w:tc>
      </w:tr>
      <w:tr>
        <w:tc>
          <w:tcPr>
            <w:tcW w:type="dxa" w:w="3168"/>
            <w:shd w:fill="FFFFFF"/>
            <w:tcMar>
              <w:top w:w="80" w:type="dxa"/>
              <w:bottom w:w="80" w:type="dxa"/>
              <w:left w:w="140" w:type="dxa"/>
              <w:right w:w="140" w:type="dxa"/>
            </w:tcMar>
          </w:tcPr>
          <w:p>
            <w:r>
              <w:rPr>
                <w:rFonts w:ascii="Calibri" w:hAnsi="Calibri"/>
                <w:color w:val="2C3E50"/>
                <w:sz w:val="19"/>
              </w:rPr>
              <w:t>CORS: Arbitrary Reflection (No Creds)</w:t>
            </w:r>
          </w:p>
        </w:tc>
        <w:tc>
          <w:tcPr>
            <w:tcW w:type="dxa" w:w="1440"/>
            <w:shd w:fill="FFFFFF"/>
            <w:tcMar>
              <w:top w:w="80" w:type="dxa"/>
              <w:bottom w:w="80" w:type="dxa"/>
              <w:left w:w="140" w:type="dxa"/>
              <w:right w:w="140" w:type="dxa"/>
            </w:tcMar>
          </w:tcPr>
          <w:p>
            <w:r>
              <w:rPr>
                <w:rFonts w:ascii="Calibri" w:hAnsi="Calibri"/>
                <w:color w:val="2C3E50"/>
                <w:sz w:val="19"/>
              </w:rPr>
              <w:t>Medium</w:t>
            </w:r>
          </w:p>
        </w:tc>
        <w:tc>
          <w:tcPr>
            <w:tcW w:type="dxa" w:w="1440"/>
            <w:shd w:fill="FFFFFF"/>
            <w:tcMar>
              <w:top w:w="80" w:type="dxa"/>
              <w:bottom w:w="80" w:type="dxa"/>
              <w:left w:w="140" w:type="dxa"/>
              <w:right w:w="140" w:type="dxa"/>
            </w:tcMar>
          </w:tcPr>
          <w:p>
            <w:r>
              <w:rPr>
                <w:rFonts w:ascii="Calibri" w:hAnsi="Calibri"/>
                <w:color w:val="2C3E50"/>
                <w:sz w:val="19"/>
              </w:rPr>
              <w:t>-15 pts</w:t>
            </w:r>
          </w:p>
        </w:tc>
        <w:tc>
          <w:tcPr>
            <w:tcW w:type="dxa" w:w="3312"/>
            <w:shd w:fill="FFFFFF"/>
            <w:tcMar>
              <w:top w:w="80" w:type="dxa"/>
              <w:bottom w:w="80" w:type="dxa"/>
              <w:left w:w="140" w:type="dxa"/>
              <w:right w:w="140" w:type="dxa"/>
            </w:tcMar>
          </w:tcPr>
          <w:p>
            <w:r>
              <w:rPr>
                <w:rFonts w:ascii="Calibri" w:hAnsi="Calibri"/>
                <w:color w:val="2C3E50"/>
                <w:sz w:val="19"/>
              </w:rPr>
              <w:t>Exposes unauthenticated internal endpoint data cross-origin.</w:t>
            </w:r>
          </w:p>
        </w:tc>
      </w:tr>
    </w:tbl>
    <w:p>
      <w:r>
        <w:br w:type="page"/>
      </w:r>
    </w:p>
    <w:p>
      <w:pPr>
        <w:pStyle w:val="Heading1"/>
        <w:keepNext/>
        <w:spacing w:before="280" w:after="200"/>
      </w:pPr>
      <w:r>
        <w:rPr>
          <w:rFonts w:ascii="Calibri" w:hAnsi="Calibri"/>
          <w:b/>
          <w:color w:val="1B365D"/>
        </w:rPr>
        <w:t>4. Implementation Details &amp; Code Walkthrough</w:t>
      </w:r>
    </w:p>
    <w:p>
      <w:r>
        <w:t>The project is implemented in object-oriented Python, utilizing Python's built-in standard library alongside the 'requests' HTTP client and 'tabulate' for terminal visualization. The primary class, WebSecurityScanner, encapsulates all state, network requests, analysis heuristics, and reporting methods.</w:t>
      </w:r>
    </w:p>
    <w:p>
      <w:pPr>
        <w:pStyle w:val="Heading2"/>
        <w:keepNext/>
        <w:spacing w:before="240" w:after="120"/>
      </w:pPr>
      <w:r>
        <w:rPr>
          <w:rFonts w:ascii="Calibri" w:hAnsi="Calibri"/>
          <w:b/>
          <w:color w:val="1B365D"/>
        </w:rPr>
        <w:t>4.1 Baseline Policy Declaration</w:t>
      </w:r>
    </w:p>
    <w:p>
      <w:r>
        <w:t>Defensive header requirements are specified declaratively in the SECURITY_HEADERS_POLICY dictionary. Each entry encapsulates severity level, contextual description, remediation advice, and an inline validation function employing regular expressions to audit directive strength:</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single" w:sz="4" w:space="0" w:color="D0D7DE"/>
              <w:left w:val="single" w:sz="18" w:space="0" w:color="1B365D"/>
              <w:bottom w:val="single" w:sz="4" w:space="0" w:color="D0D7DE"/>
              <w:right w:val="single" w:sz="4" w:space="0" w:color="D0D7DE"/>
            </w:tcBorders>
          </w:tcPr>
          <w:p>
            <w:pPr>
              <w:spacing w:before="0" w:after="0" w:line="276" w:lineRule="auto"/>
            </w:pPr>
            <w:r>
              <w:rPr>
                <w:rFonts w:ascii="Consolas" w:hAnsi="Consolas"/>
                <w:color w:val="24292F"/>
                <w:sz w:val="19"/>
              </w:rPr>
              <w:t>SECURITY_HEADERS_POLICY = {</w:t>
              <w:br/>
              <w:t xml:space="preserve">    "Strict-Transport-Security": {</w:t>
              <w:br/>
              <w:t xml:space="preserve">        "severity": "High",</w:t>
              <w:br/>
              <w:t xml:space="preserve">        "description": "Enforces secure (HTTPS) connections and protects against SSL-stripping.",</w:t>
              <w:br/>
              <w:t xml:space="preserve">        "recommendation": "Ensure max-age &gt;= 31536000 and include 'includeSubDomains; preload'.",</w:t>
              <w:br/>
              <w:t xml:space="preserve">        "check_func": lambda val: "includesubdomains" in val.lower() and \</w:t>
              <w:br/>
              <w:t xml:space="preserve">            int(re.search(r"max-age=(\d+)", val, re.I).group(1) if re.search(r"max-age=(\d+)", val, re.I) else 0) &gt;= 31536000</w:t>
              <w:br/>
              <w:t xml:space="preserve">    },</w:t>
              <w:br/>
              <w:t xml:space="preserve">    "Content-Security-Policy": {</w:t>
              <w:br/>
              <w:t xml:space="preserve">        "severity": "Critical",</w:t>
              <w:br/>
              <w:t xml:space="preserve">        "description": "Restricts resource loading to mitigate XSS and code injection.",</w:t>
              <w:br/>
              <w:t xml:space="preserve">        "recommendation": "Avoid 'unsafe-inline' and 'unsafe-eval'; define strict default-src or script-src.",</w:t>
              <w:br/>
              <w:t xml:space="preserve">        "check_func": lambda val: "unsafe-inline" not in val and ("default-src" in val or "script-src" in val)</w:t>
              <w:br/>
              <w:t xml:space="preserve">    },</w:t>
              <w:br/>
              <w:t xml:space="preserve">    "X-Frame-Options": {</w:t>
              <w:br/>
              <w:t xml:space="preserve">        "severity": "Medium",</w:t>
              <w:br/>
              <w:t xml:space="preserve">        "description": "Prevents Clickjacking by restricting iframe embedding.",</w:t>
              <w:br/>
              <w:t xml:space="preserve">        "recommendation": "Set to 'DENY' or 'SAMEORIGIN'.",</w:t>
              <w:br/>
              <w:t xml:space="preserve">        "check_func": lambda val: val.strip().upper() in ["DENY", "SAMEORIGIN"]</w:t>
              <w:br/>
              <w:t xml:space="preserve">    },</w:t>
              <w:br/>
              <w:t xml:space="preserve">    "X-Content-Type-Options": {</w:t>
              <w:br/>
              <w:t xml:space="preserve">        "severity": "Medium",</w:t>
              <w:br/>
              <w:t xml:space="preserve">        "description": "Disables MIME-sniffing vulnerabilities.",</w:t>
              <w:br/>
              <w:t xml:space="preserve">        "recommendation": "Set explicitly to 'nosniff'.",</w:t>
              <w:br/>
              <w:t xml:space="preserve">        "check_func": lambda val: val.strip().lower() == "nosniff"</w:t>
              <w:br/>
              <w:t xml:space="preserve">    }</w:t>
              <w:br/>
              <w:t>}</w:t>
            </w:r>
          </w:p>
        </w:tc>
      </w:tr>
    </w:tbl>
    <w:p>
      <w:pPr>
        <w:spacing w:after="80"/>
      </w:pPr>
    </w:p>
    <w:p>
      <w:pPr>
        <w:pStyle w:val="Heading2"/>
        <w:keepNext/>
        <w:spacing w:before="280" w:after="120"/>
      </w:pPr>
      <w:r>
        <w:rPr>
          <w:rFonts w:ascii="Calibri" w:hAnsi="Calibri"/>
          <w:b/>
          <w:color w:val="1B365D"/>
        </w:rPr>
        <w:t>4.2 CORS Probing Engine Implementation</w:t>
      </w:r>
    </w:p>
    <w:p>
      <w:r>
        <w:t>The CORS probing engine method scan_cors_vulnerabilities() extracts the target's fully-qualified domain name (FQDN) and dynamically generates four probe test cases. For each vector, an HTTP request is dispatched with the customized Origin header. The scanner inspects both 'Access-Control-Allow-Origin' (ACAO) and 'Access-Control-Allow-Credentials' (ACAC):</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single" w:sz="4" w:space="0" w:color="D0D7DE"/>
              <w:left w:val="single" w:sz="18" w:space="0" w:color="1B365D"/>
              <w:bottom w:val="single" w:sz="4" w:space="0" w:color="D0D7DE"/>
              <w:right w:val="single" w:sz="4" w:space="0" w:color="D0D7DE"/>
            </w:tcBorders>
          </w:tcPr>
          <w:p>
            <w:pPr>
              <w:spacing w:before="0" w:after="0" w:line="276" w:lineRule="auto"/>
            </w:pPr>
            <w:r>
              <w:rPr>
                <w:rFonts w:ascii="Consolas" w:hAnsi="Consolas"/>
                <w:color w:val="24292F"/>
                <w:sz w:val="19"/>
              </w:rPr>
              <w:t>def scan_cors_vulnerabilities(self) -&gt; None:</w:t>
              <w:br/>
              <w:t xml:space="preserve">    domain = self.parsed_url.netloc</w:t>
              <w:br/>
              <w:t xml:space="preserve">    test_cases = [</w:t>
              <w:br/>
              <w:t xml:space="preserve">        {"name": "Arbitrary Third-Party Origin Reflection", "origin": "https://evil-attacker.com"},</w:t>
              <w:br/>
              <w:t xml:space="preserve">        {"name": "Null Origin Reflection (Sandboxed iframes)", "origin": "null"},</w:t>
              <w:br/>
              <w:t xml:space="preserve">        {"name": "Prefix / Subdomain Confusion Bypass", "origin": f"https://{domain}.evil-attacker.com"},</w:t>
              <w:br/>
              <w:t xml:space="preserve">        {"name": "Suffix Domain Bypass", "origin": f"https://attacker-{domain}"}</w:t>
              <w:br/>
              <w:t xml:space="preserve">    ]</w:t>
              <w:br/>
              <w:t xml:space="preserve">    for tc in test_cases:</w:t>
              <w:br/>
              <w:t xml:space="preserve">        res = self.session.get(self.target_url, headers={"Origin": tc["origin"]}, timeout=self.timeout)</w:t>
              <w:br/>
              <w:t xml:space="preserve">        acao = res.headers.get("Access-Control-Allow-Origin")</w:t>
              <w:br/>
              <w:t xml:space="preserve">        acac = res.headers.get("Access-Control-Allow-Credentials")</w:t>
              <w:br/>
              <w:t xml:space="preserve">        if acao:</w:t>
              <w:br/>
              <w:t xml:space="preserve">            if (acao == tc["origin"] or acao == "*") and acac and acac.lower() == "true":</w:t>
              <w:br/>
              <w:t xml:space="preserve">                self.findings["cors_vulnerabilities"].append({</w:t>
              <w:br/>
              <w:t xml:space="preserve">                    "vector": tc["name"], "tested_origin": tc["origin"],</w:t>
              <w:br/>
              <w:t xml:space="preserve">                    "severity": "Critical", "acao": acao, "acac": acac,</w:t>
              <w:br/>
              <w:t xml:space="preserve">                    "impact": "Full credentialed cross-origin read access (API session hijacking / PII theft)."</w:t>
              <w:br/>
              <w:t xml:space="preserve">                })</w:t>
              <w:br/>
              <w:t xml:space="preserve">                self.findings["score"] -= 35</w:t>
            </w:r>
          </w:p>
        </w:tc>
      </w:tr>
    </w:tbl>
    <w:p>
      <w:pPr>
        <w:spacing w:after="80"/>
      </w:pPr>
    </w:p>
    <w:p>
      <w:r>
        <w:br w:type="page"/>
      </w:r>
    </w:p>
    <w:p>
      <w:pPr>
        <w:pStyle w:val="Heading1"/>
        <w:keepNext/>
        <w:spacing w:before="280" w:after="200"/>
      </w:pPr>
      <w:r>
        <w:rPr>
          <w:rFonts w:ascii="Calibri" w:hAnsi="Calibri"/>
          <w:b/>
          <w:color w:val="1B365D"/>
        </w:rPr>
        <w:t>5. Experimental Testing &amp; Results</w:t>
      </w:r>
    </w:p>
    <w:p>
      <w:r>
        <w:t>To rigorously validate the scanner's efficacy, empirical security scans were conducted against two contrasting target environments: (1) httpbin.org, an open HTTP testing service featuring permissive origin reflection, and (2) github.com, a production enterprise platform implementing strict modern security headers.</w:t>
      </w:r>
    </w:p>
    <w:p>
      <w:pPr>
        <w:pStyle w:val="Heading2"/>
        <w:keepNext/>
        <w:spacing w:before="240" w:after="120"/>
      </w:pPr>
      <w:r>
        <w:rPr>
          <w:rFonts w:ascii="Calibri" w:hAnsi="Calibri"/>
          <w:b/>
          <w:color w:val="1B365D"/>
        </w:rPr>
        <w:t>5.1 Case Study 1: Vulnerable Endpoint (httpbin.org)</w:t>
      </w:r>
    </w:p>
    <w:p>
      <w:r>
        <w:t>The scan against https://httpbin.org completed successfully in 1.48 seconds. The service exhibited critical security deficiencies across both defensive headers and CORS controls, resulting in an aggregate score of 0/100 and a letter grade of F (Vulnerable).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9B2226"/>
            <w:tcMar>
              <w:top w:w="120" w:type="dxa"/>
              <w:bottom w:w="120" w:type="dxa"/>
              <w:left w:w="150" w:type="dxa"/>
              <w:right w:w="150" w:type="dxa"/>
            </w:tcMar>
          </w:tcPr>
          <w:p>
            <w:pPr>
              <w:jc w:val="left"/>
            </w:pPr>
            <w:r>
              <w:rPr>
                <w:rFonts w:ascii="Calibri" w:hAnsi="Calibri"/>
                <w:b/>
                <w:color w:val="FFFFFF"/>
                <w:sz w:val="20"/>
              </w:rPr>
              <w:t>Audit Dimension</w:t>
            </w:r>
          </w:p>
        </w:tc>
        <w:tc>
          <w:tcPr>
            <w:tcW w:type="dxa" w:w="2592"/>
            <w:shd w:fill="9B2226"/>
            <w:tcMar>
              <w:top w:w="120" w:type="dxa"/>
              <w:bottom w:w="120" w:type="dxa"/>
              <w:left w:w="150" w:type="dxa"/>
              <w:right w:w="150" w:type="dxa"/>
            </w:tcMar>
          </w:tcPr>
          <w:p>
            <w:pPr>
              <w:jc w:val="left"/>
            </w:pPr>
            <w:r>
              <w:rPr>
                <w:rFonts w:ascii="Calibri" w:hAnsi="Calibri"/>
                <w:b/>
                <w:color w:val="FFFFFF"/>
                <w:sz w:val="20"/>
              </w:rPr>
              <w:t>Observed Value</w:t>
            </w:r>
          </w:p>
        </w:tc>
        <w:tc>
          <w:tcPr>
            <w:tcW w:type="dxa" w:w="1440"/>
            <w:shd w:fill="9B2226"/>
            <w:tcMar>
              <w:top w:w="120" w:type="dxa"/>
              <w:bottom w:w="120" w:type="dxa"/>
              <w:left w:w="150" w:type="dxa"/>
              <w:right w:w="150" w:type="dxa"/>
            </w:tcMar>
          </w:tcPr>
          <w:p>
            <w:pPr>
              <w:jc w:val="left"/>
            </w:pPr>
            <w:r>
              <w:rPr>
                <w:rFonts w:ascii="Calibri" w:hAnsi="Calibri"/>
                <w:b/>
                <w:color w:val="FFFFFF"/>
                <w:sz w:val="20"/>
              </w:rPr>
              <w:t>Severity</w:t>
            </w:r>
          </w:p>
        </w:tc>
        <w:tc>
          <w:tcPr>
            <w:tcW w:type="dxa" w:w="2736"/>
            <w:shd w:fill="9B2226"/>
            <w:tcMar>
              <w:top w:w="120" w:type="dxa"/>
              <w:bottom w:w="120" w:type="dxa"/>
              <w:left w:w="150" w:type="dxa"/>
              <w:right w:w="150" w:type="dxa"/>
            </w:tcMar>
          </w:tcPr>
          <w:p>
            <w:pPr>
              <w:jc w:val="left"/>
            </w:pPr>
            <w:r>
              <w:rPr>
                <w:rFonts w:ascii="Calibri" w:hAnsi="Calibri"/>
                <w:b/>
                <w:color w:val="FFFFFF"/>
                <w:sz w:val="20"/>
              </w:rPr>
              <w:t>Security Implication</w:t>
            </w:r>
          </w:p>
        </w:tc>
      </w:tr>
      <w:tr>
        <w:tc>
          <w:tcPr>
            <w:tcW w:type="dxa" w:w="2592"/>
            <w:shd w:fill="FFFFFF"/>
            <w:tcMar>
              <w:top w:w="80" w:type="dxa"/>
              <w:bottom w:w="80" w:type="dxa"/>
              <w:left w:w="140" w:type="dxa"/>
              <w:right w:w="140" w:type="dxa"/>
            </w:tcMar>
          </w:tcPr>
          <w:p>
            <w:r>
              <w:rPr>
                <w:rFonts w:ascii="Calibri" w:hAnsi="Calibri"/>
                <w:color w:val="2C3E50"/>
                <w:sz w:val="19"/>
              </w:rPr>
              <w:t>Missing Defensive Headers</w:t>
            </w:r>
          </w:p>
        </w:tc>
        <w:tc>
          <w:tcPr>
            <w:tcW w:type="dxa" w:w="2592"/>
            <w:shd w:fill="FFFFFF"/>
            <w:tcMar>
              <w:top w:w="80" w:type="dxa"/>
              <w:bottom w:w="80" w:type="dxa"/>
              <w:left w:w="140" w:type="dxa"/>
              <w:right w:w="140" w:type="dxa"/>
            </w:tcMar>
          </w:tcPr>
          <w:p>
            <w:r>
              <w:rPr>
                <w:rFonts w:ascii="Calibri" w:hAnsi="Calibri"/>
                <w:color w:val="2C3E50"/>
                <w:sz w:val="19"/>
              </w:rPr>
              <w:t>6 of 6 Missing</w:t>
            </w:r>
          </w:p>
        </w:tc>
        <w:tc>
          <w:tcPr>
            <w:tcW w:type="dxa" w:w="1440"/>
            <w:shd w:fill="FFFFFF"/>
            <w:tcMar>
              <w:top w:w="80" w:type="dxa"/>
              <w:bottom w:w="80" w:type="dxa"/>
              <w:left w:w="140" w:type="dxa"/>
              <w:right w:w="140" w:type="dxa"/>
            </w:tcMar>
          </w:tcPr>
          <w:p>
            <w:r>
              <w:rPr>
                <w:rFonts w:ascii="Calibri" w:hAnsi="Calibri"/>
                <w:color w:val="2C3E50"/>
                <w:sz w:val="19"/>
              </w:rPr>
              <w:t>Critical</w:t>
            </w:r>
          </w:p>
        </w:tc>
        <w:tc>
          <w:tcPr>
            <w:tcW w:type="dxa" w:w="2736"/>
            <w:shd w:fill="FFFFFF"/>
            <w:tcMar>
              <w:top w:w="80" w:type="dxa"/>
              <w:bottom w:w="80" w:type="dxa"/>
              <w:left w:w="140" w:type="dxa"/>
              <w:right w:w="140" w:type="dxa"/>
            </w:tcMar>
          </w:tcPr>
          <w:p>
            <w:r>
              <w:rPr>
                <w:rFonts w:ascii="Calibri" w:hAnsi="Calibri"/>
                <w:color w:val="2C3E50"/>
                <w:sz w:val="19"/>
              </w:rPr>
              <w:t>Omitted HSTS, CSP, X-Frame-Options, X-Content-Type-Options, Referrer-Policy, Permissions-Policy.</w:t>
            </w:r>
          </w:p>
        </w:tc>
      </w:tr>
      <w:tr>
        <w:tc>
          <w:tcPr>
            <w:tcW w:type="dxa" w:w="2592"/>
            <w:shd w:fill="F9FBFC"/>
            <w:tcMar>
              <w:top w:w="80" w:type="dxa"/>
              <w:bottom w:w="80" w:type="dxa"/>
              <w:left w:w="140" w:type="dxa"/>
              <w:right w:w="140" w:type="dxa"/>
            </w:tcMar>
          </w:tcPr>
          <w:p>
            <w:r>
              <w:rPr>
                <w:rFonts w:ascii="Calibri" w:hAnsi="Calibri"/>
                <w:color w:val="2C3E50"/>
                <w:sz w:val="19"/>
              </w:rPr>
              <w:t>Information Disclosure</w:t>
            </w:r>
          </w:p>
        </w:tc>
        <w:tc>
          <w:tcPr>
            <w:tcW w:type="dxa" w:w="2592"/>
            <w:shd w:fill="F9FBFC"/>
            <w:tcMar>
              <w:top w:w="80" w:type="dxa"/>
              <w:bottom w:w="80" w:type="dxa"/>
              <w:left w:w="140" w:type="dxa"/>
              <w:right w:w="140" w:type="dxa"/>
            </w:tcMar>
          </w:tcPr>
          <w:p>
            <w:r>
              <w:rPr>
                <w:rFonts w:ascii="Calibri" w:hAnsi="Calibri"/>
                <w:color w:val="2C3E50"/>
                <w:sz w:val="19"/>
              </w:rPr>
              <w:t>Server: gunicorn/19.9.0</w:t>
            </w:r>
          </w:p>
        </w:tc>
        <w:tc>
          <w:tcPr>
            <w:tcW w:type="dxa" w:w="1440"/>
            <w:shd w:fill="F9FBFC"/>
            <w:tcMar>
              <w:top w:w="80" w:type="dxa"/>
              <w:bottom w:w="80" w:type="dxa"/>
              <w:left w:w="140" w:type="dxa"/>
              <w:right w:w="140" w:type="dxa"/>
            </w:tcMar>
          </w:tcPr>
          <w:p>
            <w:r>
              <w:rPr>
                <w:rFonts w:ascii="Calibri" w:hAnsi="Calibri"/>
                <w:color w:val="2C3E50"/>
                <w:sz w:val="19"/>
              </w:rPr>
              <w:t>Low</w:t>
            </w:r>
          </w:p>
        </w:tc>
        <w:tc>
          <w:tcPr>
            <w:tcW w:type="dxa" w:w="2736"/>
            <w:shd w:fill="F9FBFC"/>
            <w:tcMar>
              <w:top w:w="80" w:type="dxa"/>
              <w:bottom w:w="80" w:type="dxa"/>
              <w:left w:w="140" w:type="dxa"/>
              <w:right w:w="140" w:type="dxa"/>
            </w:tcMar>
          </w:tcPr>
          <w:p>
            <w:r>
              <w:rPr>
                <w:rFonts w:ascii="Calibri" w:hAnsi="Calibri"/>
                <w:color w:val="2C3E50"/>
                <w:sz w:val="19"/>
              </w:rPr>
              <w:t>Exposes backend WSGI HTTP server and exact version, aiding reconnaissance.</w:t>
            </w:r>
          </w:p>
        </w:tc>
      </w:tr>
      <w:tr>
        <w:tc>
          <w:tcPr>
            <w:tcW w:type="dxa" w:w="2592"/>
            <w:shd w:fill="FFFFFF"/>
            <w:tcMar>
              <w:top w:w="80" w:type="dxa"/>
              <w:bottom w:w="80" w:type="dxa"/>
              <w:left w:w="140" w:type="dxa"/>
              <w:right w:w="140" w:type="dxa"/>
            </w:tcMar>
          </w:tcPr>
          <w:p>
            <w:r>
              <w:rPr>
                <w:rFonts w:ascii="Calibri" w:hAnsi="Calibri"/>
                <w:color w:val="2C3E50"/>
                <w:sz w:val="19"/>
              </w:rPr>
              <w:t>CORS Vector 1 (Arbitrary Origin)</w:t>
            </w:r>
          </w:p>
        </w:tc>
        <w:tc>
          <w:tcPr>
            <w:tcW w:type="dxa" w:w="2592"/>
            <w:shd w:fill="FFFFFF"/>
            <w:tcMar>
              <w:top w:w="80" w:type="dxa"/>
              <w:bottom w:w="80" w:type="dxa"/>
              <w:left w:w="140" w:type="dxa"/>
              <w:right w:w="140" w:type="dxa"/>
            </w:tcMar>
          </w:tcPr>
          <w:p>
            <w:r>
              <w:rPr>
                <w:rFonts w:ascii="Calibri" w:hAnsi="Calibri"/>
                <w:color w:val="2C3E50"/>
                <w:sz w:val="19"/>
              </w:rPr>
              <w:t>Reflected with ACAC: true</w:t>
            </w:r>
          </w:p>
        </w:tc>
        <w:tc>
          <w:tcPr>
            <w:tcW w:type="dxa" w:w="1440"/>
            <w:shd w:fill="FFFFFF"/>
            <w:tcMar>
              <w:top w:w="80" w:type="dxa"/>
              <w:bottom w:w="80" w:type="dxa"/>
              <w:left w:w="140" w:type="dxa"/>
              <w:right w:w="140" w:type="dxa"/>
            </w:tcMar>
          </w:tcPr>
          <w:p>
            <w:r>
              <w:rPr>
                <w:rFonts w:ascii="Calibri" w:hAnsi="Calibri"/>
                <w:color w:val="2C3E50"/>
                <w:sz w:val="19"/>
              </w:rPr>
              <w:t>Critical</w:t>
            </w:r>
          </w:p>
        </w:tc>
        <w:tc>
          <w:tcPr>
            <w:tcW w:type="dxa" w:w="2736"/>
            <w:shd w:fill="FFFFFF"/>
            <w:tcMar>
              <w:top w:w="80" w:type="dxa"/>
              <w:bottom w:w="80" w:type="dxa"/>
              <w:left w:w="140" w:type="dxa"/>
              <w:right w:w="140" w:type="dxa"/>
            </w:tcMar>
          </w:tcPr>
          <w:p>
            <w:r>
              <w:rPr>
                <w:rFonts w:ascii="Calibri" w:hAnsi="Calibri"/>
                <w:color w:val="2C3E50"/>
                <w:sz w:val="19"/>
              </w:rPr>
              <w:t>https://evil-attacker.com accepted alongside credentials.</w:t>
            </w:r>
          </w:p>
        </w:tc>
      </w:tr>
      <w:tr>
        <w:tc>
          <w:tcPr>
            <w:tcW w:type="dxa" w:w="2592"/>
            <w:shd w:fill="F9FBFC"/>
            <w:tcMar>
              <w:top w:w="80" w:type="dxa"/>
              <w:bottom w:w="80" w:type="dxa"/>
              <w:left w:w="140" w:type="dxa"/>
              <w:right w:w="140" w:type="dxa"/>
            </w:tcMar>
          </w:tcPr>
          <w:p>
            <w:r>
              <w:rPr>
                <w:rFonts w:ascii="Calibri" w:hAnsi="Calibri"/>
                <w:color w:val="2C3E50"/>
                <w:sz w:val="19"/>
              </w:rPr>
              <w:t>CORS Vector 2 (Null Origin)</w:t>
            </w:r>
          </w:p>
        </w:tc>
        <w:tc>
          <w:tcPr>
            <w:tcW w:type="dxa" w:w="2592"/>
            <w:shd w:fill="F9FBFC"/>
            <w:tcMar>
              <w:top w:w="80" w:type="dxa"/>
              <w:bottom w:w="80" w:type="dxa"/>
              <w:left w:w="140" w:type="dxa"/>
              <w:right w:w="140" w:type="dxa"/>
            </w:tcMar>
          </w:tcPr>
          <w:p>
            <w:r>
              <w:rPr>
                <w:rFonts w:ascii="Calibri" w:hAnsi="Calibri"/>
                <w:color w:val="2C3E50"/>
                <w:sz w:val="19"/>
              </w:rPr>
              <w:t>Reflected with ACAC: true</w:t>
            </w:r>
          </w:p>
        </w:tc>
        <w:tc>
          <w:tcPr>
            <w:tcW w:type="dxa" w:w="1440"/>
            <w:shd w:fill="F9FBFC"/>
            <w:tcMar>
              <w:top w:w="80" w:type="dxa"/>
              <w:bottom w:w="80" w:type="dxa"/>
              <w:left w:w="140" w:type="dxa"/>
              <w:right w:w="140" w:type="dxa"/>
            </w:tcMar>
          </w:tcPr>
          <w:p>
            <w:r>
              <w:rPr>
                <w:rFonts w:ascii="Calibri" w:hAnsi="Calibri"/>
                <w:color w:val="2C3E50"/>
                <w:sz w:val="19"/>
              </w:rPr>
              <w:t>Critical</w:t>
            </w:r>
          </w:p>
        </w:tc>
        <w:tc>
          <w:tcPr>
            <w:tcW w:type="dxa" w:w="2736"/>
            <w:shd w:fill="F9FBFC"/>
            <w:tcMar>
              <w:top w:w="80" w:type="dxa"/>
              <w:bottom w:w="80" w:type="dxa"/>
              <w:left w:w="140" w:type="dxa"/>
              <w:right w:w="140" w:type="dxa"/>
            </w:tcMar>
          </w:tcPr>
          <w:p>
            <w:r>
              <w:rPr>
                <w:rFonts w:ascii="Calibri" w:hAnsi="Calibri"/>
                <w:color w:val="2C3E50"/>
                <w:sz w:val="19"/>
              </w:rPr>
              <w:t>Origin: null accepted, enabling sandboxed iframe exploits.</w:t>
            </w:r>
          </w:p>
        </w:tc>
      </w:tr>
      <w:tr>
        <w:tc>
          <w:tcPr>
            <w:tcW w:type="dxa" w:w="2592"/>
            <w:shd w:fill="FFFFFF"/>
            <w:tcMar>
              <w:top w:w="80" w:type="dxa"/>
              <w:bottom w:w="80" w:type="dxa"/>
              <w:left w:w="140" w:type="dxa"/>
              <w:right w:w="140" w:type="dxa"/>
            </w:tcMar>
          </w:tcPr>
          <w:p>
            <w:r>
              <w:rPr>
                <w:rFonts w:ascii="Calibri" w:hAnsi="Calibri"/>
                <w:color w:val="2C3E50"/>
                <w:sz w:val="19"/>
              </w:rPr>
              <w:t>CORS Vector 3 (Subdomain Confusion)</w:t>
            </w:r>
          </w:p>
        </w:tc>
        <w:tc>
          <w:tcPr>
            <w:tcW w:type="dxa" w:w="2592"/>
            <w:shd w:fill="FFFFFF"/>
            <w:tcMar>
              <w:top w:w="80" w:type="dxa"/>
              <w:bottom w:w="80" w:type="dxa"/>
              <w:left w:w="140" w:type="dxa"/>
              <w:right w:w="140" w:type="dxa"/>
            </w:tcMar>
          </w:tcPr>
          <w:p>
            <w:r>
              <w:rPr>
                <w:rFonts w:ascii="Calibri" w:hAnsi="Calibri"/>
                <w:color w:val="2C3E50"/>
                <w:sz w:val="19"/>
              </w:rPr>
              <w:t>Reflected with ACAC: true</w:t>
            </w:r>
          </w:p>
        </w:tc>
        <w:tc>
          <w:tcPr>
            <w:tcW w:type="dxa" w:w="1440"/>
            <w:shd w:fill="FFFFFF"/>
            <w:tcMar>
              <w:top w:w="80" w:type="dxa"/>
              <w:bottom w:w="80" w:type="dxa"/>
              <w:left w:w="140" w:type="dxa"/>
              <w:right w:w="140" w:type="dxa"/>
            </w:tcMar>
          </w:tcPr>
          <w:p>
            <w:r>
              <w:rPr>
                <w:rFonts w:ascii="Calibri" w:hAnsi="Calibri"/>
                <w:color w:val="2C3E50"/>
                <w:sz w:val="19"/>
              </w:rPr>
              <w:t>Critical</w:t>
            </w:r>
          </w:p>
        </w:tc>
        <w:tc>
          <w:tcPr>
            <w:tcW w:type="dxa" w:w="2736"/>
            <w:shd w:fill="FFFFFF"/>
            <w:tcMar>
              <w:top w:w="80" w:type="dxa"/>
              <w:bottom w:w="80" w:type="dxa"/>
              <w:left w:w="140" w:type="dxa"/>
              <w:right w:w="140" w:type="dxa"/>
            </w:tcMar>
          </w:tcPr>
          <w:p>
            <w:r>
              <w:rPr>
                <w:rFonts w:ascii="Calibri" w:hAnsi="Calibri"/>
                <w:color w:val="2C3E50"/>
                <w:sz w:val="19"/>
              </w:rPr>
              <w:t>https://httpbin.org.evil-attacker.com trusted dynamically.</w:t>
            </w:r>
          </w:p>
        </w:tc>
      </w:tr>
      <w:tr>
        <w:tc>
          <w:tcPr>
            <w:tcW w:type="dxa" w:w="2592"/>
            <w:shd w:fill="F9FBFC"/>
            <w:tcMar>
              <w:top w:w="80" w:type="dxa"/>
              <w:bottom w:w="80" w:type="dxa"/>
              <w:left w:w="140" w:type="dxa"/>
              <w:right w:w="140" w:type="dxa"/>
            </w:tcMar>
          </w:tcPr>
          <w:p>
            <w:r>
              <w:rPr>
                <w:rFonts w:ascii="Calibri" w:hAnsi="Calibri"/>
                <w:color w:val="2C3E50"/>
                <w:sz w:val="19"/>
              </w:rPr>
              <w:t>CORS Vector 4 (Suffix Bypass)</w:t>
            </w:r>
          </w:p>
        </w:tc>
        <w:tc>
          <w:tcPr>
            <w:tcW w:type="dxa" w:w="2592"/>
            <w:shd w:fill="F9FBFC"/>
            <w:tcMar>
              <w:top w:w="80" w:type="dxa"/>
              <w:bottom w:w="80" w:type="dxa"/>
              <w:left w:w="140" w:type="dxa"/>
              <w:right w:w="140" w:type="dxa"/>
            </w:tcMar>
          </w:tcPr>
          <w:p>
            <w:r>
              <w:rPr>
                <w:rFonts w:ascii="Calibri" w:hAnsi="Calibri"/>
                <w:color w:val="2C3E50"/>
                <w:sz w:val="19"/>
              </w:rPr>
              <w:t>Reflected with ACAC: true</w:t>
            </w:r>
          </w:p>
        </w:tc>
        <w:tc>
          <w:tcPr>
            <w:tcW w:type="dxa" w:w="1440"/>
            <w:shd w:fill="F9FBFC"/>
            <w:tcMar>
              <w:top w:w="80" w:type="dxa"/>
              <w:bottom w:w="80" w:type="dxa"/>
              <w:left w:w="140" w:type="dxa"/>
              <w:right w:w="140" w:type="dxa"/>
            </w:tcMar>
          </w:tcPr>
          <w:p>
            <w:r>
              <w:rPr>
                <w:rFonts w:ascii="Calibri" w:hAnsi="Calibri"/>
                <w:color w:val="2C3E50"/>
                <w:sz w:val="19"/>
              </w:rPr>
              <w:t>Critical</w:t>
            </w:r>
          </w:p>
        </w:tc>
        <w:tc>
          <w:tcPr>
            <w:tcW w:type="dxa" w:w="2736"/>
            <w:shd w:fill="F9FBFC"/>
            <w:tcMar>
              <w:top w:w="80" w:type="dxa"/>
              <w:bottom w:w="80" w:type="dxa"/>
              <w:left w:w="140" w:type="dxa"/>
              <w:right w:w="140" w:type="dxa"/>
            </w:tcMar>
          </w:tcPr>
          <w:p>
            <w:r>
              <w:rPr>
                <w:rFonts w:ascii="Calibri" w:hAnsi="Calibri"/>
                <w:color w:val="2C3E50"/>
                <w:sz w:val="19"/>
              </w:rPr>
              <w:t>https://attacker-httpbin.org trusted dynamically.</w:t>
            </w:r>
          </w:p>
        </w:tc>
      </w:tr>
    </w:tbl>
    <w:p>
      <w:pPr>
        <w:pStyle w:val="Heading2"/>
        <w:keepNext/>
        <w:spacing w:before="280" w:after="120"/>
      </w:pPr>
      <w:r>
        <w:rPr>
          <w:rFonts w:ascii="Calibri" w:hAnsi="Calibri"/>
          <w:b/>
          <w:color w:val="1B365D"/>
        </w:rPr>
        <w:t>5.2 Case Study 2: Hardened Enterprise Endpoint (github.com)</w:t>
      </w:r>
    </w:p>
    <w:p>
      <w:r>
        <w:t>In contrast, scanning https://github.com demonstrated an enterprise-grade defensive posture. The platform achieved a Security Posture Score of 76/100 (Grade: B). Key observations include:</w:t>
        <w:br/>
        <w:t>• Strict HSTS enforcement with max-age=31536000, includeSubDomains, and preload directive.</w:t>
        <w:br/>
        <w:t>• X-Frame-Options explicitly set to 'deny'.</w:t>
        <w:br/>
        <w:t>• X-Content-Type-Options set to 'nosniff'.</w:t>
        <w:br/>
        <w:t>• CORS origin validation completely rejected all 4 untrusted probe origins without reflecting headers.</w:t>
        <w:br/>
        <w:t>• Minor deductions were recorded for omitting Permissions-Policy and utilizing an extensive inline-script CSP policy.</w:t>
      </w:r>
    </w:p>
    <w:p>
      <w:pPr>
        <w:pStyle w:val="Heading2"/>
        <w:keepNext/>
        <w:spacing w:before="280" w:after="120"/>
      </w:pPr>
      <w:r>
        <w:rPr>
          <w:rFonts w:ascii="Calibri" w:hAnsi="Calibri"/>
          <w:b/>
          <w:color w:val="1B365D"/>
        </w:rPr>
        <w:t>5.3 Comparative Performance &amp; Evaluation Matrix</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B365D"/>
            <w:tcMar>
              <w:top w:w="120" w:type="dxa"/>
              <w:bottom w:w="120" w:type="dxa"/>
              <w:left w:w="150" w:type="dxa"/>
              <w:right w:w="150" w:type="dxa"/>
            </w:tcMar>
          </w:tcPr>
          <w:p>
            <w:pPr>
              <w:jc w:val="left"/>
            </w:pPr>
            <w:r>
              <w:rPr>
                <w:rFonts w:ascii="Calibri" w:hAnsi="Calibri"/>
                <w:b/>
                <w:color w:val="FFFFFF"/>
                <w:sz w:val="20"/>
              </w:rPr>
              <w:t>Audit Check</w:t>
            </w:r>
          </w:p>
        </w:tc>
        <w:tc>
          <w:tcPr>
            <w:tcW w:type="dxa" w:w="2304"/>
            <w:shd w:fill="1B365D"/>
            <w:tcMar>
              <w:top w:w="120" w:type="dxa"/>
              <w:bottom w:w="120" w:type="dxa"/>
              <w:left w:w="150" w:type="dxa"/>
              <w:right w:w="150" w:type="dxa"/>
            </w:tcMar>
          </w:tcPr>
          <w:p>
            <w:pPr>
              <w:jc w:val="left"/>
            </w:pPr>
            <w:r>
              <w:rPr>
                <w:rFonts w:ascii="Calibri" w:hAnsi="Calibri"/>
                <w:b/>
                <w:color w:val="FFFFFF"/>
                <w:sz w:val="20"/>
              </w:rPr>
              <w:t>httpbin.org (Testbed)</w:t>
            </w:r>
          </w:p>
        </w:tc>
        <w:tc>
          <w:tcPr>
            <w:tcW w:type="dxa" w:w="2304"/>
            <w:shd w:fill="1B365D"/>
            <w:tcMar>
              <w:top w:w="120" w:type="dxa"/>
              <w:bottom w:w="120" w:type="dxa"/>
              <w:left w:w="150" w:type="dxa"/>
              <w:right w:w="150" w:type="dxa"/>
            </w:tcMar>
          </w:tcPr>
          <w:p>
            <w:pPr>
              <w:jc w:val="left"/>
            </w:pPr>
            <w:r>
              <w:rPr>
                <w:rFonts w:ascii="Calibri" w:hAnsi="Calibri"/>
                <w:b/>
                <w:color w:val="FFFFFF"/>
                <w:sz w:val="20"/>
              </w:rPr>
              <w:t>github.com (Production)</w:t>
            </w:r>
          </w:p>
        </w:tc>
        <w:tc>
          <w:tcPr>
            <w:tcW w:type="dxa" w:w="2160"/>
            <w:shd w:fill="1B365D"/>
            <w:tcMar>
              <w:top w:w="120" w:type="dxa"/>
              <w:bottom w:w="120" w:type="dxa"/>
              <w:left w:w="150" w:type="dxa"/>
              <w:right w:w="150" w:type="dxa"/>
            </w:tcMar>
          </w:tcPr>
          <w:p>
            <w:pPr>
              <w:jc w:val="left"/>
            </w:pPr>
            <w:r>
              <w:rPr>
                <w:rFonts w:ascii="Calibri" w:hAnsi="Calibri"/>
                <w:b/>
                <w:color w:val="FFFFFF"/>
                <w:sz w:val="20"/>
              </w:rPr>
              <w:t>Analytical Finding</w:t>
            </w:r>
          </w:p>
        </w:tc>
      </w:tr>
      <w:tr>
        <w:tc>
          <w:tcPr>
            <w:tcW w:type="dxa" w:w="2592"/>
            <w:shd w:fill="FFFFFF"/>
            <w:tcMar>
              <w:top w:w="80" w:type="dxa"/>
              <w:bottom w:w="80" w:type="dxa"/>
              <w:left w:w="140" w:type="dxa"/>
              <w:right w:w="140" w:type="dxa"/>
            </w:tcMar>
          </w:tcPr>
          <w:p>
            <w:r>
              <w:rPr>
                <w:rFonts w:ascii="Calibri" w:hAnsi="Calibri"/>
                <w:color w:val="2C3E50"/>
                <w:sz w:val="19"/>
              </w:rPr>
              <w:t>Target URL</w:t>
            </w:r>
          </w:p>
        </w:tc>
        <w:tc>
          <w:tcPr>
            <w:tcW w:type="dxa" w:w="2304"/>
            <w:shd w:fill="FFFFFF"/>
            <w:tcMar>
              <w:top w:w="80" w:type="dxa"/>
              <w:bottom w:w="80" w:type="dxa"/>
              <w:left w:w="140" w:type="dxa"/>
              <w:right w:w="140" w:type="dxa"/>
            </w:tcMar>
          </w:tcPr>
          <w:p>
            <w:r>
              <w:rPr>
                <w:rFonts w:ascii="Calibri" w:hAnsi="Calibri"/>
                <w:color w:val="2C3E50"/>
                <w:sz w:val="19"/>
              </w:rPr>
              <w:t>https://httpbin.org</w:t>
            </w:r>
          </w:p>
        </w:tc>
        <w:tc>
          <w:tcPr>
            <w:tcW w:type="dxa" w:w="2304"/>
            <w:shd w:fill="FFFFFF"/>
            <w:tcMar>
              <w:top w:w="80" w:type="dxa"/>
              <w:bottom w:w="80" w:type="dxa"/>
              <w:left w:w="140" w:type="dxa"/>
              <w:right w:w="140" w:type="dxa"/>
            </w:tcMar>
          </w:tcPr>
          <w:p>
            <w:r>
              <w:rPr>
                <w:rFonts w:ascii="Calibri" w:hAnsi="Calibri"/>
                <w:color w:val="2C3E50"/>
                <w:sz w:val="19"/>
              </w:rPr>
              <w:t>https://github.com</w:t>
            </w:r>
          </w:p>
        </w:tc>
        <w:tc>
          <w:tcPr>
            <w:tcW w:type="dxa" w:w="2160"/>
            <w:shd w:fill="FFFFFF"/>
            <w:tcMar>
              <w:top w:w="80" w:type="dxa"/>
              <w:bottom w:w="80" w:type="dxa"/>
              <w:left w:w="140" w:type="dxa"/>
              <w:right w:w="140" w:type="dxa"/>
            </w:tcMar>
          </w:tcPr>
          <w:p>
            <w:r>
              <w:rPr>
                <w:rFonts w:ascii="Calibri" w:hAnsi="Calibri"/>
                <w:color w:val="2C3E50"/>
                <w:sz w:val="19"/>
              </w:rPr>
              <w:t>Comparative Security Analysis</w:t>
            </w:r>
          </w:p>
        </w:tc>
      </w:tr>
      <w:tr>
        <w:tc>
          <w:tcPr>
            <w:tcW w:type="dxa" w:w="2592"/>
            <w:shd w:fill="F9FBFC"/>
            <w:tcMar>
              <w:top w:w="80" w:type="dxa"/>
              <w:bottom w:w="80" w:type="dxa"/>
              <w:left w:w="140" w:type="dxa"/>
              <w:right w:w="140" w:type="dxa"/>
            </w:tcMar>
          </w:tcPr>
          <w:p>
            <w:r>
              <w:rPr>
                <w:rFonts w:ascii="Calibri" w:hAnsi="Calibri"/>
                <w:color w:val="2C3E50"/>
                <w:sz w:val="19"/>
              </w:rPr>
              <w:t>Final Security Score</w:t>
            </w:r>
          </w:p>
        </w:tc>
        <w:tc>
          <w:tcPr>
            <w:tcW w:type="dxa" w:w="2304"/>
            <w:shd w:fill="F9FBFC"/>
            <w:tcMar>
              <w:top w:w="80" w:type="dxa"/>
              <w:bottom w:w="80" w:type="dxa"/>
              <w:left w:w="140" w:type="dxa"/>
              <w:right w:w="140" w:type="dxa"/>
            </w:tcMar>
          </w:tcPr>
          <w:p>
            <w:r>
              <w:rPr>
                <w:rFonts w:ascii="Calibri" w:hAnsi="Calibri"/>
                <w:color w:val="2C3E50"/>
                <w:sz w:val="19"/>
              </w:rPr>
              <w:t>0 / 100</w:t>
            </w:r>
          </w:p>
        </w:tc>
        <w:tc>
          <w:tcPr>
            <w:tcW w:type="dxa" w:w="2304"/>
            <w:shd w:fill="F9FBFC"/>
            <w:tcMar>
              <w:top w:w="80" w:type="dxa"/>
              <w:bottom w:w="80" w:type="dxa"/>
              <w:left w:w="140" w:type="dxa"/>
              <w:right w:w="140" w:type="dxa"/>
            </w:tcMar>
          </w:tcPr>
          <w:p>
            <w:r>
              <w:rPr>
                <w:rFonts w:ascii="Calibri" w:hAnsi="Calibri"/>
                <w:color w:val="2C3E50"/>
                <w:sz w:val="19"/>
              </w:rPr>
              <w:t>76 / 100</w:t>
            </w:r>
          </w:p>
        </w:tc>
        <w:tc>
          <w:tcPr>
            <w:tcW w:type="dxa" w:w="2160"/>
            <w:shd w:fill="F9FBFC"/>
            <w:tcMar>
              <w:top w:w="80" w:type="dxa"/>
              <w:bottom w:w="80" w:type="dxa"/>
              <w:left w:w="140" w:type="dxa"/>
              <w:right w:w="140" w:type="dxa"/>
            </w:tcMar>
          </w:tcPr>
          <w:p>
            <w:r>
              <w:rPr>
                <w:rFonts w:ascii="Calibri" w:hAnsi="Calibri"/>
                <w:color w:val="2C3E50"/>
                <w:sz w:val="19"/>
              </w:rPr>
              <w:t>Reflects baseline hardening differences</w:t>
            </w:r>
          </w:p>
        </w:tc>
      </w:tr>
      <w:tr>
        <w:tc>
          <w:tcPr>
            <w:tcW w:type="dxa" w:w="2592"/>
            <w:shd w:fill="FFFFFF"/>
            <w:tcMar>
              <w:top w:w="80" w:type="dxa"/>
              <w:bottom w:w="80" w:type="dxa"/>
              <w:left w:w="140" w:type="dxa"/>
              <w:right w:w="140" w:type="dxa"/>
            </w:tcMar>
          </w:tcPr>
          <w:p>
            <w:r>
              <w:rPr>
                <w:rFonts w:ascii="Calibri" w:hAnsi="Calibri"/>
                <w:color w:val="2C3E50"/>
                <w:sz w:val="19"/>
              </w:rPr>
              <w:t>Letter Grade</w:t>
            </w:r>
          </w:p>
        </w:tc>
        <w:tc>
          <w:tcPr>
            <w:tcW w:type="dxa" w:w="2304"/>
            <w:shd w:fill="FFFFFF"/>
            <w:tcMar>
              <w:top w:w="80" w:type="dxa"/>
              <w:bottom w:w="80" w:type="dxa"/>
              <w:left w:w="140" w:type="dxa"/>
              <w:right w:w="140" w:type="dxa"/>
            </w:tcMar>
          </w:tcPr>
          <w:p>
            <w:r>
              <w:rPr>
                <w:rFonts w:ascii="Calibri" w:hAnsi="Calibri"/>
                <w:color w:val="2C3E50"/>
                <w:sz w:val="19"/>
              </w:rPr>
              <w:t>F (Vulnerable)</w:t>
            </w:r>
          </w:p>
        </w:tc>
        <w:tc>
          <w:tcPr>
            <w:tcW w:type="dxa" w:w="2304"/>
            <w:shd w:fill="FFFFFF"/>
            <w:tcMar>
              <w:top w:w="80" w:type="dxa"/>
              <w:bottom w:w="80" w:type="dxa"/>
              <w:left w:w="140" w:type="dxa"/>
              <w:right w:w="140" w:type="dxa"/>
            </w:tcMar>
          </w:tcPr>
          <w:p>
            <w:r>
              <w:rPr>
                <w:rFonts w:ascii="Calibri" w:hAnsi="Calibri"/>
                <w:color w:val="2C3E50"/>
                <w:sz w:val="19"/>
              </w:rPr>
              <w:t>B (Hardened)</w:t>
            </w:r>
          </w:p>
        </w:tc>
        <w:tc>
          <w:tcPr>
            <w:tcW w:type="dxa" w:w="2160"/>
            <w:shd w:fill="FFFFFF"/>
            <w:tcMar>
              <w:top w:w="80" w:type="dxa"/>
              <w:bottom w:w="80" w:type="dxa"/>
              <w:left w:w="140" w:type="dxa"/>
              <w:right w:w="140" w:type="dxa"/>
            </w:tcMar>
          </w:tcPr>
          <w:p>
            <w:r>
              <w:rPr>
                <w:rFonts w:ascii="Calibri" w:hAnsi="Calibri"/>
                <w:color w:val="2C3E50"/>
                <w:sz w:val="19"/>
              </w:rPr>
              <w:t>Standardized posture rating</w:t>
            </w:r>
          </w:p>
        </w:tc>
      </w:tr>
      <w:tr>
        <w:tc>
          <w:tcPr>
            <w:tcW w:type="dxa" w:w="2592"/>
            <w:shd w:fill="F9FBFC"/>
            <w:tcMar>
              <w:top w:w="80" w:type="dxa"/>
              <w:bottom w:w="80" w:type="dxa"/>
              <w:left w:w="140" w:type="dxa"/>
              <w:right w:w="140" w:type="dxa"/>
            </w:tcMar>
          </w:tcPr>
          <w:p>
            <w:r>
              <w:rPr>
                <w:rFonts w:ascii="Calibri" w:hAnsi="Calibri"/>
                <w:color w:val="2C3E50"/>
                <w:sz w:val="19"/>
              </w:rPr>
              <w:t>HSTS (Strict-Transport)</w:t>
            </w:r>
          </w:p>
        </w:tc>
        <w:tc>
          <w:tcPr>
            <w:tcW w:type="dxa" w:w="2304"/>
            <w:shd w:fill="F9FBFC"/>
            <w:tcMar>
              <w:top w:w="80" w:type="dxa"/>
              <w:bottom w:w="80" w:type="dxa"/>
              <w:left w:w="140" w:type="dxa"/>
              <w:right w:w="140" w:type="dxa"/>
            </w:tcMar>
          </w:tcPr>
          <w:p>
            <w:r>
              <w:rPr>
                <w:rFonts w:ascii="Calibri" w:hAnsi="Calibri"/>
                <w:color w:val="2C3E50"/>
                <w:sz w:val="19"/>
              </w:rPr>
              <w:t>Missing (-15)</w:t>
            </w:r>
          </w:p>
        </w:tc>
        <w:tc>
          <w:tcPr>
            <w:tcW w:type="dxa" w:w="2304"/>
            <w:shd w:fill="F9FBFC"/>
            <w:tcMar>
              <w:top w:w="80" w:type="dxa"/>
              <w:bottom w:w="80" w:type="dxa"/>
              <w:left w:w="140" w:type="dxa"/>
              <w:right w:w="140" w:type="dxa"/>
            </w:tcMar>
          </w:tcPr>
          <w:p>
            <w:r>
              <w:rPr>
                <w:rFonts w:ascii="Calibri" w:hAnsi="Calibri"/>
                <w:color w:val="2C3E50"/>
                <w:sz w:val="19"/>
              </w:rPr>
              <w:t>Pass (max-age 31536000)</w:t>
            </w:r>
          </w:p>
        </w:tc>
        <w:tc>
          <w:tcPr>
            <w:tcW w:type="dxa" w:w="2160"/>
            <w:shd w:fill="F9FBFC"/>
            <w:tcMar>
              <w:top w:w="80" w:type="dxa"/>
              <w:bottom w:w="80" w:type="dxa"/>
              <w:left w:w="140" w:type="dxa"/>
              <w:right w:w="140" w:type="dxa"/>
            </w:tcMar>
          </w:tcPr>
          <w:p>
            <w:r>
              <w:rPr>
                <w:rFonts w:ascii="Calibri" w:hAnsi="Calibri"/>
                <w:color w:val="2C3E50"/>
                <w:sz w:val="19"/>
              </w:rPr>
              <w:t>Mitigates protocol downgrade attacks</w:t>
            </w:r>
          </w:p>
        </w:tc>
      </w:tr>
      <w:tr>
        <w:tc>
          <w:tcPr>
            <w:tcW w:type="dxa" w:w="2592"/>
            <w:shd w:fill="FFFFFF"/>
            <w:tcMar>
              <w:top w:w="80" w:type="dxa"/>
              <w:bottom w:w="80" w:type="dxa"/>
              <w:left w:w="140" w:type="dxa"/>
              <w:right w:w="140" w:type="dxa"/>
            </w:tcMar>
          </w:tcPr>
          <w:p>
            <w:r>
              <w:rPr>
                <w:rFonts w:ascii="Calibri" w:hAnsi="Calibri"/>
                <w:color w:val="2C3E50"/>
                <w:sz w:val="19"/>
              </w:rPr>
              <w:t>Content-Security-Policy</w:t>
            </w:r>
          </w:p>
        </w:tc>
        <w:tc>
          <w:tcPr>
            <w:tcW w:type="dxa" w:w="2304"/>
            <w:shd w:fill="FFFFFF"/>
            <w:tcMar>
              <w:top w:w="80" w:type="dxa"/>
              <w:bottom w:w="80" w:type="dxa"/>
              <w:left w:w="140" w:type="dxa"/>
              <w:right w:w="140" w:type="dxa"/>
            </w:tcMar>
          </w:tcPr>
          <w:p>
            <w:r>
              <w:rPr>
                <w:rFonts w:ascii="Calibri" w:hAnsi="Calibri"/>
                <w:color w:val="2C3E50"/>
                <w:sz w:val="19"/>
              </w:rPr>
              <w:t>Missing (-25)</w:t>
            </w:r>
          </w:p>
        </w:tc>
        <w:tc>
          <w:tcPr>
            <w:tcW w:type="dxa" w:w="2304"/>
            <w:shd w:fill="FFFFFF"/>
            <w:tcMar>
              <w:top w:w="80" w:type="dxa"/>
              <w:bottom w:w="80" w:type="dxa"/>
              <w:left w:w="140" w:type="dxa"/>
              <w:right w:w="140" w:type="dxa"/>
            </w:tcMar>
          </w:tcPr>
          <w:p>
            <w:r>
              <w:rPr>
                <w:rFonts w:ascii="Calibri" w:hAnsi="Calibri"/>
                <w:color w:val="2C3E50"/>
                <w:sz w:val="19"/>
              </w:rPr>
              <w:t>Present (-8 for inline)</w:t>
            </w:r>
          </w:p>
        </w:tc>
        <w:tc>
          <w:tcPr>
            <w:tcW w:type="dxa" w:w="2160"/>
            <w:shd w:fill="FFFFFF"/>
            <w:tcMar>
              <w:top w:w="80" w:type="dxa"/>
              <w:bottom w:w="80" w:type="dxa"/>
              <w:left w:w="140" w:type="dxa"/>
              <w:right w:w="140" w:type="dxa"/>
            </w:tcMar>
          </w:tcPr>
          <w:p>
            <w:r>
              <w:rPr>
                <w:rFonts w:ascii="Calibri" w:hAnsi="Calibri"/>
                <w:color w:val="2C3E50"/>
                <w:sz w:val="19"/>
              </w:rPr>
              <w:t>Restricts executable script contexts</w:t>
            </w:r>
          </w:p>
        </w:tc>
      </w:tr>
      <w:tr>
        <w:tc>
          <w:tcPr>
            <w:tcW w:type="dxa" w:w="2592"/>
            <w:shd w:fill="F9FBFC"/>
            <w:tcMar>
              <w:top w:w="80" w:type="dxa"/>
              <w:bottom w:w="80" w:type="dxa"/>
              <w:left w:w="140" w:type="dxa"/>
              <w:right w:w="140" w:type="dxa"/>
            </w:tcMar>
          </w:tcPr>
          <w:p>
            <w:r>
              <w:rPr>
                <w:rFonts w:ascii="Calibri" w:hAnsi="Calibri"/>
                <w:color w:val="2C3E50"/>
                <w:sz w:val="19"/>
              </w:rPr>
              <w:t>X-Frame-Options</w:t>
            </w:r>
          </w:p>
        </w:tc>
        <w:tc>
          <w:tcPr>
            <w:tcW w:type="dxa" w:w="2304"/>
            <w:shd w:fill="F9FBFC"/>
            <w:tcMar>
              <w:top w:w="80" w:type="dxa"/>
              <w:bottom w:w="80" w:type="dxa"/>
              <w:left w:w="140" w:type="dxa"/>
              <w:right w:w="140" w:type="dxa"/>
            </w:tcMar>
          </w:tcPr>
          <w:p>
            <w:r>
              <w:rPr>
                <w:rFonts w:ascii="Calibri" w:hAnsi="Calibri"/>
                <w:color w:val="2C3E50"/>
                <w:sz w:val="19"/>
              </w:rPr>
              <w:t>Missing (-10)</w:t>
            </w:r>
          </w:p>
        </w:tc>
        <w:tc>
          <w:tcPr>
            <w:tcW w:type="dxa" w:w="2304"/>
            <w:shd w:fill="F9FBFC"/>
            <w:tcMar>
              <w:top w:w="80" w:type="dxa"/>
              <w:bottom w:w="80" w:type="dxa"/>
              <w:left w:w="140" w:type="dxa"/>
              <w:right w:w="140" w:type="dxa"/>
            </w:tcMar>
          </w:tcPr>
          <w:p>
            <w:r>
              <w:rPr>
                <w:rFonts w:ascii="Calibri" w:hAnsi="Calibri"/>
                <w:color w:val="2C3E50"/>
                <w:sz w:val="19"/>
              </w:rPr>
              <w:t>Pass (DENY)</w:t>
            </w:r>
          </w:p>
        </w:tc>
        <w:tc>
          <w:tcPr>
            <w:tcW w:type="dxa" w:w="2160"/>
            <w:shd w:fill="F9FBFC"/>
            <w:tcMar>
              <w:top w:w="80" w:type="dxa"/>
              <w:bottom w:w="80" w:type="dxa"/>
              <w:left w:w="140" w:type="dxa"/>
              <w:right w:w="140" w:type="dxa"/>
            </w:tcMar>
          </w:tcPr>
          <w:p>
            <w:r>
              <w:rPr>
                <w:rFonts w:ascii="Calibri" w:hAnsi="Calibri"/>
                <w:color w:val="2C3E50"/>
                <w:sz w:val="19"/>
              </w:rPr>
              <w:t>Eliminates Clickjacking risk</w:t>
            </w:r>
          </w:p>
        </w:tc>
      </w:tr>
      <w:tr>
        <w:tc>
          <w:tcPr>
            <w:tcW w:type="dxa" w:w="2592"/>
            <w:shd w:fill="FFFFFF"/>
            <w:tcMar>
              <w:top w:w="80" w:type="dxa"/>
              <w:bottom w:w="80" w:type="dxa"/>
              <w:left w:w="140" w:type="dxa"/>
              <w:right w:w="140" w:type="dxa"/>
            </w:tcMar>
          </w:tcPr>
          <w:p>
            <w:r>
              <w:rPr>
                <w:rFonts w:ascii="Calibri" w:hAnsi="Calibri"/>
                <w:color w:val="2C3E50"/>
                <w:sz w:val="19"/>
              </w:rPr>
              <w:t>X-Content-Type-Options</w:t>
            </w:r>
          </w:p>
        </w:tc>
        <w:tc>
          <w:tcPr>
            <w:tcW w:type="dxa" w:w="2304"/>
            <w:shd w:fill="FFFFFF"/>
            <w:tcMar>
              <w:top w:w="80" w:type="dxa"/>
              <w:bottom w:w="80" w:type="dxa"/>
              <w:left w:w="140" w:type="dxa"/>
              <w:right w:w="140" w:type="dxa"/>
            </w:tcMar>
          </w:tcPr>
          <w:p>
            <w:r>
              <w:rPr>
                <w:rFonts w:ascii="Calibri" w:hAnsi="Calibri"/>
                <w:color w:val="2C3E50"/>
                <w:sz w:val="19"/>
              </w:rPr>
              <w:t>Missing (-10)</w:t>
            </w:r>
          </w:p>
        </w:tc>
        <w:tc>
          <w:tcPr>
            <w:tcW w:type="dxa" w:w="2304"/>
            <w:shd w:fill="FFFFFF"/>
            <w:tcMar>
              <w:top w:w="80" w:type="dxa"/>
              <w:bottom w:w="80" w:type="dxa"/>
              <w:left w:w="140" w:type="dxa"/>
              <w:right w:w="140" w:type="dxa"/>
            </w:tcMar>
          </w:tcPr>
          <w:p>
            <w:r>
              <w:rPr>
                <w:rFonts w:ascii="Calibri" w:hAnsi="Calibri"/>
                <w:color w:val="2C3E50"/>
                <w:sz w:val="19"/>
              </w:rPr>
              <w:t>Pass (nosniff)</w:t>
            </w:r>
          </w:p>
        </w:tc>
        <w:tc>
          <w:tcPr>
            <w:tcW w:type="dxa" w:w="2160"/>
            <w:shd w:fill="FFFFFF"/>
            <w:tcMar>
              <w:top w:w="80" w:type="dxa"/>
              <w:bottom w:w="80" w:type="dxa"/>
              <w:left w:w="140" w:type="dxa"/>
              <w:right w:w="140" w:type="dxa"/>
            </w:tcMar>
          </w:tcPr>
          <w:p>
            <w:r>
              <w:rPr>
                <w:rFonts w:ascii="Calibri" w:hAnsi="Calibri"/>
                <w:color w:val="2C3E50"/>
                <w:sz w:val="19"/>
              </w:rPr>
              <w:t>Precludes MIME-sniffing exploits</w:t>
            </w:r>
          </w:p>
        </w:tc>
      </w:tr>
      <w:tr>
        <w:tc>
          <w:tcPr>
            <w:tcW w:type="dxa" w:w="2592"/>
            <w:shd w:fill="F9FBFC"/>
            <w:tcMar>
              <w:top w:w="80" w:type="dxa"/>
              <w:bottom w:w="80" w:type="dxa"/>
              <w:left w:w="140" w:type="dxa"/>
              <w:right w:w="140" w:type="dxa"/>
            </w:tcMar>
          </w:tcPr>
          <w:p>
            <w:r>
              <w:rPr>
                <w:rFonts w:ascii="Calibri" w:hAnsi="Calibri"/>
                <w:color w:val="2C3E50"/>
                <w:sz w:val="19"/>
              </w:rPr>
              <w:t>CORS Vulnerabilities</w:t>
            </w:r>
          </w:p>
        </w:tc>
        <w:tc>
          <w:tcPr>
            <w:tcW w:type="dxa" w:w="2304"/>
            <w:shd w:fill="F9FBFC"/>
            <w:tcMar>
              <w:top w:w="80" w:type="dxa"/>
              <w:bottom w:w="80" w:type="dxa"/>
              <w:left w:w="140" w:type="dxa"/>
              <w:right w:w="140" w:type="dxa"/>
            </w:tcMar>
          </w:tcPr>
          <w:p>
            <w:r>
              <w:rPr>
                <w:rFonts w:ascii="Calibri" w:hAnsi="Calibri"/>
                <w:color w:val="2C3E50"/>
                <w:sz w:val="19"/>
              </w:rPr>
              <w:t>4 Critical Flaws (-35)</w:t>
            </w:r>
          </w:p>
        </w:tc>
        <w:tc>
          <w:tcPr>
            <w:tcW w:type="dxa" w:w="2304"/>
            <w:shd w:fill="F9FBFC"/>
            <w:tcMar>
              <w:top w:w="80" w:type="dxa"/>
              <w:bottom w:w="80" w:type="dxa"/>
              <w:left w:w="140" w:type="dxa"/>
              <w:right w:w="140" w:type="dxa"/>
            </w:tcMar>
          </w:tcPr>
          <w:p>
            <w:r>
              <w:rPr>
                <w:rFonts w:ascii="Calibri" w:hAnsi="Calibri"/>
                <w:color w:val="2C3E50"/>
                <w:sz w:val="19"/>
              </w:rPr>
              <w:t>0 Flaws Detected</w:t>
            </w:r>
          </w:p>
        </w:tc>
        <w:tc>
          <w:tcPr>
            <w:tcW w:type="dxa" w:w="2160"/>
            <w:shd w:fill="F9FBFC"/>
            <w:tcMar>
              <w:top w:w="80" w:type="dxa"/>
              <w:bottom w:w="80" w:type="dxa"/>
              <w:left w:w="140" w:type="dxa"/>
              <w:right w:w="140" w:type="dxa"/>
            </w:tcMar>
          </w:tcPr>
          <w:p>
            <w:r>
              <w:rPr>
                <w:rFonts w:ascii="Calibri" w:hAnsi="Calibri"/>
                <w:color w:val="2C3E50"/>
                <w:sz w:val="19"/>
              </w:rPr>
              <w:t>Guards authenticated user sessions</w:t>
            </w:r>
          </w:p>
        </w:tc>
      </w:tr>
    </w:tbl>
    <w:p>
      <w:r>
        <w:br w:type="page"/>
      </w:r>
    </w:p>
    <w:p>
      <w:pPr>
        <w:pStyle w:val="Heading1"/>
        <w:keepNext/>
        <w:spacing w:before="280" w:after="200"/>
      </w:pPr>
      <w:r>
        <w:rPr>
          <w:rFonts w:ascii="Calibri" w:hAnsi="Calibri"/>
          <w:b/>
          <w:color w:val="1B365D"/>
        </w:rPr>
        <w:t>6. Remediation &amp; Hardening Playbook</w:t>
      </w:r>
    </w:p>
    <w:p>
      <w:r>
        <w:t>Remediating header and CORS misconfigurations requires coordinated server-level and application-level hardening. This chapter provides production-ready configuration blueprints.</w:t>
      </w:r>
    </w:p>
    <w:p>
      <w:pPr>
        <w:pStyle w:val="Heading2"/>
        <w:keepNext/>
        <w:spacing w:before="240" w:after="120"/>
      </w:pPr>
      <w:r>
        <w:rPr>
          <w:rFonts w:ascii="Calibri" w:hAnsi="Calibri"/>
          <w:b/>
          <w:color w:val="1B365D"/>
        </w:rPr>
        <w:t>6.1 Nginx Web Server Hardening (nginx.conf)</w:t>
      </w:r>
    </w:p>
    <w:p>
      <w:r>
        <w:t>Place the following directives inside the server block of the Nginx configuration:</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single" w:sz="4" w:space="0" w:color="D0D7DE"/>
              <w:left w:val="single" w:sz="18" w:space="0" w:color="1B365D"/>
              <w:bottom w:val="single" w:sz="4" w:space="0" w:color="D0D7DE"/>
              <w:right w:val="single" w:sz="4" w:space="0" w:color="D0D7DE"/>
            </w:tcBorders>
          </w:tcPr>
          <w:p>
            <w:pPr>
              <w:spacing w:before="0" w:after="0" w:line="276" w:lineRule="auto"/>
            </w:pPr>
            <w:r>
              <w:rPr>
                <w:rFonts w:ascii="Consolas" w:hAnsi="Consolas"/>
                <w:color w:val="24292F"/>
                <w:sz w:val="19"/>
              </w:rPr>
              <w:t>server {</w:t>
              <w:br/>
              <w:t xml:space="preserve">    listen 443 ssl http2;</w:t>
              <w:br/>
              <w:t xml:space="preserve">    server_name example.com;</w:t>
              <w:br/>
              <w:br/>
              <w:t xml:space="preserve">    # Defensive HTTP Security Headers</w:t>
              <w:br/>
              <w:t xml:space="preserve">    add_header Strict-Transport-Security "max-age=31536000; includeSubDomains; preload" always;</w:t>
              <w:br/>
              <w:t xml:space="preserve">    add_header Content-Security-Policy "default-src 'self'; script-src 'self'; object-src 'none'; frame-ancestors 'none';" always;</w:t>
              <w:br/>
              <w:t xml:space="preserve">    add_header X-Frame-Options "DENY" always;</w:t>
              <w:br/>
              <w:t xml:space="preserve">    add_header X-Content-Type-Options "nosniff" always;</w:t>
              <w:br/>
              <w:t xml:space="preserve">    add_header Referrer-Policy "strict-origin-when-cross-origin" always;</w:t>
              <w:br/>
              <w:t xml:space="preserve">    add_header Permissions-Policy "camera=(), microphone=(), geolocation=(), payment=()" always;</w:t>
              <w:br/>
              <w:br/>
              <w:t xml:space="preserve">    # Suppress Server Banner Leaks</w:t>
              <w:br/>
              <w:t xml:space="preserve">    server_tokens off;</w:t>
              <w:br/>
              <w:t>}</w:t>
            </w:r>
          </w:p>
        </w:tc>
      </w:tr>
    </w:tbl>
    <w:p>
      <w:pPr>
        <w:spacing w:after="80"/>
      </w:pPr>
    </w:p>
    <w:p>
      <w:pPr>
        <w:pStyle w:val="Heading2"/>
        <w:keepNext/>
        <w:spacing w:before="280" w:after="120"/>
      </w:pPr>
      <w:r>
        <w:rPr>
          <w:rFonts w:ascii="Calibri" w:hAnsi="Calibri"/>
          <w:b/>
          <w:color w:val="1B365D"/>
        </w:rPr>
        <w:t>6.2 Express.js (Node.js) Secure Header &amp; CORS Hardening</w:t>
      </w:r>
    </w:p>
    <w:p>
      <w:r>
        <w:t>For Node.js applications, use the standard 'helmet' middleware for security headers and configure an explicit origin whitelist for CORS. Never dynamically echo untrusted origins when credentials are enabled:</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single" w:sz="4" w:space="0" w:color="D0D7DE"/>
              <w:left w:val="single" w:sz="18" w:space="0" w:color="1B365D"/>
              <w:bottom w:val="single" w:sz="4" w:space="0" w:color="D0D7DE"/>
              <w:right w:val="single" w:sz="4" w:space="0" w:color="D0D7DE"/>
            </w:tcBorders>
          </w:tcPr>
          <w:p>
            <w:pPr>
              <w:spacing w:before="0" w:after="0" w:line="276" w:lineRule="auto"/>
            </w:pPr>
            <w:r>
              <w:rPr>
                <w:rFonts w:ascii="Consolas" w:hAnsi="Consolas"/>
                <w:color w:val="24292F"/>
                <w:sz w:val="19"/>
              </w:rPr>
              <w:t>const express = require("express");</w:t>
              <w:br/>
              <w:t>const helmet = require("helmet");</w:t>
              <w:br/>
              <w:t>const cors = require("cors");</w:t>
              <w:br/>
              <w:t>const app = express();</w:t>
              <w:br/>
              <w:br/>
              <w:t>// 1. Inject Defensive Headers via Helmet</w:t>
              <w:br/>
              <w:t>app.use(helmet());</w:t>
              <w:br/>
              <w:br/>
              <w:t>// 2. Strict CORS Whitelist Configuration</w:t>
              <w:br/>
              <w:t>const allowedOrigins = ["https://trusted-dashboard.com", "https://app.example.com"];</w:t>
              <w:br/>
              <w:t>const corsOptions = {</w:t>
              <w:br/>
              <w:t xml:space="preserve">    origin: function (origin, callback) {</w:t>
              <w:br/>
              <w:t xml:space="preserve">        // Deny requests with missing origin (or null) if credentials needed</w:t>
              <w:br/>
              <w:t xml:space="preserve">        if (!origin || allowedOrigins.indexOf(origin) !== -1) {</w:t>
              <w:br/>
              <w:t xml:space="preserve">            callback(null, true);</w:t>
              <w:br/>
              <w:t xml:space="preserve">        } else {</w:t>
              <w:br/>
              <w:t xml:space="preserve">            callback(new Error("CORS Policy Violation: Origin not whitelisted"));</w:t>
              <w:br/>
              <w:t xml:space="preserve">        }</w:t>
              <w:br/>
              <w:t xml:space="preserve">    },</w:t>
              <w:br/>
              <w:t xml:space="preserve">    credentials: true,</w:t>
              <w:br/>
              <w:t xml:space="preserve">    methods: ["GET", "POST", "PUT", "DELETE"],</w:t>
              <w:br/>
              <w:t xml:space="preserve">    allowedHeaders: ["Content-Type", "Authorization"]</w:t>
              <w:br/>
              <w:t>};</w:t>
              <w:br/>
              <w:t>app.use(cors(corsOptions));</w:t>
            </w:r>
          </w:p>
        </w:tc>
      </w:tr>
    </w:tbl>
    <w:p>
      <w:pPr>
        <w:spacing w:after="80"/>
      </w:pPr>
    </w:p>
    <w:p>
      <w:pPr>
        <w:pStyle w:val="Heading1"/>
        <w:keepNext/>
        <w:spacing w:before="320" w:after="200"/>
      </w:pPr>
      <w:r>
        <w:rPr>
          <w:rFonts w:ascii="Calibri" w:hAnsi="Calibri"/>
          <w:b/>
          <w:color w:val="1B365D"/>
        </w:rPr>
        <w:t>7. Conclusion &amp; Future Enhancements</w:t>
      </w:r>
    </w:p>
    <w:p>
      <w:r>
        <w:t>In this project, an automated, non-invasive Web Security Scanner was successfully engineered and evaluated. The scanner provides a reliable, repeatable mechanism for detecting missing and weak HTTP security headers, identifying server technology disclosures, and uncovering critical CORS misconfigurations. By simulating four active CORS attack vectors and computing an aggregate security posture score, the tool bridges the gap between manual penetration testing and automated continuous DevSecOps auditing.</w:t>
      </w:r>
    </w:p>
    <w:p>
      <w:r>
        <w:t>Future Enhancements:</w:t>
        <w:br/>
        <w:t>1. Asynchronous Concurrency: Transitioning network operations to 'aiohttp' or 'httpx' to enable concurrent multi-domain scanning.</w:t>
        <w:br/>
        <w:t>2. Preflight (OPTIONS) Auditing: Simulating preflight requests to evaluate 'Access-Control-Allow-Methods' and custom headers.</w:t>
        <w:br/>
        <w:t>3. CI/CD Pipeline Plugins: Creating pre-commit hooks and GitHub Actions that fail builds when security posture falls below a threshold (e.g., Grade B).</w:t>
        <w:br/>
        <w:t>4. HTML Visual Dashboard: Exporting responsive interactive HTML reports with charting libraries.</w:t>
      </w:r>
    </w:p>
    <w:p>
      <w:pPr>
        <w:pStyle w:val="Heading1"/>
        <w:keepNext/>
        <w:spacing w:before="320" w:after="200"/>
      </w:pPr>
      <w:r>
        <w:rPr>
          <w:rFonts w:ascii="Calibri" w:hAnsi="Calibri"/>
          <w:b/>
          <w:color w:val="1B365D"/>
        </w:rPr>
        <w:t>8. References &amp; Standards</w:t>
      </w:r>
    </w:p>
    <w:p>
      <w:pPr>
        <w:spacing w:after="80"/>
        <w:ind w:left="576" w:hanging="576"/>
      </w:pPr>
      <w:r>
        <w:rPr>
          <w:color w:val="3C4046"/>
          <w:sz w:val="19"/>
        </w:rPr>
        <w:t>1. Hodges, J., Jackson, C., &amp; Barth, A. (2012). RFC 6797: HTTP Strict Transport Security (HSTS). Internet Engineering Task Force (IETF).</w:t>
      </w:r>
    </w:p>
    <w:p>
      <w:pPr>
        <w:spacing w:after="80"/>
        <w:ind w:left="576" w:hanging="576"/>
      </w:pPr>
      <w:r>
        <w:rPr>
          <w:color w:val="3C4046"/>
          <w:sz w:val="19"/>
        </w:rPr>
        <w:t>2. Ross, D., &amp; Gondwana, N. (2013). RFC 7034: HTTP Header Field X-Frame-Options. Internet Engineering Task Force (IETF).</w:t>
      </w:r>
    </w:p>
    <w:p>
      <w:pPr>
        <w:spacing w:after="80"/>
        <w:ind w:left="576" w:hanging="576"/>
      </w:pPr>
      <w:r>
        <w:rPr>
          <w:color w:val="3C4046"/>
          <w:sz w:val="19"/>
        </w:rPr>
        <w:t>3. World Wide Web Consortium (W3C). (2021). Content Security Policy Level 3. W3C Working Draft.</w:t>
      </w:r>
    </w:p>
    <w:p>
      <w:pPr>
        <w:spacing w:after="80"/>
        <w:ind w:left="576" w:hanging="576"/>
      </w:pPr>
      <w:r>
        <w:rPr>
          <w:color w:val="3C4046"/>
          <w:sz w:val="19"/>
        </w:rPr>
        <w:t>4. World Wide Web Consortium (W3C). (2020). Cross-Origin Resource Sharing (CORS) W3C Recommendation.</w:t>
      </w:r>
    </w:p>
    <w:p>
      <w:pPr>
        <w:spacing w:after="80"/>
        <w:ind w:left="576" w:hanging="576"/>
      </w:pPr>
      <w:r>
        <w:rPr>
          <w:color w:val="3C4046"/>
          <w:sz w:val="19"/>
        </w:rPr>
        <w:t>5. OWASP Foundation. (2021). OWASP Top 10:2021 - A05: Security Misconfiguration. https://owasp.org/Top10/A05_2021-Security_Misconfiguration/</w:t>
      </w:r>
    </w:p>
    <w:p>
      <w:pPr>
        <w:spacing w:after="80"/>
        <w:ind w:left="576" w:hanging="576"/>
      </w:pPr>
      <w:r>
        <w:rPr>
          <w:color w:val="3C4046"/>
          <w:sz w:val="19"/>
        </w:rPr>
        <w:t>6. OWASP Foundation. (2023). OWASP Secure Headers Project &amp; Cheat Sheet Series. https://cheatsheetseries.owasp.org/</w:t>
      </w:r>
    </w:p>
    <w:p>
      <w:pPr>
        <w:spacing w:after="80"/>
        <w:ind w:left="576" w:hanging="576"/>
      </w:pPr>
      <w:r>
        <w:rPr>
          <w:color w:val="3C4046"/>
          <w:sz w:val="19"/>
        </w:rPr>
        <w:t>7. Mozilla Developer Network (MDN). (2024). Web Security: HTTP Headers and Cross-Origin Resource Sharing. MDN Web Docs.</w:t>
      </w:r>
    </w:p>
    <w:sectPr w:rsidR="00FC693F" w:rsidRPr="0006063C" w:rsidSect="00034616">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282C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