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00"/>
      </w:pPr>
      <w:r>
        <w:rPr>
          <w:rFonts w:ascii="Calibri" w:hAnsi="Calibri"/>
          <w:b/>
          <w:i w:val="0"/>
          <w:color w:val="8E3CC4"/>
          <w:sz w:val="20"/>
        </w:rPr>
        <w:t>NMIMS, NSOMASA   .   MLOps LAB   .   PROJECT 1</w:t>
      </w:r>
    </w:p>
    <w:p>
      <w:pPr>
        <w:spacing w:after="60" w:before="0"/>
      </w:pPr>
      <w:r>
        <w:rPr>
          <w:rFonts w:ascii="Calibri" w:hAnsi="Calibri"/>
          <w:b/>
          <w:i w:val="0"/>
          <w:color w:val="3B1E63"/>
          <w:sz w:val="44"/>
        </w:rPr>
        <w:t>Credit Risk Model with a CI/CD Quality Gate</w:t>
      </w:r>
    </w:p>
    <w:p>
      <w:pPr>
        <w:spacing w:after="80" w:before="0"/>
      </w:pPr>
      <w:r>
        <w:rPr>
          <w:rFonts w:ascii="Calibri" w:hAnsi="Calibri"/>
          <w:b w:val="0"/>
          <w:i/>
          <w:color w:val="555555"/>
          <w:sz w:val="22"/>
        </w:rPr>
        <w:t>Every change to code, configuration, features or data is tested, tracked and accepted only if it does not make the model worse, and the gate itself is justified with evidence from our own runs.</w:t>
      </w:r>
    </w:p>
    <w:p>
      <w:pPr>
        <w:spacing w:after="240" w:before="0"/>
      </w:pPr>
      <w:r>
        <w:rPr>
          <w:rFonts w:ascii="Calibri" w:hAnsi="Calibri"/>
          <w:b w:val="0"/>
          <w:i w:val="0"/>
          <w:color w:val="555555"/>
          <w:sz w:val="20"/>
        </w:rPr>
        <w:t>A reproducible credit-risk build with Git, DVC, Pydantic-validated configs, MLflow tracking and a GitHub Actions quality gate.</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F3EBFA"/>
          </w:tcPr>
          <w:p>
            <w:pPr>
              <w:jc w:val="center"/>
            </w:pPr>
            <w:r/>
            <w:r>
              <w:rPr>
                <w:rFonts w:ascii="Calibri" w:hAnsi="Calibri"/>
                <w:b/>
                <w:color w:val="6A1B9A"/>
                <w:sz w:val="28"/>
              </w:rPr>
              <w:t>21</w:t>
            </w:r>
          </w:p>
          <w:p>
            <w:pPr>
              <w:jc w:val="center"/>
            </w:pPr>
            <w:r>
              <w:rPr>
                <w:rFonts w:ascii="Calibri" w:hAnsi="Calibri"/>
                <w:color w:val="555555"/>
                <w:sz w:val="16"/>
              </w:rPr>
              <w:t>tracked runs</w:t>
            </w:r>
          </w:p>
        </w:tc>
        <w:tc>
          <w:tcPr>
            <w:tcW w:type="dxa" w:w="1958"/>
            <w:shd w:val="clear" w:color="auto" w:fill="F3EBFA"/>
          </w:tcPr>
          <w:p>
            <w:pPr>
              <w:jc w:val="center"/>
            </w:pPr>
            <w:r/>
            <w:r>
              <w:rPr>
                <w:rFonts w:ascii="Calibri" w:hAnsi="Calibri"/>
                <w:b/>
                <w:color w:val="6A1B9A"/>
                <w:sz w:val="28"/>
              </w:rPr>
              <w:t>0.7948</w:t>
            </w:r>
          </w:p>
          <w:p>
            <w:pPr>
              <w:jc w:val="center"/>
            </w:pPr>
            <w:r>
              <w:rPr>
                <w:rFonts w:ascii="Calibri" w:hAnsi="Calibri"/>
                <w:color w:val="555555"/>
                <w:sz w:val="16"/>
              </w:rPr>
              <w:t>baseline PR-AUC</w:t>
            </w:r>
          </w:p>
        </w:tc>
        <w:tc>
          <w:tcPr>
            <w:tcW w:type="dxa" w:w="1958"/>
            <w:shd w:val="clear" w:color="auto" w:fill="F3EBFA"/>
          </w:tcPr>
          <w:p>
            <w:pPr>
              <w:jc w:val="center"/>
            </w:pPr>
            <w:r/>
            <w:r>
              <w:rPr>
                <w:rFonts w:ascii="Calibri" w:hAnsi="Calibri"/>
                <w:b/>
                <w:color w:val="6A1B9A"/>
                <w:sz w:val="28"/>
              </w:rPr>
              <w:t>3</w:t>
            </w:r>
          </w:p>
          <w:p>
            <w:pPr>
              <w:jc w:val="center"/>
            </w:pPr>
            <w:r>
              <w:rPr>
                <w:rFonts w:ascii="Calibri" w:hAnsi="Calibri"/>
                <w:color w:val="555555"/>
                <w:sz w:val="16"/>
              </w:rPr>
              <w:t>PR scenarios</w:t>
            </w:r>
          </w:p>
        </w:tc>
        <w:tc>
          <w:tcPr>
            <w:tcW w:type="dxa" w:w="1958"/>
            <w:shd w:val="clear" w:color="auto" w:fill="F3EBFA"/>
          </w:tcPr>
          <w:p>
            <w:pPr>
              <w:jc w:val="center"/>
            </w:pPr>
            <w:r/>
            <w:r>
              <w:rPr>
                <w:rFonts w:ascii="Calibri" w:hAnsi="Calibri"/>
                <w:b/>
                <w:color w:val="6A1B9A"/>
                <w:sz w:val="28"/>
              </w:rPr>
              <w:t>21 / 21</w:t>
            </w:r>
          </w:p>
          <w:p>
            <w:pPr>
              <w:jc w:val="center"/>
            </w:pPr>
            <w:r>
              <w:rPr>
                <w:rFonts w:ascii="Calibri" w:hAnsi="Calibri"/>
                <w:color w:val="555555"/>
                <w:sz w:val="16"/>
              </w:rPr>
              <w:t>unit tests pass</w:t>
            </w:r>
          </w:p>
        </w:tc>
        <w:tc>
          <w:tcPr>
            <w:tcW w:type="dxa" w:w="1958"/>
            <w:shd w:val="clear" w:color="auto" w:fill="F3EBFA"/>
          </w:tcPr>
          <w:p>
            <w:pPr>
              <w:jc w:val="center"/>
            </w:pPr>
            <w:r/>
            <w:r>
              <w:rPr>
                <w:rFonts w:ascii="Calibri" w:hAnsi="Calibri"/>
                <w:b/>
                <w:color w:val="6A1B9A"/>
                <w:sz w:val="28"/>
              </w:rPr>
              <w:t>8 / 8</w:t>
            </w:r>
          </w:p>
          <w:p>
            <w:pPr>
              <w:jc w:val="center"/>
            </w:pPr>
            <w:r>
              <w:rPr>
                <w:rFonts w:ascii="Calibri" w:hAnsi="Calibri"/>
                <w:color w:val="555555"/>
                <w:sz w:val="16"/>
              </w:rPr>
              <w:t>tasks complete</w:t>
            </w:r>
          </w:p>
        </w:tc>
      </w:tr>
    </w:tbl>
    <w:p>
      <w:pPr>
        <w:spacing w:after="40"/>
      </w:pPr>
    </w:p>
    <w:p>
      <w:pPr>
        <w:spacing w:after="80" w:before="200"/>
      </w:pPr>
      <w:r>
        <w:rPr>
          <w:rFonts w:ascii="Calibri" w:hAnsi="Calibri"/>
          <w:b/>
          <w:i w:val="0"/>
          <w:color w:val="8E3CC4"/>
          <w:sz w:val="20"/>
        </w:rPr>
        <w:t>REPORT DETAILS</w:t>
      </w:r>
    </w:p>
    <w:tbl>
      <w:tblPr>
        <w:tblStyle w:val="TableGrid"/>
        <w:tblW w:type="auto" w:w="0"/>
        <w:jc w:val="center"/>
        <w:tblLook w:firstColumn="1" w:firstRow="1" w:lastColumn="0" w:lastRow="0" w:noHBand="0" w:noVBand="1" w:val="04A0"/>
      </w:tblPr>
      <w:tblGrid>
        <w:gridCol w:w="4896"/>
        <w:gridCol w:w="4896"/>
      </w:tblGrid>
      <w:tr>
        <w:tc>
          <w:tcPr>
            <w:tcW w:type="dxa" w:w="2448"/>
            <w:shd w:val="clear" w:color="auto" w:fill="3B1E63"/>
          </w:tcPr>
          <w:p>
            <w:r/>
            <w:r>
              <w:rPr>
                <w:rFonts w:ascii="Calibri" w:hAnsi="Calibri"/>
                <w:b/>
                <w:color w:val="FFFFFF"/>
                <w:sz w:val="19"/>
              </w:rPr>
              <w:t>Field</w:t>
            </w:r>
          </w:p>
        </w:tc>
        <w:tc>
          <w:tcPr>
            <w:tcW w:type="dxa" w:w="7344"/>
            <w:shd w:val="clear" w:color="auto" w:fill="3B1E63"/>
          </w:tcPr>
          <w:p>
            <w:r/>
            <w:r>
              <w:rPr>
                <w:rFonts w:ascii="Calibri" w:hAnsi="Calibri"/>
                <w:b/>
                <w:color w:val="FFFFFF"/>
                <w:sz w:val="19"/>
              </w:rPr>
              <w:t>Detail</w:t>
            </w:r>
          </w:p>
        </w:tc>
      </w:tr>
      <w:tr>
        <w:tc>
          <w:tcPr>
            <w:tcW w:type="dxa" w:w="2448"/>
            <w:shd w:val="clear" w:color="auto" w:fill="FFFFFF"/>
          </w:tcPr>
          <w:p>
            <w:r/>
            <w:r>
              <w:rPr>
                <w:rFonts w:ascii="Calibri" w:hAnsi="Calibri"/>
                <w:b w:val="0"/>
                <w:sz w:val="18"/>
              </w:rPr>
              <w:t>Assessment</w:t>
            </w:r>
          </w:p>
        </w:tc>
        <w:tc>
          <w:tcPr>
            <w:tcW w:type="dxa" w:w="7344"/>
            <w:shd w:val="clear" w:color="auto" w:fill="FFFFFF"/>
          </w:tcPr>
          <w:p>
            <w:r/>
            <w:r>
              <w:rPr>
                <w:rFonts w:ascii="Calibri" w:hAnsi="Calibri"/>
                <w:b w:val="0"/>
                <w:sz w:val="18"/>
              </w:rPr>
              <w:t>Project 1, Credit Risk Model with a CI/CD Quality Gate</w:t>
            </w:r>
          </w:p>
        </w:tc>
      </w:tr>
      <w:tr>
        <w:tc>
          <w:tcPr>
            <w:tcW w:type="dxa" w:w="2448"/>
            <w:shd w:val="clear" w:color="auto" w:fill="F3EBFA"/>
          </w:tcPr>
          <w:p>
            <w:r/>
            <w:r>
              <w:rPr>
                <w:rFonts w:ascii="Calibri" w:hAnsi="Calibri"/>
                <w:b w:val="0"/>
                <w:sz w:val="18"/>
              </w:rPr>
              <w:t>GitHub repo link</w:t>
            </w:r>
          </w:p>
        </w:tc>
        <w:tc>
          <w:tcPr>
            <w:tcW w:type="dxa" w:w="7344"/>
            <w:shd w:val="clear" w:color="auto" w:fill="F3EBFA"/>
          </w:tcPr>
          <w:p>
            <w:r/>
            <w:r>
              <w:rPr>
                <w:rFonts w:ascii="Calibri" w:hAnsi="Calibri"/>
                <w:b w:val="0"/>
                <w:sz w:val="18"/>
              </w:rPr>
              <w:t>https://github.com/AdityaNariyapara/credit-risk-cicd-gate</w:t>
            </w:r>
          </w:p>
        </w:tc>
      </w:tr>
      <w:tr>
        <w:tc>
          <w:tcPr>
            <w:tcW w:type="dxa" w:w="2448"/>
            <w:shd w:val="clear" w:color="auto" w:fill="FFFFFF"/>
          </w:tcPr>
          <w:p>
            <w:r/>
            <w:r>
              <w:rPr>
                <w:rFonts w:ascii="Calibri" w:hAnsi="Calibri"/>
                <w:b w:val="0"/>
                <w:sz w:val="18"/>
              </w:rPr>
              <w:t>Course</w:t>
            </w:r>
          </w:p>
        </w:tc>
        <w:tc>
          <w:tcPr>
            <w:tcW w:type="dxa" w:w="7344"/>
            <w:shd w:val="clear" w:color="auto" w:fill="FFFFFF"/>
          </w:tcPr>
          <w:p>
            <w:r/>
            <w:r>
              <w:rPr>
                <w:rFonts w:ascii="Calibri" w:hAnsi="Calibri"/>
                <w:b w:val="0"/>
                <w:sz w:val="18"/>
              </w:rPr>
              <w:t>Elective II, Machine Learning Operations (MLOps Lab)</w:t>
            </w:r>
          </w:p>
        </w:tc>
      </w:tr>
      <w:tr>
        <w:tc>
          <w:tcPr>
            <w:tcW w:type="dxa" w:w="2448"/>
            <w:shd w:val="clear" w:color="auto" w:fill="F3EBFA"/>
          </w:tcPr>
          <w:p>
            <w:r/>
            <w:r>
              <w:rPr>
                <w:rFonts w:ascii="Calibri" w:hAnsi="Calibri"/>
                <w:b w:val="0"/>
                <w:sz w:val="18"/>
              </w:rPr>
              <w:t>Submitted to</w:t>
            </w:r>
          </w:p>
        </w:tc>
        <w:tc>
          <w:tcPr>
            <w:tcW w:type="dxa" w:w="7344"/>
            <w:shd w:val="clear" w:color="auto" w:fill="F3EBFA"/>
          </w:tcPr>
          <w:p>
            <w:r/>
            <w:r>
              <w:rPr>
                <w:rFonts w:ascii="Calibri" w:hAnsi="Calibri"/>
                <w:b w:val="0"/>
                <w:sz w:val="18"/>
              </w:rPr>
              <w:t>Dr. Santosh Kumar</w:t>
            </w:r>
          </w:p>
        </w:tc>
      </w:tr>
      <w:tr>
        <w:tc>
          <w:tcPr>
            <w:tcW w:type="dxa" w:w="2448"/>
            <w:shd w:val="clear" w:color="auto" w:fill="FFFFFF"/>
          </w:tcPr>
          <w:p>
            <w:r/>
            <w:r>
              <w:rPr>
                <w:rFonts w:ascii="Calibri" w:hAnsi="Calibri"/>
                <w:b w:val="0"/>
                <w:sz w:val="18"/>
              </w:rPr>
              <w:t>Submitted by</w:t>
            </w:r>
          </w:p>
        </w:tc>
        <w:tc>
          <w:tcPr>
            <w:tcW w:type="dxa" w:w="7344"/>
            <w:shd w:val="clear" w:color="auto" w:fill="FFFFFF"/>
          </w:tcPr>
          <w:p>
            <w:r/>
            <w:r>
              <w:rPr>
                <w:rFonts w:ascii="Calibri" w:hAnsi="Calibri"/>
                <w:b w:val="0"/>
                <w:sz w:val="18"/>
              </w:rPr>
              <w:t>Aditya Nariyapara (B009) and Shreya Dutt (B016)</w:t>
            </w:r>
          </w:p>
        </w:tc>
      </w:tr>
      <w:tr>
        <w:tc>
          <w:tcPr>
            <w:tcW w:type="dxa" w:w="2448"/>
            <w:shd w:val="clear" w:color="auto" w:fill="F3EBFA"/>
          </w:tcPr>
          <w:p>
            <w:r/>
            <w:r>
              <w:rPr>
                <w:rFonts w:ascii="Calibri" w:hAnsi="Calibri"/>
                <w:b w:val="0"/>
                <w:sz w:val="18"/>
              </w:rPr>
              <w:t>Institute</w:t>
            </w:r>
          </w:p>
        </w:tc>
        <w:tc>
          <w:tcPr>
            <w:tcW w:type="dxa" w:w="7344"/>
            <w:shd w:val="clear" w:color="auto" w:fill="F3EBFA"/>
          </w:tcPr>
          <w:p>
            <w:r/>
            <w:r>
              <w:rPr>
                <w:rFonts w:ascii="Calibri" w:hAnsi="Calibri"/>
                <w:b w:val="0"/>
                <w:sz w:val="18"/>
              </w:rPr>
              <w:t>NSOMASA, NMIMS</w:t>
            </w:r>
          </w:p>
        </w:tc>
      </w:tr>
      <w:tr>
        <w:tc>
          <w:tcPr>
            <w:tcW w:type="dxa" w:w="2448"/>
            <w:shd w:val="clear" w:color="auto" w:fill="FFFFFF"/>
          </w:tcPr>
          <w:p>
            <w:r/>
            <w:r>
              <w:rPr>
                <w:rFonts w:ascii="Calibri" w:hAnsi="Calibri"/>
                <w:b w:val="0"/>
                <w:sz w:val="18"/>
              </w:rPr>
              <w:t>Dataset</w:t>
            </w:r>
          </w:p>
        </w:tc>
        <w:tc>
          <w:tcPr>
            <w:tcW w:type="dxa" w:w="7344"/>
            <w:shd w:val="clear" w:color="auto" w:fill="FFFFFF"/>
          </w:tcPr>
          <w:p>
            <w:r/>
            <w:r>
              <w:rPr>
                <w:rFonts w:ascii="Calibri" w:hAnsi="Calibri"/>
                <w:b w:val="0"/>
                <w:sz w:val="18"/>
              </w:rPr>
              <w:t>credit_card_customers v1 (800 rows) and v2 (1,100 rows)</w:t>
            </w:r>
          </w:p>
        </w:tc>
      </w:tr>
      <w:tr>
        <w:tc>
          <w:tcPr>
            <w:tcW w:type="dxa" w:w="2448"/>
            <w:shd w:val="clear" w:color="auto" w:fill="F3EBFA"/>
          </w:tcPr>
          <w:p>
            <w:r/>
            <w:r>
              <w:rPr>
                <w:rFonts w:ascii="Calibri" w:hAnsi="Calibri"/>
                <w:b w:val="0"/>
                <w:sz w:val="18"/>
              </w:rPr>
              <w:t>Tools</w:t>
            </w:r>
          </w:p>
        </w:tc>
        <w:tc>
          <w:tcPr>
            <w:tcW w:type="dxa" w:w="7344"/>
            <w:shd w:val="clear" w:color="auto" w:fill="F3EBFA"/>
          </w:tcPr>
          <w:p>
            <w:r/>
            <w:r>
              <w:rPr>
                <w:rFonts w:ascii="Calibri" w:hAnsi="Calibri"/>
                <w:b w:val="0"/>
                <w:sz w:val="18"/>
              </w:rPr>
              <w:t>Python, Git and GitHub, DVC, MLflow, GitHub Actions, pytest, Pydantic</w:t>
            </w:r>
          </w:p>
        </w:tc>
      </w:tr>
      <w:tr>
        <w:tc>
          <w:tcPr>
            <w:tcW w:type="dxa" w:w="2448"/>
            <w:shd w:val="clear" w:color="auto" w:fill="FFFFFF"/>
          </w:tcPr>
          <w:p>
            <w:r/>
            <w:r>
              <w:rPr>
                <w:rFonts w:ascii="Calibri" w:hAnsi="Calibri"/>
                <w:b w:val="0"/>
                <w:sz w:val="18"/>
              </w:rPr>
              <w:t>Date</w:t>
            </w:r>
          </w:p>
        </w:tc>
        <w:tc>
          <w:tcPr>
            <w:tcW w:type="dxa" w:w="7344"/>
            <w:shd w:val="clear" w:color="auto" w:fill="FFFFFF"/>
          </w:tcPr>
          <w:p>
            <w:r/>
            <w:r>
              <w:rPr>
                <w:rFonts w:ascii="Calibri" w:hAnsi="Calibri"/>
                <w:b w:val="0"/>
                <w:sz w:val="18"/>
              </w:rPr>
              <w:t>October 2026</w:t>
            </w:r>
          </w:p>
        </w:tc>
      </w:tr>
    </w:tbl>
    <w:p>
      <w:pPr>
        <w:spacing w:after="40"/>
      </w:pPr>
    </w:p>
    <w:p>
      <w:pPr>
        <w:spacing w:after="60" w:before="200"/>
      </w:pPr>
      <w:r>
        <w:rPr>
          <w:rFonts w:ascii="Calibri" w:hAnsi="Calibri"/>
          <w:b/>
          <w:i w:val="0"/>
          <w:color w:val="8E3CC4"/>
          <w:sz w:val="20"/>
        </w:rPr>
        <w:t>PROJECT WORKFLOW</w:t>
      </w:r>
    </w:p>
    <w:p>
      <w:pPr>
        <w:spacing w:after="120" w:before="0"/>
      </w:pPr>
      <w:r>
        <w:rPr>
          <w:rFonts w:ascii="Calibri" w:hAnsi="Calibri"/>
          <w:b/>
          <w:i w:val="0"/>
          <w:color w:val="3B1E63"/>
          <w:sz w:val="19"/>
        </w:rPr>
        <w:t>01 Version data   .   02 Configure   .   03 Engineer features   .   04 Train and track   .   05 Gate on every PR   .   06 Data-change drill   .   07 Threshold and fairness   .   08 Report</w:t>
      </w:r>
    </w:p>
    <w:p>
      <w:r>
        <w:br w:type="page"/>
      </w:r>
    </w:p>
    <w:p>
      <w:pPr>
        <w:spacing w:before="280" w:after="120"/>
        <w:pBdr>
          <w:bottom w:val="single" w:sz="6" w:space="2" w:color="8E3CC4"/>
        </w:pBdr>
      </w:pPr>
      <w:r>
        <w:rPr>
          <w:rFonts w:ascii="Calibri" w:hAnsi="Calibri"/>
          <w:b/>
          <w:color w:val="3B1E63"/>
          <w:sz w:val="30"/>
        </w:rPr>
        <w:t>Table of Contents</w:t>
      </w:r>
    </w:p>
    <w:p>
      <w:pPr>
        <w:spacing w:after="60"/>
      </w:pPr>
      <w:r>
        <w:rPr>
          <w:color w:val="3B1E63"/>
          <w:sz w:val="21"/>
        </w:rPr>
        <w:t>Executive Summary</w:t>
      </w:r>
    </w:p>
    <w:p>
      <w:pPr>
        <w:spacing w:after="60"/>
      </w:pPr>
      <w:r>
        <w:rPr>
          <w:color w:val="3B1E63"/>
          <w:sz w:val="21"/>
        </w:rPr>
        <w:t>01  Problem and Objectives</w:t>
      </w:r>
    </w:p>
    <w:p>
      <w:pPr>
        <w:spacing w:after="60"/>
      </w:pPr>
      <w:r>
        <w:rPr>
          <w:color w:val="3B1E63"/>
          <w:sz w:val="21"/>
        </w:rPr>
        <w:t>02  Architecture and Tools</w:t>
      </w:r>
    </w:p>
    <w:p>
      <w:pPr>
        <w:spacing w:after="60"/>
      </w:pPr>
      <w:r>
        <w:rPr>
          <w:color w:val="3B1E63"/>
          <w:sz w:val="21"/>
        </w:rPr>
        <w:t>03  Repository, Code and Data Versioning (Task 2)</w:t>
      </w:r>
    </w:p>
    <w:p>
      <w:pPr>
        <w:spacing w:after="60"/>
      </w:pPr>
      <w:r>
        <w:rPr>
          <w:color w:val="3B1E63"/>
          <w:sz w:val="21"/>
        </w:rPr>
        <w:t>04  The Data</w:t>
      </w:r>
    </w:p>
    <w:p>
      <w:pPr>
        <w:spacing w:after="60"/>
      </w:pPr>
      <w:r>
        <w:rPr>
          <w:color w:val="3B1E63"/>
          <w:sz w:val="21"/>
        </w:rPr>
        <w:t>05  Configuration Management (Task 3)</w:t>
      </w:r>
    </w:p>
    <w:p>
      <w:pPr>
        <w:spacing w:after="60"/>
      </w:pPr>
      <w:r>
        <w:rPr>
          <w:color w:val="3B1E63"/>
          <w:sz w:val="21"/>
        </w:rPr>
        <w:t>06  Cleaning and Feature Engineering (Task 4)</w:t>
      </w:r>
    </w:p>
    <w:p>
      <w:pPr>
        <w:spacing w:after="60"/>
      </w:pPr>
      <w:r>
        <w:rPr>
          <w:color w:val="3B1E63"/>
          <w:sz w:val="21"/>
        </w:rPr>
        <w:t>07  Model Training and Tuning (Task 5)</w:t>
      </w:r>
    </w:p>
    <w:p>
      <w:pPr>
        <w:spacing w:after="60"/>
      </w:pPr>
      <w:r>
        <w:rPr>
          <w:color w:val="3B1E63"/>
          <w:sz w:val="21"/>
        </w:rPr>
        <w:t>08  Experiment Tracking, Registry and Lineage (Task 5)</w:t>
      </w:r>
    </w:p>
    <w:p>
      <w:pPr>
        <w:spacing w:after="60"/>
      </w:pPr>
      <w:r>
        <w:rPr>
          <w:color w:val="3B1E63"/>
          <w:sz w:val="21"/>
        </w:rPr>
        <w:t>09  Metric Justification: Why Not Accuracy</w:t>
      </w:r>
    </w:p>
    <w:p>
      <w:pPr>
        <w:spacing w:after="60"/>
      </w:pPr>
      <w:r>
        <w:rPr>
          <w:color w:val="3B1E63"/>
          <w:sz w:val="21"/>
        </w:rPr>
        <w:t>10  The Quality Gate and CI (Task 6)</w:t>
      </w:r>
    </w:p>
    <w:p>
      <w:pPr>
        <w:spacing w:after="60"/>
      </w:pPr>
      <w:r>
        <w:rPr>
          <w:color w:val="3B1E63"/>
          <w:sz w:val="21"/>
        </w:rPr>
        <w:t>11  Data-Change Drill, v1 versus v2 (Task 7)</w:t>
      </w:r>
    </w:p>
    <w:p>
      <w:pPr>
        <w:spacing w:after="60"/>
      </w:pPr>
      <w:r>
        <w:rPr>
          <w:color w:val="3B1E63"/>
          <w:sz w:val="21"/>
        </w:rPr>
        <w:t>12  Threshold Comparison and Fairness Defense (Task 8)</w:t>
      </w:r>
    </w:p>
    <w:p>
      <w:pPr>
        <w:spacing w:after="60"/>
      </w:pPr>
      <w:r>
        <w:rPr>
          <w:color w:val="3B1E63"/>
          <w:sz w:val="21"/>
        </w:rPr>
        <w:t>13  Lifecycle Mapping (Task 1)</w:t>
      </w:r>
    </w:p>
    <w:p>
      <w:pPr>
        <w:spacing w:after="60"/>
      </w:pPr>
      <w:r>
        <w:rPr>
          <w:color w:val="3B1E63"/>
          <w:sz w:val="21"/>
        </w:rPr>
        <w:t>14  Worked Example: Reproduce From a Fresh Clone</w:t>
      </w:r>
    </w:p>
    <w:p>
      <w:pPr>
        <w:spacing w:after="60"/>
      </w:pPr>
      <w:r>
        <w:rPr>
          <w:color w:val="3B1E63"/>
          <w:sz w:val="21"/>
        </w:rPr>
        <w:t>15  Results, Contributions and Reflection</w:t>
      </w:r>
    </w:p>
    <w:p>
      <w:pPr>
        <w:spacing w:after="60"/>
      </w:pPr>
      <w:r>
        <w:rPr>
          <w:color w:val="3B1E63"/>
          <w:sz w:val="21"/>
        </w:rPr>
        <w:t>16  Deliverables Checklist</w:t>
      </w:r>
    </w:p>
    <w:p>
      <w:r>
        <w:br w:type="page"/>
      </w:r>
    </w:p>
    <w:p>
      <w:pPr>
        <w:spacing w:before="280" w:after="120"/>
        <w:pBdr>
          <w:bottom w:val="single" w:sz="6" w:space="2" w:color="8E3CC4"/>
        </w:pBdr>
      </w:pPr>
      <w:r>
        <w:rPr>
          <w:rFonts w:ascii="Calibri" w:hAnsi="Calibri"/>
          <w:b/>
          <w:color w:val="3B1E63"/>
          <w:sz w:val="30"/>
        </w:rPr>
        <w:t>Executive Summary</w:t>
      </w:r>
    </w:p>
    <w:p>
      <w:pPr>
        <w:spacing w:after="120" w:before="0"/>
      </w:pPr>
      <w:r>
        <w:rPr>
          <w:rFonts w:ascii="Calibri" w:hAnsi="Calibri"/>
          <w:b w:val="0"/>
          <w:i w:val="0"/>
          <w:sz w:val="21"/>
        </w:rPr>
        <w:t>A retail bank retrains its credit-card default model every month. Recently an untested change lowered model quality and nobody noticed for two weeks, and afterwards nobody could say which code, configuration or data version had produced the faulty model. The risk team now wants a workflow in which every change is versioned, tested automatically, tracked in an experiment log, and accepted only if the model is at least as good as the current baseline, and they want the team to be able to defend why the gate threshold is the right one, not just that a gate exists.</w:t>
      </w:r>
    </w:p>
    <w:p>
      <w:pPr>
        <w:spacing w:after="120" w:before="0"/>
      </w:pPr>
      <w:r>
        <w:rPr>
          <w:rFonts w:ascii="Calibri" w:hAnsi="Calibri"/>
          <w:b w:val="0"/>
          <w:i w:val="0"/>
          <w:sz w:val="21"/>
        </w:rPr>
        <w:t>This project delivers that workflow end to end. Data and code are versioned together, every training run is logged to MLflow with its parameters, metrics, dataset version and configuration, and a quality gate runs on every pull request. The gate trains the model with a fixed CI configuration, compares the result to a baseline stored in the repository, and blocks the merge when a test fails or the model gets worse. The dataset has about one high-risk customer in five, so we gate on average precision (PR-AUC) rather than accuracy, and we justify that choice against two alternatives using our own run history.</w:t>
      </w:r>
    </w:p>
    <w:tbl>
      <w:tblPr>
        <w:tblW w:type="auto" w:w="0"/>
        <w:jc w:val="center"/>
        <w:tblLook w:firstColumn="1" w:firstRow="1" w:lastColumn="0" w:lastRow="0" w:noHBand="0" w:noVBand="1" w:val="04A0"/>
      </w:tblPr>
      <w:tblGrid>
        <w:gridCol w:w="2448"/>
        <w:gridCol w:w="2448"/>
        <w:gridCol w:w="2448"/>
        <w:gridCol w:w="2448"/>
      </w:tblGrid>
      <w:tr>
        <w:tc>
          <w:tcPr>
            <w:tcW w:type="dxa" w:w="2448"/>
            <w:shd w:val="clear" w:color="auto" w:fill="F3EBFA"/>
          </w:tcPr>
          <w:p>
            <w:pPr>
              <w:jc w:val="center"/>
            </w:pPr>
            <w:r/>
            <w:r>
              <w:rPr>
                <w:rFonts w:ascii="Calibri" w:hAnsi="Calibri"/>
                <w:b/>
                <w:color w:val="6A1B9A"/>
                <w:sz w:val="28"/>
              </w:rPr>
              <w:t>0.7948</w:t>
            </w:r>
          </w:p>
          <w:p>
            <w:pPr>
              <w:jc w:val="center"/>
            </w:pPr>
            <w:r>
              <w:rPr>
                <w:rFonts w:ascii="Calibri" w:hAnsi="Calibri"/>
                <w:color w:val="555555"/>
                <w:sz w:val="16"/>
              </w:rPr>
              <w:t>baseline PR-AUC (gate bar)</w:t>
            </w:r>
          </w:p>
        </w:tc>
        <w:tc>
          <w:tcPr>
            <w:tcW w:type="dxa" w:w="2448"/>
            <w:shd w:val="clear" w:color="auto" w:fill="F3EBFA"/>
          </w:tcPr>
          <w:p>
            <w:pPr>
              <w:jc w:val="center"/>
            </w:pPr>
            <w:r/>
            <w:r>
              <w:rPr>
                <w:rFonts w:ascii="Calibri" w:hAnsi="Calibri"/>
                <w:b/>
                <w:color w:val="6A1B9A"/>
                <w:sz w:val="28"/>
              </w:rPr>
              <w:t>0.690 to 0.869</w:t>
            </w:r>
          </w:p>
          <w:p>
            <w:pPr>
              <w:jc w:val="center"/>
            </w:pPr>
            <w:r>
              <w:rPr>
                <w:rFonts w:ascii="Calibri" w:hAnsi="Calibri"/>
                <w:color w:val="555555"/>
                <w:sz w:val="16"/>
              </w:rPr>
              <w:t>PR-AUC across 21 runs</w:t>
            </w:r>
          </w:p>
        </w:tc>
        <w:tc>
          <w:tcPr>
            <w:tcW w:type="dxa" w:w="2448"/>
            <w:shd w:val="clear" w:color="auto" w:fill="F3EBFA"/>
          </w:tcPr>
          <w:p>
            <w:pPr>
              <w:jc w:val="center"/>
            </w:pPr>
            <w:r/>
            <w:r>
              <w:rPr>
                <w:rFonts w:ascii="Calibri" w:hAnsi="Calibri"/>
                <w:b/>
                <w:color w:val="6A1B9A"/>
                <w:sz w:val="28"/>
              </w:rPr>
              <w:t>+0.055</w:t>
            </w:r>
          </w:p>
          <w:p>
            <w:pPr>
              <w:jc w:val="center"/>
            </w:pPr>
            <w:r>
              <w:rPr>
                <w:rFonts w:ascii="Calibri" w:hAnsi="Calibri"/>
                <w:color w:val="555555"/>
                <w:sz w:val="16"/>
              </w:rPr>
              <w:t>v2 vs v1, within noise</w:t>
            </w:r>
          </w:p>
        </w:tc>
        <w:tc>
          <w:tcPr>
            <w:tcW w:type="dxa" w:w="2448"/>
            <w:shd w:val="clear" w:color="auto" w:fill="F3EBFA"/>
          </w:tcPr>
          <w:p>
            <w:pPr>
              <w:jc w:val="center"/>
            </w:pPr>
            <w:r/>
            <w:r>
              <w:rPr>
                <w:rFonts w:ascii="Calibri" w:hAnsi="Calibri"/>
                <w:b/>
                <w:color w:val="6A1B9A"/>
                <w:sz w:val="28"/>
              </w:rPr>
              <w:t>0.35 vs 0.20</w:t>
            </w:r>
          </w:p>
          <w:p>
            <w:pPr>
              <w:jc w:val="center"/>
            </w:pPr>
            <w:r>
              <w:rPr>
                <w:rFonts w:ascii="Calibri" w:hAnsi="Calibri"/>
                <w:color w:val="555555"/>
                <w:sz w:val="16"/>
              </w:rPr>
              <w:t>Low vs High FN rate</w:t>
            </w:r>
          </w:p>
        </w:tc>
      </w:tr>
    </w:tbl>
    <w:p>
      <w:pPr>
        <w:spacing w:after="40"/>
      </w:pPr>
    </w:p>
    <w:p>
      <w:pPr>
        <w:spacing w:before="180" w:after="60"/>
      </w:pPr>
      <w:r>
        <w:rPr>
          <w:rFonts w:ascii="Calibri" w:hAnsi="Calibri"/>
          <w:b/>
          <w:color w:val="8E3CC4"/>
          <w:sz w:val="24"/>
        </w:rPr>
        <w:t>Ground rules</w:t>
      </w:r>
    </w:p>
    <w:p>
      <w:pPr>
        <w:spacing w:after="120" w:before="0"/>
      </w:pPr>
      <w:r>
        <w:rPr>
          <w:rFonts w:ascii="Calibri" w:hAnsi="Calibri"/>
          <w:b w:val="0"/>
          <w:i w:val="0"/>
          <w:sz w:val="21"/>
        </w:rPr>
        <w:t>Every tool is free and open source. No paid cloud account is used, no secrets are stored in the repository, everything is reproducible from a fresh clone by following the README, and every number in this report traces to a tracked run or a command that can be re-run.</w:t>
      </w:r>
    </w:p>
    <w:p>
      <w:r>
        <w:br w:type="page"/>
      </w:r>
    </w:p>
    <w:p>
      <w:r>
        <w:br w:type="page"/>
      </w:r>
    </w:p>
    <w:p>
      <w:pPr>
        <w:spacing w:before="280" w:after="120"/>
        <w:pBdr>
          <w:bottom w:val="single" w:sz="6" w:space="2" w:color="8E3CC4"/>
        </w:pBdr>
      </w:pPr>
      <w:r>
        <w:rPr>
          <w:rFonts w:ascii="Calibri" w:hAnsi="Calibri"/>
          <w:b/>
          <w:color w:val="3B1E63"/>
          <w:sz w:val="30"/>
        </w:rPr>
        <w:t>01  Problem and Objectives</w:t>
      </w:r>
    </w:p>
    <w:p>
      <w:pPr>
        <w:spacing w:after="120" w:before="0"/>
      </w:pPr>
      <w:r>
        <w:rPr>
          <w:rFonts w:ascii="Calibri" w:hAnsi="Calibri"/>
          <w:b w:val="0"/>
          <w:i w:val="0"/>
          <w:sz w:val="21"/>
        </w:rPr>
        <w:t>The scenario is a retail bank whose monthly retraining has no safety net. The concrete failure is a silent quality regression: a change lowered model quality and was not caught for two weeks because there was no automatic check and no record linking a deployed model to the exact inputs that built it. The objective is a workflow that makes that failure impossible to repeat.</w:t>
      </w:r>
    </w:p>
    <w:p>
      <w:pPr>
        <w:spacing w:before="180" w:after="60"/>
      </w:pPr>
      <w:r>
        <w:rPr>
          <w:rFonts w:ascii="Calibri" w:hAnsi="Calibri"/>
          <w:b/>
          <w:color w:val="8E3CC4"/>
          <w:sz w:val="24"/>
        </w:rPr>
        <w:t>Objectives, and how each is met</w:t>
      </w:r>
    </w:p>
    <w:tbl>
      <w:tblPr>
        <w:tblStyle w:val="TableGrid"/>
        <w:tblW w:type="auto" w:w="0"/>
        <w:jc w:val="center"/>
        <w:tblLook w:firstColumn="1" w:firstRow="1" w:lastColumn="0" w:lastRow="0" w:noHBand="0" w:noVBand="1" w:val="04A0"/>
      </w:tblPr>
      <w:tblGrid>
        <w:gridCol w:w="4896"/>
        <w:gridCol w:w="4896"/>
      </w:tblGrid>
      <w:tr>
        <w:tc>
          <w:tcPr>
            <w:tcW w:type="dxa" w:w="3312"/>
            <w:shd w:val="clear" w:color="auto" w:fill="3B1E63"/>
          </w:tcPr>
          <w:p>
            <w:r/>
            <w:r>
              <w:rPr>
                <w:rFonts w:ascii="Calibri" w:hAnsi="Calibri"/>
                <w:b/>
                <w:color w:val="FFFFFF"/>
                <w:sz w:val="19"/>
              </w:rPr>
              <w:t>Objective</w:t>
            </w:r>
          </w:p>
        </w:tc>
        <w:tc>
          <w:tcPr>
            <w:tcW w:type="dxa" w:w="6480"/>
            <w:shd w:val="clear" w:color="auto" w:fill="3B1E63"/>
          </w:tcPr>
          <w:p>
            <w:r/>
            <w:r>
              <w:rPr>
                <w:rFonts w:ascii="Calibri" w:hAnsi="Calibri"/>
                <w:b/>
                <w:color w:val="FFFFFF"/>
                <w:sz w:val="19"/>
              </w:rPr>
              <w:t>How this project meets it</w:t>
            </w:r>
          </w:p>
        </w:tc>
      </w:tr>
      <w:tr>
        <w:tc>
          <w:tcPr>
            <w:tcW w:type="dxa" w:w="3312"/>
            <w:shd w:val="clear" w:color="auto" w:fill="FFFFFF"/>
          </w:tcPr>
          <w:p>
            <w:r/>
            <w:r>
              <w:rPr>
                <w:rFonts w:ascii="Calibri" w:hAnsi="Calibri"/>
                <w:b w:val="0"/>
                <w:sz w:val="18"/>
              </w:rPr>
              <w:t>Version everything together</w:t>
            </w:r>
          </w:p>
        </w:tc>
        <w:tc>
          <w:tcPr>
            <w:tcW w:type="dxa" w:w="6480"/>
            <w:shd w:val="clear" w:color="auto" w:fill="FFFFFF"/>
          </w:tcPr>
          <w:p>
            <w:r/>
            <w:r>
              <w:rPr>
                <w:rFonts w:ascii="Calibri" w:hAnsi="Calibri"/>
                <w:b w:val="0"/>
                <w:sz w:val="18"/>
              </w:rPr>
              <w:t>Git for code and config, DVC for data, so any commit restores its exact dataset (Section 03).</w:t>
            </w:r>
          </w:p>
        </w:tc>
      </w:tr>
      <w:tr>
        <w:tc>
          <w:tcPr>
            <w:tcW w:type="dxa" w:w="3312"/>
            <w:shd w:val="clear" w:color="auto" w:fill="F3EBFA"/>
          </w:tcPr>
          <w:p>
            <w:r/>
            <w:r>
              <w:rPr>
                <w:rFonts w:ascii="Calibri" w:hAnsi="Calibri"/>
                <w:b w:val="0"/>
                <w:sz w:val="18"/>
              </w:rPr>
              <w:t>Track every experiment</w:t>
            </w:r>
          </w:p>
        </w:tc>
        <w:tc>
          <w:tcPr>
            <w:tcW w:type="dxa" w:w="6480"/>
            <w:shd w:val="clear" w:color="auto" w:fill="F3EBFA"/>
          </w:tcPr>
          <w:p>
            <w:r/>
            <w:r>
              <w:rPr>
                <w:rFonts w:ascii="Calibri" w:hAnsi="Calibri"/>
                <w:b w:val="0"/>
                <w:sz w:val="18"/>
              </w:rPr>
              <w:t>MLflow logs params, metrics, data version, config and model for all 21 runs (Section 08).</w:t>
            </w:r>
          </w:p>
        </w:tc>
      </w:tr>
      <w:tr>
        <w:tc>
          <w:tcPr>
            <w:tcW w:type="dxa" w:w="3312"/>
            <w:shd w:val="clear" w:color="auto" w:fill="FFFFFF"/>
          </w:tcPr>
          <w:p>
            <w:r/>
            <w:r>
              <w:rPr>
                <w:rFonts w:ascii="Calibri" w:hAnsi="Calibri"/>
                <w:b w:val="0"/>
                <w:sz w:val="18"/>
              </w:rPr>
              <w:t>Gate on quality</w:t>
            </w:r>
          </w:p>
        </w:tc>
        <w:tc>
          <w:tcPr>
            <w:tcW w:type="dxa" w:w="6480"/>
            <w:shd w:val="clear" w:color="auto" w:fill="FFFFFF"/>
          </w:tcPr>
          <w:p>
            <w:r/>
            <w:r>
              <w:rPr>
                <w:rFonts w:ascii="Calibri" w:hAnsi="Calibri"/>
                <w:b w:val="0"/>
                <w:sz w:val="18"/>
              </w:rPr>
              <w:t>A CI workflow trains and compares to a stored baseline, blocking worse models (Section 10).</w:t>
            </w:r>
          </w:p>
        </w:tc>
      </w:tr>
      <w:tr>
        <w:tc>
          <w:tcPr>
            <w:tcW w:type="dxa" w:w="3312"/>
            <w:shd w:val="clear" w:color="auto" w:fill="F3EBFA"/>
          </w:tcPr>
          <w:p>
            <w:r/>
            <w:r>
              <w:rPr>
                <w:rFonts w:ascii="Calibri" w:hAnsi="Calibri"/>
                <w:b w:val="0"/>
                <w:sz w:val="18"/>
              </w:rPr>
              <w:t>Defend the gate</w:t>
            </w:r>
          </w:p>
        </w:tc>
        <w:tc>
          <w:tcPr>
            <w:tcW w:type="dxa" w:w="6480"/>
            <w:shd w:val="clear" w:color="auto" w:fill="F3EBFA"/>
          </w:tcPr>
          <w:p>
            <w:r/>
            <w:r>
              <w:rPr>
                <w:rFonts w:ascii="Calibri" w:hAnsi="Calibri"/>
                <w:b w:val="0"/>
                <w:sz w:val="18"/>
              </w:rPr>
              <w:t>Three candidate rules compared on real runs, plus a fairness check by income (Section 12).</w:t>
            </w:r>
          </w:p>
        </w:tc>
      </w:tr>
    </w:tbl>
    <w:p>
      <w:pPr>
        <w:spacing w:after="40"/>
      </w:pPr>
    </w:p>
    <w:p>
      <w:pPr>
        <w:spacing w:before="180" w:after="60"/>
      </w:pPr>
      <w:r>
        <w:rPr>
          <w:rFonts w:ascii="Calibri" w:hAnsi="Calibri"/>
          <w:b/>
          <w:color w:val="8E3CC4"/>
          <w:sz w:val="24"/>
        </w:rPr>
        <w:t>Success metrics, chosen and justified</w:t>
      </w:r>
    </w:p>
    <w:p>
      <w:pPr>
        <w:spacing w:after="120" w:before="0"/>
      </w:pPr>
      <w:r>
        <w:rPr>
          <w:rFonts w:ascii="Calibri" w:hAnsi="Calibri"/>
          <w:b w:val="0"/>
          <w:i w:val="0"/>
          <w:sz w:val="21"/>
        </w:rPr>
        <w:t>The headline success metric is average precision (PR-AUC) on a held-out test split, chosen because the target is imbalanced (Section 09 gives the full argument). The operational success metric for the workflow itself is simpler and binary: the CI gate must pass a model that is at least as good as the baseline and must block a model that is worse or a change that breaks a test. We demonstrate all three outcomes with real pull requests.</w:t>
      </w:r>
    </w:p>
    <w:p>
      <w:pPr>
        <w:spacing w:before="180" w:after="60"/>
      </w:pPr>
      <w:r>
        <w:rPr>
          <w:rFonts w:ascii="Calibri" w:hAnsi="Calibri"/>
          <w:b/>
          <w:color w:val="8E3CC4"/>
          <w:sz w:val="24"/>
        </w:rPr>
        <w:t>Non-functional requirements</w:t>
      </w:r>
    </w:p>
    <w:p>
      <w:pPr>
        <w:pStyle w:val="ListBullet"/>
        <w:spacing w:after="60"/>
      </w:pPr>
      <w:r>
        <w:rPr>
          <w:rFonts w:ascii="Calibri" w:hAnsi="Calibri"/>
          <w:sz w:val="21"/>
        </w:rPr>
        <w:t>Reproducible: a fresh clone plus the README commands reproduces the baseline metrics.</w:t>
      </w:r>
    </w:p>
    <w:p>
      <w:pPr>
        <w:pStyle w:val="ListBullet"/>
        <w:spacing w:after="60"/>
      </w:pPr>
      <w:r>
        <w:rPr>
          <w:rFonts w:ascii="Calibri" w:hAnsi="Calibri"/>
          <w:sz w:val="21"/>
        </w:rPr>
        <w:t>Fast enough for CI: the gate uses a small configuration so a pull request check finishes in a couple of minutes.</w:t>
      </w:r>
    </w:p>
    <w:p>
      <w:pPr>
        <w:pStyle w:val="ListBullet"/>
        <w:spacing w:after="60"/>
      </w:pPr>
      <w:r>
        <w:rPr>
          <w:rFonts w:ascii="Calibri" w:hAnsi="Calibri"/>
          <w:sz w:val="21"/>
        </w:rPr>
        <w:t>Safe by default: the baseline cannot be changed by an ordinary pull request, and branch protection enforces the gate.</w:t>
      </w:r>
    </w:p>
    <w:p>
      <w:pPr>
        <w:pStyle w:val="ListBullet"/>
        <w:spacing w:after="60"/>
      </w:pPr>
      <w:r>
        <w:rPr>
          <w:rFonts w:ascii="Calibri" w:hAnsi="Calibri"/>
          <w:sz w:val="21"/>
        </w:rPr>
        <w:t>Auditable: the registered model points back to its git commit and data version.</w:t>
      </w:r>
    </w:p>
    <w:p>
      <w:pPr>
        <w:spacing w:before="280" w:after="120"/>
        <w:pBdr>
          <w:bottom w:val="single" w:sz="6" w:space="2" w:color="8E3CC4"/>
        </w:pBdr>
      </w:pPr>
      <w:r>
        <w:rPr>
          <w:rFonts w:ascii="Calibri" w:hAnsi="Calibri"/>
          <w:b/>
          <w:color w:val="3B1E63"/>
          <w:sz w:val="30"/>
        </w:rPr>
        <w:t>02  Architecture and Tools</w:t>
      </w:r>
    </w:p>
    <w:p>
      <w:pPr>
        <w:spacing w:after="120" w:before="0"/>
      </w:pPr>
      <w:r>
        <w:rPr>
          <w:rFonts w:ascii="Calibri" w:hAnsi="Calibri"/>
          <w:b w:val="0"/>
          <w:i w:val="0"/>
          <w:sz w:val="21"/>
        </w:rPr>
        <w:t>The architecture is a straight line from versioned inputs to a gated, registered model. A developer changes code, config, features or data on a branch and opens a pull request. GitHub Actions restores the data with DVC, runs the unit tests, trains the model with the CI configuration, logs the run to MLflow, and compares the result to the baseline. If everything passes the change can merge; if not, the merge is blocked. The best model from the wider sweep is registered in the MLflow Model Registry.</w:t>
      </w:r>
    </w:p>
    <w:p>
      <w:pPr>
        <w:spacing w:before="180" w:after="60"/>
      </w:pPr>
      <w:r>
        <w:rPr>
          <w:rFonts w:ascii="Calibri" w:hAnsi="Calibri"/>
          <w:b/>
          <w:color w:val="8E3CC4"/>
          <w:sz w:val="24"/>
        </w:rPr>
        <w:t>Tools, and the choices behind them</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color="auto" w:fill="3B1E63"/>
          </w:tcPr>
          <w:p>
            <w:r/>
            <w:r>
              <w:rPr>
                <w:rFonts w:ascii="Calibri" w:hAnsi="Calibri"/>
                <w:b/>
                <w:color w:val="FFFFFF"/>
                <w:sz w:val="19"/>
              </w:rPr>
              <w:t>Purpose</w:t>
            </w:r>
          </w:p>
        </w:tc>
        <w:tc>
          <w:tcPr>
            <w:tcW w:type="dxa" w:w="2232"/>
            <w:shd w:val="clear" w:color="auto" w:fill="3B1E63"/>
          </w:tcPr>
          <w:p>
            <w:r/>
            <w:r>
              <w:rPr>
                <w:rFonts w:ascii="Calibri" w:hAnsi="Calibri"/>
                <w:b/>
                <w:color w:val="FFFFFF"/>
                <w:sz w:val="19"/>
              </w:rPr>
              <w:t>Tool</w:t>
            </w:r>
          </w:p>
        </w:tc>
        <w:tc>
          <w:tcPr>
            <w:tcW w:type="dxa" w:w="5400"/>
            <w:shd w:val="clear" w:color="auto" w:fill="3B1E63"/>
          </w:tcPr>
          <w:p>
            <w:r/>
            <w:r>
              <w:rPr>
                <w:rFonts w:ascii="Calibri" w:hAnsi="Calibri"/>
                <w:b/>
                <w:color w:val="FFFFFF"/>
                <w:sz w:val="19"/>
              </w:rPr>
              <w:t>Reason / substitution</w:t>
            </w:r>
          </w:p>
        </w:tc>
      </w:tr>
      <w:tr>
        <w:tc>
          <w:tcPr>
            <w:tcW w:type="dxa" w:w="2160"/>
            <w:shd w:val="clear" w:color="auto" w:fill="FFFFFF"/>
          </w:tcPr>
          <w:p>
            <w:r/>
            <w:r>
              <w:rPr>
                <w:rFonts w:ascii="Calibri" w:hAnsi="Calibri"/>
                <w:b w:val="0"/>
                <w:sz w:val="18"/>
              </w:rPr>
              <w:t>Source versioning</w:t>
            </w:r>
          </w:p>
        </w:tc>
        <w:tc>
          <w:tcPr>
            <w:tcW w:type="dxa" w:w="2232"/>
            <w:shd w:val="clear" w:color="auto" w:fill="FFFFFF"/>
          </w:tcPr>
          <w:p>
            <w:r/>
            <w:r>
              <w:rPr>
                <w:rFonts w:ascii="Calibri" w:hAnsi="Calibri"/>
                <w:b w:val="0"/>
                <w:sz w:val="18"/>
              </w:rPr>
              <w:t>Git and GitHub</w:t>
            </w:r>
          </w:p>
        </w:tc>
        <w:tc>
          <w:tcPr>
            <w:tcW w:type="dxa" w:w="5400"/>
            <w:shd w:val="clear" w:color="auto" w:fill="FFFFFF"/>
          </w:tcPr>
          <w:p>
            <w:r/>
            <w:r>
              <w:rPr>
                <w:rFonts w:ascii="Calibri" w:hAnsi="Calibri"/>
                <w:b w:val="0"/>
                <w:sz w:val="18"/>
              </w:rPr>
              <w:t>Standard and free; GitHub Actions gives CI in the same place.</w:t>
            </w:r>
          </w:p>
        </w:tc>
      </w:tr>
      <w:tr>
        <w:tc>
          <w:tcPr>
            <w:tcW w:type="dxa" w:w="2160"/>
            <w:shd w:val="clear" w:color="auto" w:fill="F3EBFA"/>
          </w:tcPr>
          <w:p>
            <w:r/>
            <w:r>
              <w:rPr>
                <w:rFonts w:ascii="Calibri" w:hAnsi="Calibri"/>
                <w:b w:val="0"/>
                <w:sz w:val="18"/>
              </w:rPr>
              <w:t>Data versioning</w:t>
            </w:r>
          </w:p>
        </w:tc>
        <w:tc>
          <w:tcPr>
            <w:tcW w:type="dxa" w:w="2232"/>
            <w:shd w:val="clear" w:color="auto" w:fill="F3EBFA"/>
          </w:tcPr>
          <w:p>
            <w:r/>
            <w:r>
              <w:rPr>
                <w:rFonts w:ascii="Calibri" w:hAnsi="Calibri"/>
                <w:b w:val="0"/>
                <w:sz w:val="18"/>
              </w:rPr>
              <w:t>DVC</w:t>
            </w:r>
          </w:p>
        </w:tc>
        <w:tc>
          <w:tcPr>
            <w:tcW w:type="dxa" w:w="5400"/>
            <w:shd w:val="clear" w:color="auto" w:fill="F3EBFA"/>
          </w:tcPr>
          <w:p>
            <w:r/>
            <w:r>
              <w:rPr>
                <w:rFonts w:ascii="Calibri" w:hAnsi="Calibri"/>
                <w:b w:val="0"/>
                <w:sz w:val="18"/>
              </w:rPr>
              <w:t>Keeps CSVs out of git history while any commit restores its data; replaces a cloud data store.</w:t>
            </w:r>
          </w:p>
        </w:tc>
      </w:tr>
      <w:tr>
        <w:tc>
          <w:tcPr>
            <w:tcW w:type="dxa" w:w="2160"/>
            <w:shd w:val="clear" w:color="auto" w:fill="FFFFFF"/>
          </w:tcPr>
          <w:p>
            <w:r/>
            <w:r>
              <w:rPr>
                <w:rFonts w:ascii="Calibri" w:hAnsi="Calibri"/>
                <w:b w:val="0"/>
                <w:sz w:val="18"/>
              </w:rPr>
              <w:t>Configuration</w:t>
            </w:r>
          </w:p>
        </w:tc>
        <w:tc>
          <w:tcPr>
            <w:tcW w:type="dxa" w:w="2232"/>
            <w:shd w:val="clear" w:color="auto" w:fill="FFFFFF"/>
          </w:tcPr>
          <w:p>
            <w:r/>
            <w:r>
              <w:rPr>
                <w:rFonts w:ascii="Calibri" w:hAnsi="Calibri"/>
                <w:b w:val="0"/>
                <w:sz w:val="18"/>
              </w:rPr>
              <w:t>YAML + Pydantic</w:t>
            </w:r>
          </w:p>
        </w:tc>
        <w:tc>
          <w:tcPr>
            <w:tcW w:type="dxa" w:w="5400"/>
            <w:shd w:val="clear" w:color="auto" w:fill="FFFFFF"/>
          </w:tcPr>
          <w:p>
            <w:r/>
            <w:r>
              <w:rPr>
                <w:rFonts w:ascii="Calibri" w:hAnsi="Calibri"/>
                <w:b w:val="0"/>
                <w:sz w:val="18"/>
              </w:rPr>
              <w:t>Readable settings validated on load so a broken config fails fast.</w:t>
            </w:r>
          </w:p>
        </w:tc>
      </w:tr>
      <w:tr>
        <w:tc>
          <w:tcPr>
            <w:tcW w:type="dxa" w:w="2160"/>
            <w:shd w:val="clear" w:color="auto" w:fill="F3EBFA"/>
          </w:tcPr>
          <w:p>
            <w:r/>
            <w:r>
              <w:rPr>
                <w:rFonts w:ascii="Calibri" w:hAnsi="Calibri"/>
                <w:b w:val="0"/>
                <w:sz w:val="18"/>
              </w:rPr>
              <w:t>Modelling</w:t>
            </w:r>
          </w:p>
        </w:tc>
        <w:tc>
          <w:tcPr>
            <w:tcW w:type="dxa" w:w="2232"/>
            <w:shd w:val="clear" w:color="auto" w:fill="F3EBFA"/>
          </w:tcPr>
          <w:p>
            <w:r/>
            <w:r>
              <w:rPr>
                <w:rFonts w:ascii="Calibri" w:hAnsi="Calibri"/>
                <w:b w:val="0"/>
                <w:sz w:val="18"/>
              </w:rPr>
              <w:t>pandas, scikit-learn</w:t>
            </w:r>
          </w:p>
        </w:tc>
        <w:tc>
          <w:tcPr>
            <w:tcW w:type="dxa" w:w="5400"/>
            <w:shd w:val="clear" w:color="auto" w:fill="F3EBFA"/>
          </w:tcPr>
          <w:p>
            <w:r/>
            <w:r>
              <w:rPr>
                <w:rFonts w:ascii="Calibri" w:hAnsi="Calibri"/>
                <w:b w:val="0"/>
                <w:sz w:val="18"/>
              </w:rPr>
              <w:t>Free and fast enough for CI; XGBoost was not needed to beat the baseline.</w:t>
            </w:r>
          </w:p>
        </w:tc>
      </w:tr>
      <w:tr>
        <w:tc>
          <w:tcPr>
            <w:tcW w:type="dxa" w:w="2160"/>
            <w:shd w:val="clear" w:color="auto" w:fill="FFFFFF"/>
          </w:tcPr>
          <w:p>
            <w:r/>
            <w:r>
              <w:rPr>
                <w:rFonts w:ascii="Calibri" w:hAnsi="Calibri"/>
                <w:b w:val="0"/>
                <w:sz w:val="18"/>
              </w:rPr>
              <w:t>Tracking + registry</w:t>
            </w:r>
          </w:p>
        </w:tc>
        <w:tc>
          <w:tcPr>
            <w:tcW w:type="dxa" w:w="2232"/>
            <w:shd w:val="clear" w:color="auto" w:fill="FFFFFF"/>
          </w:tcPr>
          <w:p>
            <w:r/>
            <w:r>
              <w:rPr>
                <w:rFonts w:ascii="Calibri" w:hAnsi="Calibri"/>
                <w:b w:val="0"/>
                <w:sz w:val="18"/>
              </w:rPr>
              <w:t>MLflow</w:t>
            </w:r>
          </w:p>
        </w:tc>
        <w:tc>
          <w:tcPr>
            <w:tcW w:type="dxa" w:w="5400"/>
            <w:shd w:val="clear" w:color="auto" w:fill="FFFFFF"/>
          </w:tcPr>
          <w:p>
            <w:r/>
            <w:r>
              <w:rPr>
                <w:rFonts w:ascii="Calibri" w:hAnsi="Calibri"/>
                <w:b w:val="0"/>
                <w:sz w:val="18"/>
              </w:rPr>
              <w:t>Local SQLite backend gives runs and a registry with no paid account; replaces SageMaker.</w:t>
            </w:r>
          </w:p>
        </w:tc>
      </w:tr>
      <w:tr>
        <w:tc>
          <w:tcPr>
            <w:tcW w:type="dxa" w:w="2160"/>
            <w:shd w:val="clear" w:color="auto" w:fill="F3EBFA"/>
          </w:tcPr>
          <w:p>
            <w:r/>
            <w:r>
              <w:rPr>
                <w:rFonts w:ascii="Calibri" w:hAnsi="Calibri"/>
                <w:b w:val="0"/>
                <w:sz w:val="18"/>
              </w:rPr>
              <w:t>CI / CD</w:t>
            </w:r>
          </w:p>
        </w:tc>
        <w:tc>
          <w:tcPr>
            <w:tcW w:type="dxa" w:w="2232"/>
            <w:shd w:val="clear" w:color="auto" w:fill="F3EBFA"/>
          </w:tcPr>
          <w:p>
            <w:r/>
            <w:r>
              <w:rPr>
                <w:rFonts w:ascii="Calibri" w:hAnsi="Calibri"/>
                <w:b w:val="0"/>
                <w:sz w:val="18"/>
              </w:rPr>
              <w:t>GitHub Actions, pytest</w:t>
            </w:r>
          </w:p>
        </w:tc>
        <w:tc>
          <w:tcPr>
            <w:tcW w:type="dxa" w:w="5400"/>
            <w:shd w:val="clear" w:color="auto" w:fill="F3EBFA"/>
          </w:tcPr>
          <w:p>
            <w:r/>
            <w:r>
              <w:rPr>
                <w:rFonts w:ascii="Calibri" w:hAnsi="Calibri"/>
                <w:b w:val="0"/>
                <w:sz w:val="18"/>
              </w:rPr>
              <w:t>Runs the gate on every pull request; replaces a managed pipeline service.</w:t>
            </w:r>
          </w:p>
        </w:tc>
      </w:tr>
    </w:tbl>
    <w:p>
      <w:pPr>
        <w:spacing w:after="40"/>
      </w:pPr>
    </w:p>
    <w:p>
      <w:pPr>
        <w:spacing w:after="120" w:before="0"/>
      </w:pPr>
      <w:r>
        <w:rPr>
          <w:rFonts w:ascii="Calibri" w:hAnsi="Calibri"/>
          <w:b w:val="0"/>
          <w:i w:val="0"/>
          <w:sz w:val="21"/>
        </w:rPr>
        <w:t>The one substitution worth naming is the DVC remote. Instead of a cloud bucket we use a content-addressed store committed inside the repository (dvcstore), so dvc pull works on the CI runner and on any fresh clone with no credentials. This keeps the project fully free and reproducible, at the cost of storing the (small) data blobs in the repo rather than in external storage.</w:t>
      </w:r>
    </w:p>
    <w:p>
      <w:r>
        <w:br w:type="page"/>
      </w:r>
    </w:p>
    <w:p>
      <w:pPr>
        <w:spacing w:before="280" w:after="120"/>
        <w:pBdr>
          <w:bottom w:val="single" w:sz="6" w:space="2" w:color="8E3CC4"/>
        </w:pBdr>
      </w:pPr>
      <w:r>
        <w:rPr>
          <w:rFonts w:ascii="Calibri" w:hAnsi="Calibri"/>
          <w:b/>
          <w:color w:val="3B1E63"/>
          <w:sz w:val="30"/>
        </w:rPr>
        <w:t>03  Repository, Code and Data Versioning (Task 2)</w:t>
      </w:r>
    </w:p>
    <w:p>
      <w:pPr>
        <w:spacing w:after="120" w:before="0"/>
      </w:pPr>
      <w:r>
        <w:rPr>
          <w:rFonts w:ascii="Calibri" w:hAnsi="Calibri"/>
          <w:b w:val="0"/>
          <w:i w:val="0"/>
          <w:sz w:val="21"/>
        </w:rPr>
        <w:t>The repository tracks code, configuration and data together. Code and config live in git. Datasets are tracked with DVC: the root .gitignore keeps the CSV files out of git, so only the small .dvc pointer files are committed, and the data itself lives in the in-repo DVC remote. The commit history is a sequence of small, clearly described changes, and dataset v2 enters the project later as its own tracked DVC change.</w:t>
      </w:r>
    </w:p>
    <w:p>
      <w:pPr>
        <w:spacing w:before="180" w:after="60"/>
      </w:pPr>
      <w:r>
        <w:rPr>
          <w:rFonts w:ascii="Calibri" w:hAnsi="Calibri"/>
          <w:b/>
          <w:color w:val="8E3CC4"/>
          <w:sz w:val="24"/>
        </w:rPr>
        <w:t>Repository layout</w:t>
      </w:r>
    </w:p>
    <w:p>
      <w:pPr>
        <w:spacing w:after="0" w:before="0"/>
        <w:shd w:val="clear" w:color="auto" w:fill="F3EBFA"/>
      </w:pPr>
      <w:r>
        <w:rPr>
          <w:rFonts w:ascii="Consolas" w:hAnsi="Consolas"/>
          <w:color w:val="2A1245"/>
          <w:sz w:val="17"/>
        </w:rPr>
        <w:t>credit-risk-cicd-gate/</w:t>
      </w:r>
    </w:p>
    <w:p>
      <w:pPr>
        <w:spacing w:after="0" w:before="0"/>
        <w:shd w:val="clear" w:color="auto" w:fill="F3EBFA"/>
      </w:pPr>
      <w:r>
        <w:rPr>
          <w:rFonts w:ascii="Consolas" w:hAnsi="Consolas"/>
          <w:color w:val="2A1245"/>
          <w:sz w:val="17"/>
        </w:rPr>
        <w:t xml:space="preserve">  .github/workflows/ci.yml     CI quality gate</w:t>
      </w:r>
    </w:p>
    <w:p>
      <w:pPr>
        <w:spacing w:after="0" w:before="0"/>
        <w:shd w:val="clear" w:color="auto" w:fill="F3EBFA"/>
      </w:pPr>
      <w:r>
        <w:rPr>
          <w:rFonts w:ascii="Consolas" w:hAnsi="Consolas"/>
          <w:color w:val="2A1245"/>
          <w:sz w:val="17"/>
        </w:rPr>
        <w:t xml:space="preserve">  .github/CODEOWNERS           protects baseline and gate config</w:t>
      </w:r>
    </w:p>
    <w:p>
      <w:pPr>
        <w:spacing w:after="0" w:before="0"/>
        <w:shd w:val="clear" w:color="auto" w:fill="F3EBFA"/>
      </w:pPr>
      <w:r>
        <w:rPr>
          <w:rFonts w:ascii="Consolas" w:hAnsi="Consolas"/>
          <w:color w:val="2A1245"/>
          <w:sz w:val="17"/>
        </w:rPr>
        <w:t xml:space="preserve">  configs/{dev,ci,full}.yaml   three environments</w:t>
      </w:r>
    </w:p>
    <w:p>
      <w:pPr>
        <w:spacing w:after="0" w:before="0"/>
        <w:shd w:val="clear" w:color="auto" w:fill="F3EBFA"/>
      </w:pPr>
      <w:r>
        <w:rPr>
          <w:rFonts w:ascii="Consolas" w:hAnsi="Consolas"/>
          <w:color w:val="2A1245"/>
          <w:sz w:val="17"/>
        </w:rPr>
        <w:t xml:space="preserve">  data/*.csv.dvc               DVC pointers (CSVs gitignored)</w:t>
      </w:r>
    </w:p>
    <w:p>
      <w:pPr>
        <w:spacing w:after="0" w:before="0"/>
        <w:shd w:val="clear" w:color="auto" w:fill="F3EBFA"/>
      </w:pPr>
      <w:r>
        <w:rPr>
          <w:rFonts w:ascii="Consolas" w:hAnsi="Consolas"/>
          <w:color w:val="2A1245"/>
          <w:sz w:val="17"/>
        </w:rPr>
        <w:t xml:space="preserve">  dvcstore/                    in-repo DVC remote (blobs)</w:t>
      </w:r>
    </w:p>
    <w:p>
      <w:pPr>
        <w:spacing w:after="0" w:before="0"/>
        <w:shd w:val="clear" w:color="auto" w:fill="F3EBFA"/>
      </w:pPr>
      <w:r>
        <w:rPr>
          <w:rFonts w:ascii="Consolas" w:hAnsi="Consolas"/>
          <w:color w:val="2A1245"/>
          <w:sz w:val="17"/>
        </w:rPr>
        <w:t xml:space="preserve">  src/credit_risk/             config, data, features, model, pipeline, gate</w:t>
      </w:r>
    </w:p>
    <w:p>
      <w:pPr>
        <w:spacing w:after="0" w:before="0"/>
        <w:shd w:val="clear" w:color="auto" w:fill="F3EBFA"/>
      </w:pPr>
      <w:r>
        <w:rPr>
          <w:rFonts w:ascii="Consolas" w:hAnsi="Consolas"/>
          <w:color w:val="2A1245"/>
          <w:sz w:val="17"/>
        </w:rPr>
        <w:t xml:space="preserve">  scripts/                     run_training, run_gate, update_baseline, drill, fairness</w:t>
      </w:r>
    </w:p>
    <w:p>
      <w:pPr>
        <w:spacing w:after="0" w:before="0"/>
        <w:shd w:val="clear" w:color="auto" w:fill="F3EBFA"/>
      </w:pPr>
      <w:r>
        <w:rPr>
          <w:rFonts w:ascii="Consolas" w:hAnsi="Consolas"/>
          <w:color w:val="2A1245"/>
          <w:sz w:val="17"/>
        </w:rPr>
        <w:t xml:space="preserve">  tests/                       pytest: features, config, gate</w:t>
      </w:r>
    </w:p>
    <w:p>
      <w:pPr>
        <w:spacing w:after="0" w:before="0"/>
        <w:shd w:val="clear" w:color="auto" w:fill="F3EBFA"/>
      </w:pPr>
      <w:r>
        <w:rPr>
          <w:rFonts w:ascii="Consolas" w:hAnsi="Consolas"/>
          <w:color w:val="2A1245"/>
          <w:sz w:val="17"/>
        </w:rPr>
        <w:t xml:space="preserve">  baseline/baseline_metrics.json   the stored gate baseline</w:t>
      </w:r>
    </w:p>
    <w:p>
      <w:pPr>
        <w:spacing w:after="0" w:before="0"/>
        <w:shd w:val="clear" w:color="auto" w:fill="F3EBFA"/>
      </w:pPr>
      <w:r>
        <w:rPr>
          <w:rFonts w:ascii="Consolas" w:hAnsi="Consolas"/>
          <w:color w:val="2A1245"/>
          <w:sz w:val="17"/>
        </w:rPr>
        <w:t xml:space="preserve">  docs/                        task write-ups and memos</w:t>
      </w:r>
    </w:p>
    <w:p>
      <w:pPr>
        <w:spacing w:after="80"/>
      </w:pPr>
    </w:p>
    <w:p>
      <w:pPr>
        <w:spacing w:before="180" w:after="60"/>
      </w:pPr>
      <w:r>
        <w:rPr>
          <w:rFonts w:ascii="Calibri" w:hAnsi="Calibri"/>
          <w:b/>
          <w:color w:val="8E3CC4"/>
          <w:sz w:val="24"/>
        </w:rPr>
        <w:t>Restoring code and data together</w:t>
      </w:r>
    </w:p>
    <w:p>
      <w:pPr>
        <w:spacing w:after="120" w:before="0"/>
      </w:pPr>
      <w:r>
        <w:rPr>
          <w:rFonts w:ascii="Calibri" w:hAnsi="Calibri"/>
          <w:b w:val="0"/>
          <w:i w:val="0"/>
          <w:sz w:val="21"/>
        </w:rPr>
        <w:t>Running git checkout &lt;old-commit&gt; restores the code and the .dvc pointers, then dvc checkout restores the exact CSV that commit used. This is what makes an old result reproducible rather than merely remembered.</w:t>
      </w:r>
    </w:p>
    <w:p>
      <w:pPr>
        <w:spacing w:before="80" w:after="40"/>
        <w:jc w:val="center"/>
        <w:pBdr>
          <w:top w:val="single" w:sz="4" w:space="4" w:color="C9B8DC"/>
          <w:bottom w:val="single" w:sz="4" w:space="4" w:color="C9B8DC"/>
          <w:left w:val="single" w:sz="4" w:space="4" w:color="C9B8DC"/>
          <w:right w:val="single" w:sz="4" w:space="4" w:color="C9B8DC"/>
        </w:pBdr>
      </w:pPr>
      <w:r>
        <w:drawing>
          <wp:inline xmlns:a="http://schemas.openxmlformats.org/drawingml/2006/main" xmlns:pic="http://schemas.openxmlformats.org/drawingml/2006/picture">
            <wp:extent cx="5760720" cy="1769702"/>
            <wp:docPr id="1" name="Picture 1"/>
            <wp:cNvGraphicFramePr>
              <a:graphicFrameLocks noChangeAspect="1"/>
            </wp:cNvGraphicFramePr>
            <a:graphic>
              <a:graphicData uri="http://schemas.openxmlformats.org/drawingml/2006/picture">
                <pic:pic>
                  <pic:nvPicPr>
                    <pic:cNvPr id="0" name="fig1a_git_log.jpg"/>
                    <pic:cNvPicPr/>
                  </pic:nvPicPr>
                  <pic:blipFill>
                    <a:blip r:embed="rId10"/>
                    <a:stretch>
                      <a:fillRect/>
                    </a:stretch>
                  </pic:blipFill>
                  <pic:spPr>
                    <a:xfrm>
                      <a:off x="0" y="0"/>
                      <a:ext cx="5760720" cy="1769702"/>
                    </a:xfrm>
                    <a:prstGeom prst="rect"/>
                  </pic:spPr>
                </pic:pic>
              </a:graphicData>
            </a:graphic>
          </wp:inline>
        </w:drawing>
      </w:r>
    </w:p>
    <w:p>
      <w:pPr>
        <w:spacing w:before="40" w:after="200"/>
        <w:jc w:val="center"/>
      </w:pPr>
      <w:r>
        <w:rPr>
          <w:rFonts w:ascii="Calibri" w:hAnsi="Calibri"/>
          <w:i/>
          <w:color w:val="555555"/>
          <w:sz w:val="18"/>
        </w:rPr>
        <w:t>Figure 1a. Small, meaningful commits. The history reads as a clean sequence of versioned changes, including dataset v2 entering as its own tracked change.</w:t>
      </w:r>
    </w:p>
    <w:p>
      <w:pPr>
        <w:spacing w:before="80" w:after="40"/>
        <w:jc w:val="center"/>
        <w:pBdr>
          <w:top w:val="single" w:sz="4" w:space="4" w:color="C9B8DC"/>
          <w:bottom w:val="single" w:sz="4" w:space="4" w:color="C9B8DC"/>
          <w:left w:val="single" w:sz="4" w:space="4" w:color="C9B8DC"/>
          <w:right w:val="single" w:sz="4" w:space="4" w:color="C9B8DC"/>
        </w:pBdr>
      </w:pPr>
      <w:r>
        <w:drawing>
          <wp:inline xmlns:a="http://schemas.openxmlformats.org/drawingml/2006/main" xmlns:pic="http://schemas.openxmlformats.org/drawingml/2006/picture">
            <wp:extent cx="5486400" cy="1034540"/>
            <wp:docPr id="2" name="Picture 2"/>
            <wp:cNvGraphicFramePr>
              <a:graphicFrameLocks noChangeAspect="1"/>
            </wp:cNvGraphicFramePr>
            <a:graphic>
              <a:graphicData uri="http://schemas.openxmlformats.org/drawingml/2006/picture">
                <pic:pic>
                  <pic:nvPicPr>
                    <pic:cNvPr id="0" name="fig1b_dvc.jpg"/>
                    <pic:cNvPicPr/>
                  </pic:nvPicPr>
                  <pic:blipFill>
                    <a:blip r:embed="rId11"/>
                    <a:stretch>
                      <a:fillRect/>
                    </a:stretch>
                  </pic:blipFill>
                  <pic:spPr>
                    <a:xfrm>
                      <a:off x="0" y="0"/>
                      <a:ext cx="5486400" cy="1034540"/>
                    </a:xfrm>
                    <a:prstGeom prst="rect"/>
                  </pic:spPr>
                </pic:pic>
              </a:graphicData>
            </a:graphic>
          </wp:inline>
        </w:drawing>
      </w:r>
    </w:p>
    <w:p>
      <w:pPr>
        <w:spacing w:before="40" w:after="200"/>
        <w:jc w:val="center"/>
      </w:pPr>
      <w:r>
        <w:rPr>
          <w:rFonts w:ascii="Calibri" w:hAnsi="Calibri"/>
          <w:i/>
          <w:color w:val="555555"/>
          <w:sz w:val="18"/>
        </w:rPr>
        <w:t>Figure 1b. The datasets are tracked only as .dvc pointers, with an in-repo DVC remote, and DVC reports the data is up to date.</w:t>
      </w:r>
    </w:p>
    <w:p>
      <w:pPr>
        <w:spacing w:before="280" w:after="120"/>
        <w:pBdr>
          <w:bottom w:val="single" w:sz="6" w:space="2" w:color="8E3CC4"/>
        </w:pBdr>
      </w:pPr>
      <w:r>
        <w:rPr>
          <w:rFonts w:ascii="Calibri" w:hAnsi="Calibri"/>
          <w:b/>
          <w:color w:val="3B1E63"/>
          <w:sz w:val="30"/>
        </w:rPr>
        <w:t>04  The Data</w:t>
      </w:r>
    </w:p>
    <w:p>
      <w:pPr>
        <w:spacing w:after="120" w:before="0"/>
      </w:pPr>
      <w:r>
        <w:rPr>
          <w:rFonts w:ascii="Calibri" w:hAnsi="Calibri"/>
          <w:b w:val="0"/>
          <w:i w:val="0"/>
          <w:sz w:val="21"/>
        </w:rPr>
        <w:t>The dataset describes credit-card customers and whether each is high risk (likely to default). Version 1 has 800 rows and version 2 has 1,100 rows, where v2 contains every v1 row unchanged plus 300 new customers. The target is imbalanced: about 18.9 percent of customers are high risk.</w:t>
      </w:r>
    </w:p>
    <w:p>
      <w:pPr>
        <w:spacing w:before="180" w:after="60"/>
      </w:pPr>
      <w:r>
        <w:rPr>
          <w:rFonts w:ascii="Calibri" w:hAnsi="Calibri"/>
          <w:b/>
          <w:color w:val="8E3CC4"/>
          <w:sz w:val="24"/>
        </w:rPr>
        <w:t>Data dictionary</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val="clear" w:color="auto" w:fill="3B1E63"/>
          </w:tcPr>
          <w:p>
            <w:r/>
            <w:r>
              <w:rPr>
                <w:rFonts w:ascii="Calibri" w:hAnsi="Calibri"/>
                <w:b/>
                <w:color w:val="FFFFFF"/>
                <w:sz w:val="19"/>
              </w:rPr>
              <w:t>Column</w:t>
            </w:r>
          </w:p>
        </w:tc>
        <w:tc>
          <w:tcPr>
            <w:tcW w:type="dxa" w:w="1584"/>
            <w:shd w:val="clear" w:color="auto" w:fill="3B1E63"/>
          </w:tcPr>
          <w:p>
            <w:r/>
            <w:r>
              <w:rPr>
                <w:rFonts w:ascii="Calibri" w:hAnsi="Calibri"/>
                <w:b/>
                <w:color w:val="FFFFFF"/>
                <w:sz w:val="19"/>
              </w:rPr>
              <w:t>Type</w:t>
            </w:r>
          </w:p>
        </w:tc>
        <w:tc>
          <w:tcPr>
            <w:tcW w:type="dxa" w:w="5184"/>
            <w:shd w:val="clear" w:color="auto" w:fill="3B1E63"/>
          </w:tcPr>
          <w:p>
            <w:r/>
            <w:r>
              <w:rPr>
                <w:rFonts w:ascii="Calibri" w:hAnsi="Calibri"/>
                <w:b/>
                <w:color w:val="FFFFFF"/>
                <w:sz w:val="19"/>
              </w:rPr>
              <w:t>Notes</w:t>
            </w:r>
          </w:p>
        </w:tc>
      </w:tr>
      <w:tr>
        <w:tc>
          <w:tcPr>
            <w:tcW w:type="dxa" w:w="3024"/>
            <w:shd w:val="clear" w:color="auto" w:fill="FFFFFF"/>
          </w:tcPr>
          <w:p>
            <w:r/>
            <w:r>
              <w:rPr>
                <w:rFonts w:ascii="Calibri" w:hAnsi="Calibri"/>
                <w:b w:val="0"/>
                <w:sz w:val="18"/>
              </w:rPr>
              <w:t>Customer_ID</w:t>
            </w:r>
          </w:p>
        </w:tc>
        <w:tc>
          <w:tcPr>
            <w:tcW w:type="dxa" w:w="1584"/>
            <w:shd w:val="clear" w:color="auto" w:fill="FFFFFF"/>
          </w:tcPr>
          <w:p>
            <w:r/>
            <w:r>
              <w:rPr>
                <w:rFonts w:ascii="Calibri" w:hAnsi="Calibri"/>
                <w:b w:val="0"/>
                <w:sz w:val="18"/>
              </w:rPr>
              <w:t>string</w:t>
            </w:r>
          </w:p>
        </w:tc>
        <w:tc>
          <w:tcPr>
            <w:tcW w:type="dxa" w:w="5184"/>
            <w:shd w:val="clear" w:color="auto" w:fill="FFFFFF"/>
          </w:tcPr>
          <w:p>
            <w:r/>
            <w:r>
              <w:rPr>
                <w:rFonts w:ascii="Calibri" w:hAnsi="Calibri"/>
                <w:b w:val="0"/>
                <w:sz w:val="18"/>
              </w:rPr>
              <w:t>Identifier, dropped before modelling (never a predictor).</w:t>
            </w:r>
          </w:p>
        </w:tc>
      </w:tr>
      <w:tr>
        <w:tc>
          <w:tcPr>
            <w:tcW w:type="dxa" w:w="3024"/>
            <w:shd w:val="clear" w:color="auto" w:fill="F3EBFA"/>
          </w:tcPr>
          <w:p>
            <w:r/>
            <w:r>
              <w:rPr>
                <w:rFonts w:ascii="Calibri" w:hAnsi="Calibri"/>
                <w:b w:val="0"/>
                <w:sz w:val="18"/>
              </w:rPr>
              <w:t>Age</w:t>
            </w:r>
          </w:p>
        </w:tc>
        <w:tc>
          <w:tcPr>
            <w:tcW w:type="dxa" w:w="1584"/>
            <w:shd w:val="clear" w:color="auto" w:fill="F3EBFA"/>
          </w:tcPr>
          <w:p>
            <w:r/>
            <w:r>
              <w:rPr>
                <w:rFonts w:ascii="Calibri" w:hAnsi="Calibri"/>
                <w:b w:val="0"/>
                <w:sz w:val="18"/>
              </w:rPr>
              <w:t>int</w:t>
            </w:r>
          </w:p>
        </w:tc>
        <w:tc>
          <w:tcPr>
            <w:tcW w:type="dxa" w:w="5184"/>
            <w:shd w:val="clear" w:color="auto" w:fill="F3EBFA"/>
          </w:tcPr>
          <w:p>
            <w:r/>
            <w:r>
              <w:rPr>
                <w:rFonts w:ascii="Calibri" w:hAnsi="Calibri"/>
                <w:b w:val="0"/>
                <w:sz w:val="18"/>
              </w:rPr>
              <w:t>Customer age in years.</w:t>
            </w:r>
          </w:p>
        </w:tc>
      </w:tr>
      <w:tr>
        <w:tc>
          <w:tcPr>
            <w:tcW w:type="dxa" w:w="3024"/>
            <w:shd w:val="clear" w:color="auto" w:fill="FFFFFF"/>
          </w:tcPr>
          <w:p>
            <w:r/>
            <w:r>
              <w:rPr>
                <w:rFonts w:ascii="Calibri" w:hAnsi="Calibri"/>
                <w:b w:val="0"/>
                <w:sz w:val="18"/>
              </w:rPr>
              <w:t>Income_Bracket</w:t>
            </w:r>
          </w:p>
        </w:tc>
        <w:tc>
          <w:tcPr>
            <w:tcW w:type="dxa" w:w="1584"/>
            <w:shd w:val="clear" w:color="auto" w:fill="FFFFFF"/>
          </w:tcPr>
          <w:p>
            <w:r/>
            <w:r>
              <w:rPr>
                <w:rFonts w:ascii="Calibri" w:hAnsi="Calibri"/>
                <w:b w:val="0"/>
                <w:sz w:val="18"/>
              </w:rPr>
              <w:t>category</w:t>
            </w:r>
          </w:p>
        </w:tc>
        <w:tc>
          <w:tcPr>
            <w:tcW w:type="dxa" w:w="5184"/>
            <w:shd w:val="clear" w:color="auto" w:fill="FFFFFF"/>
          </w:tcPr>
          <w:p>
            <w:r/>
            <w:r>
              <w:rPr>
                <w:rFonts w:ascii="Calibri" w:hAnsi="Calibri"/>
                <w:b w:val="0"/>
                <w:sz w:val="18"/>
              </w:rPr>
              <w:t>Low / Medium / High; encoded as an ordinal 0 / 1 / 2.</w:t>
            </w:r>
          </w:p>
        </w:tc>
      </w:tr>
      <w:tr>
        <w:tc>
          <w:tcPr>
            <w:tcW w:type="dxa" w:w="3024"/>
            <w:shd w:val="clear" w:color="auto" w:fill="F3EBFA"/>
          </w:tcPr>
          <w:p>
            <w:r/>
            <w:r>
              <w:rPr>
                <w:rFonts w:ascii="Calibri" w:hAnsi="Calibri"/>
                <w:b w:val="0"/>
                <w:sz w:val="18"/>
              </w:rPr>
              <w:t>Credit_Limit</w:t>
            </w:r>
          </w:p>
        </w:tc>
        <w:tc>
          <w:tcPr>
            <w:tcW w:type="dxa" w:w="1584"/>
            <w:shd w:val="clear" w:color="auto" w:fill="F3EBFA"/>
          </w:tcPr>
          <w:p>
            <w:r/>
            <w:r>
              <w:rPr>
                <w:rFonts w:ascii="Calibri" w:hAnsi="Calibri"/>
                <w:b w:val="0"/>
                <w:sz w:val="18"/>
              </w:rPr>
              <w:t>float</w:t>
            </w:r>
          </w:p>
        </w:tc>
        <w:tc>
          <w:tcPr>
            <w:tcW w:type="dxa" w:w="5184"/>
            <w:shd w:val="clear" w:color="auto" w:fill="F3EBFA"/>
          </w:tcPr>
          <w:p>
            <w:r/>
            <w:r>
              <w:rPr>
                <w:rFonts w:ascii="Calibri" w:hAnsi="Calibri"/>
                <w:b w:val="0"/>
                <w:sz w:val="18"/>
              </w:rPr>
              <w:t>Approved limit (USD). 24 missing in v1, median-imputed.</w:t>
            </w:r>
          </w:p>
        </w:tc>
      </w:tr>
      <w:tr>
        <w:tc>
          <w:tcPr>
            <w:tcW w:type="dxa" w:w="3024"/>
            <w:shd w:val="clear" w:color="auto" w:fill="FFFFFF"/>
          </w:tcPr>
          <w:p>
            <w:r/>
            <w:r>
              <w:rPr>
                <w:rFonts w:ascii="Calibri" w:hAnsi="Calibri"/>
                <w:b w:val="0"/>
                <w:sz w:val="18"/>
              </w:rPr>
              <w:t>Current_Balance</w:t>
            </w:r>
          </w:p>
        </w:tc>
        <w:tc>
          <w:tcPr>
            <w:tcW w:type="dxa" w:w="1584"/>
            <w:shd w:val="clear" w:color="auto" w:fill="FFFFFF"/>
          </w:tcPr>
          <w:p>
            <w:r/>
            <w:r>
              <w:rPr>
                <w:rFonts w:ascii="Calibri" w:hAnsi="Calibri"/>
                <w:b w:val="0"/>
                <w:sz w:val="18"/>
              </w:rPr>
              <w:t>float</w:t>
            </w:r>
          </w:p>
        </w:tc>
        <w:tc>
          <w:tcPr>
            <w:tcW w:type="dxa" w:w="5184"/>
            <w:shd w:val="clear" w:color="auto" w:fill="FFFFFF"/>
          </w:tcPr>
          <w:p>
            <w:r/>
            <w:r>
              <w:rPr>
                <w:rFonts w:ascii="Calibri" w:hAnsi="Calibri"/>
                <w:b w:val="0"/>
                <w:sz w:val="18"/>
              </w:rPr>
              <w:t>Outstanding balance (USD). 24 missing in v1, median-imputed.</w:t>
            </w:r>
          </w:p>
        </w:tc>
      </w:tr>
      <w:tr>
        <w:tc>
          <w:tcPr>
            <w:tcW w:type="dxa" w:w="3024"/>
            <w:shd w:val="clear" w:color="auto" w:fill="F3EBFA"/>
          </w:tcPr>
          <w:p>
            <w:r/>
            <w:r>
              <w:rPr>
                <w:rFonts w:ascii="Calibri" w:hAnsi="Calibri"/>
                <w:b w:val="0"/>
                <w:sz w:val="18"/>
              </w:rPr>
              <w:t>Monthly_Spend</w:t>
            </w:r>
          </w:p>
        </w:tc>
        <w:tc>
          <w:tcPr>
            <w:tcW w:type="dxa" w:w="1584"/>
            <w:shd w:val="clear" w:color="auto" w:fill="F3EBFA"/>
          </w:tcPr>
          <w:p>
            <w:r/>
            <w:r>
              <w:rPr>
                <w:rFonts w:ascii="Calibri" w:hAnsi="Calibri"/>
                <w:b w:val="0"/>
                <w:sz w:val="18"/>
              </w:rPr>
              <w:t>float</w:t>
            </w:r>
          </w:p>
        </w:tc>
        <w:tc>
          <w:tcPr>
            <w:tcW w:type="dxa" w:w="5184"/>
            <w:shd w:val="clear" w:color="auto" w:fill="F3EBFA"/>
          </w:tcPr>
          <w:p>
            <w:r/>
            <w:r>
              <w:rPr>
                <w:rFonts w:ascii="Calibri" w:hAnsi="Calibri"/>
                <w:b w:val="0"/>
                <w:sz w:val="18"/>
              </w:rPr>
              <w:t>Average monthly spend (USD).</w:t>
            </w:r>
          </w:p>
        </w:tc>
      </w:tr>
      <w:tr>
        <w:tc>
          <w:tcPr>
            <w:tcW w:type="dxa" w:w="3024"/>
            <w:shd w:val="clear" w:color="auto" w:fill="FFFFFF"/>
          </w:tcPr>
          <w:p>
            <w:r/>
            <w:r>
              <w:rPr>
                <w:rFonts w:ascii="Calibri" w:hAnsi="Calibri"/>
                <w:b w:val="0"/>
                <w:sz w:val="18"/>
              </w:rPr>
              <w:t>Num_Transactions_Monthly</w:t>
            </w:r>
          </w:p>
        </w:tc>
        <w:tc>
          <w:tcPr>
            <w:tcW w:type="dxa" w:w="1584"/>
            <w:shd w:val="clear" w:color="auto" w:fill="FFFFFF"/>
          </w:tcPr>
          <w:p>
            <w:r/>
            <w:r>
              <w:rPr>
                <w:rFonts w:ascii="Calibri" w:hAnsi="Calibri"/>
                <w:b w:val="0"/>
                <w:sz w:val="18"/>
              </w:rPr>
              <w:t>int</w:t>
            </w:r>
          </w:p>
        </w:tc>
        <w:tc>
          <w:tcPr>
            <w:tcW w:type="dxa" w:w="5184"/>
            <w:shd w:val="clear" w:color="auto" w:fill="FFFFFF"/>
          </w:tcPr>
          <w:p>
            <w:r/>
            <w:r>
              <w:rPr>
                <w:rFonts w:ascii="Calibri" w:hAnsi="Calibri"/>
                <w:b w:val="0"/>
                <w:sz w:val="18"/>
              </w:rPr>
              <w:t>Transactions per month.</w:t>
            </w:r>
          </w:p>
        </w:tc>
      </w:tr>
      <w:tr>
        <w:tc>
          <w:tcPr>
            <w:tcW w:type="dxa" w:w="3024"/>
            <w:shd w:val="clear" w:color="auto" w:fill="F3EBFA"/>
          </w:tcPr>
          <w:p>
            <w:r/>
            <w:r>
              <w:rPr>
                <w:rFonts w:ascii="Calibri" w:hAnsi="Calibri"/>
                <w:b w:val="0"/>
                <w:sz w:val="18"/>
              </w:rPr>
              <w:t>Payment_Delay_Days</w:t>
            </w:r>
          </w:p>
        </w:tc>
        <w:tc>
          <w:tcPr>
            <w:tcW w:type="dxa" w:w="1584"/>
            <w:shd w:val="clear" w:color="auto" w:fill="F3EBFA"/>
          </w:tcPr>
          <w:p>
            <w:r/>
            <w:r>
              <w:rPr>
                <w:rFonts w:ascii="Calibri" w:hAnsi="Calibri"/>
                <w:b w:val="0"/>
                <w:sz w:val="18"/>
              </w:rPr>
              <w:t>int</w:t>
            </w:r>
          </w:p>
        </w:tc>
        <w:tc>
          <w:tcPr>
            <w:tcW w:type="dxa" w:w="5184"/>
            <w:shd w:val="clear" w:color="auto" w:fill="F3EBFA"/>
          </w:tcPr>
          <w:p>
            <w:r/>
            <w:r>
              <w:rPr>
                <w:rFonts w:ascii="Calibri" w:hAnsi="Calibri"/>
                <w:b w:val="0"/>
                <w:sz w:val="18"/>
              </w:rPr>
              <w:t>Average days late. 24 missing in v1, median-imputed.</w:t>
            </w:r>
          </w:p>
        </w:tc>
      </w:tr>
      <w:tr>
        <w:tc>
          <w:tcPr>
            <w:tcW w:type="dxa" w:w="3024"/>
            <w:shd w:val="clear" w:color="auto" w:fill="FFFFFF"/>
          </w:tcPr>
          <w:p>
            <w:r/>
            <w:r>
              <w:rPr>
                <w:rFonts w:ascii="Calibri" w:hAnsi="Calibri"/>
                <w:b w:val="0"/>
                <w:sz w:val="18"/>
              </w:rPr>
              <w:t>Tenure_Months</w:t>
            </w:r>
          </w:p>
        </w:tc>
        <w:tc>
          <w:tcPr>
            <w:tcW w:type="dxa" w:w="1584"/>
            <w:shd w:val="clear" w:color="auto" w:fill="FFFFFF"/>
          </w:tcPr>
          <w:p>
            <w:r/>
            <w:r>
              <w:rPr>
                <w:rFonts w:ascii="Calibri" w:hAnsi="Calibri"/>
                <w:b w:val="0"/>
                <w:sz w:val="18"/>
              </w:rPr>
              <w:t>int</w:t>
            </w:r>
          </w:p>
        </w:tc>
        <w:tc>
          <w:tcPr>
            <w:tcW w:type="dxa" w:w="5184"/>
            <w:shd w:val="clear" w:color="auto" w:fill="FFFFFF"/>
          </w:tcPr>
          <w:p>
            <w:r/>
            <w:r>
              <w:rPr>
                <w:rFonts w:ascii="Calibri" w:hAnsi="Calibri"/>
                <w:b w:val="0"/>
                <w:sz w:val="18"/>
              </w:rPr>
              <w:t>Months as a cardholder.</w:t>
            </w:r>
          </w:p>
        </w:tc>
      </w:tr>
      <w:tr>
        <w:tc>
          <w:tcPr>
            <w:tcW w:type="dxa" w:w="3024"/>
            <w:shd w:val="clear" w:color="auto" w:fill="F3EBFA"/>
          </w:tcPr>
          <w:p>
            <w:r/>
            <w:r>
              <w:rPr>
                <w:rFonts w:ascii="Calibri" w:hAnsi="Calibri"/>
                <w:b w:val="0"/>
                <w:sz w:val="18"/>
              </w:rPr>
              <w:t>High_Risk_Customer</w:t>
            </w:r>
          </w:p>
        </w:tc>
        <w:tc>
          <w:tcPr>
            <w:tcW w:type="dxa" w:w="1584"/>
            <w:shd w:val="clear" w:color="auto" w:fill="F3EBFA"/>
          </w:tcPr>
          <w:p>
            <w:r/>
            <w:r>
              <w:rPr>
                <w:rFonts w:ascii="Calibri" w:hAnsi="Calibri"/>
                <w:b w:val="0"/>
                <w:sz w:val="18"/>
              </w:rPr>
              <w:t>int (0/1)</w:t>
            </w:r>
          </w:p>
        </w:tc>
        <w:tc>
          <w:tcPr>
            <w:tcW w:type="dxa" w:w="5184"/>
            <w:shd w:val="clear" w:color="auto" w:fill="F3EBFA"/>
          </w:tcPr>
          <w:p>
            <w:r/>
            <w:r>
              <w:rPr>
                <w:rFonts w:ascii="Calibri" w:hAnsi="Calibri"/>
                <w:b w:val="0"/>
                <w:sz w:val="18"/>
              </w:rPr>
              <w:t>Target: 1 = likely to default.</w:t>
            </w:r>
          </w:p>
        </w:tc>
      </w:tr>
    </w:tbl>
    <w:p>
      <w:pPr>
        <w:spacing w:after="40"/>
      </w:pPr>
    </w:p>
    <w:p>
      <w:pPr>
        <w:spacing w:before="180" w:after="60"/>
      </w:pPr>
      <w:r>
        <w:rPr>
          <w:rFonts w:ascii="Calibri" w:hAnsi="Calibri"/>
          <w:b/>
          <w:color w:val="8E3CC4"/>
          <w:sz w:val="24"/>
        </w:rPr>
        <w:t>Missing values and imbalance</w:t>
      </w:r>
    </w:p>
    <w:p>
      <w:pPr>
        <w:spacing w:after="120" w:before="0"/>
      </w:pPr>
      <w:r>
        <w:rPr>
          <w:rFonts w:ascii="Calibri" w:hAnsi="Calibri"/>
          <w:b w:val="0"/>
          <w:i w:val="0"/>
          <w:sz w:val="21"/>
        </w:rPr>
        <w:t>Three money or count columns have missing values. We fill them with the median learned on the training split only, which is robust to the skew in these columns and cannot leak information from the test set. The imbalance is handled with class weighting in the models and, more importantly, by choosing a metric that focuses on the minority class (Section 09).</w:t>
      </w:r>
    </w:p>
    <w:p>
      <w:r>
        <w:br w:type="page"/>
      </w:r>
    </w:p>
    <w:p>
      <w:pPr>
        <w:spacing w:before="280" w:after="120"/>
        <w:pBdr>
          <w:bottom w:val="single" w:sz="6" w:space="2" w:color="8E3CC4"/>
        </w:pBdr>
      </w:pPr>
      <w:r>
        <w:rPr>
          <w:rFonts w:ascii="Calibri" w:hAnsi="Calibri"/>
          <w:b/>
          <w:color w:val="3B1E63"/>
          <w:sz w:val="30"/>
        </w:rPr>
        <w:t>05  Configuration Management (Task 3)</w:t>
      </w:r>
    </w:p>
    <w:p>
      <w:pPr>
        <w:spacing w:after="120" w:before="0"/>
      </w:pPr>
      <w:r>
        <w:rPr>
          <w:rFonts w:ascii="Calibri" w:hAnsi="Calibri"/>
          <w:b w:val="0"/>
          <w:i w:val="0"/>
          <w:sz w:val="21"/>
        </w:rPr>
        <w:t>No values are hard coded in the modelling code. Paths, the utilisation risk cut-off, the hyperparameter search space, the random seed, the MLflow settings and the quality-gate threshold are all set in YAML. Three environments are provided: dev for fast local work, ci for the gate, and full for the wide sweep.</w:t>
      </w:r>
    </w:p>
    <w:p>
      <w:pPr>
        <w:spacing w:before="180" w:after="60"/>
      </w:pPr>
      <w:r>
        <w:rPr>
          <w:rFonts w:ascii="Calibri" w:hAnsi="Calibri"/>
          <w:b/>
          <w:color w:val="8E3CC4"/>
          <w:sz w:val="24"/>
        </w:rPr>
        <w:t>A slice of the CI configuration</w:t>
      </w:r>
    </w:p>
    <w:p>
      <w:pPr>
        <w:spacing w:after="0" w:before="0"/>
        <w:shd w:val="clear" w:color="auto" w:fill="F3EBFA"/>
      </w:pPr>
      <w:r>
        <w:rPr>
          <w:rFonts w:ascii="Consolas" w:hAnsi="Consolas"/>
          <w:color w:val="2A1245"/>
          <w:sz w:val="17"/>
        </w:rPr>
        <w:t>data:</w:t>
      </w:r>
    </w:p>
    <w:p>
      <w:pPr>
        <w:spacing w:after="0" w:before="0"/>
        <w:shd w:val="clear" w:color="auto" w:fill="F3EBFA"/>
      </w:pPr>
      <w:r>
        <w:rPr>
          <w:rFonts w:ascii="Consolas" w:hAnsi="Consolas"/>
          <w:color w:val="2A1245"/>
          <w:sz w:val="17"/>
        </w:rPr>
        <w:t xml:space="preserve">  version: v1</w:t>
      </w:r>
    </w:p>
    <w:p>
      <w:pPr>
        <w:spacing w:after="0" w:before="0"/>
        <w:shd w:val="clear" w:color="auto" w:fill="F3EBFA"/>
      </w:pPr>
      <w:r>
        <w:rPr>
          <w:rFonts w:ascii="Consolas" w:hAnsi="Consolas"/>
          <w:color w:val="2A1245"/>
          <w:sz w:val="17"/>
        </w:rPr>
        <w:t xml:space="preserve">  path: data/credit_card_customers_v1.csv</w:t>
      </w:r>
    </w:p>
    <w:p>
      <w:pPr>
        <w:spacing w:after="0" w:before="0"/>
        <w:shd w:val="clear" w:color="auto" w:fill="F3EBFA"/>
      </w:pPr>
      <w:r>
        <w:rPr>
          <w:rFonts w:ascii="Consolas" w:hAnsi="Consolas"/>
          <w:color w:val="2A1245"/>
          <w:sz w:val="17"/>
        </w:rPr>
        <w:t>features:</w:t>
      </w:r>
    </w:p>
    <w:p>
      <w:pPr>
        <w:spacing w:after="0" w:before="0"/>
        <w:shd w:val="clear" w:color="auto" w:fill="F3EBFA"/>
      </w:pPr>
      <w:r>
        <w:rPr>
          <w:rFonts w:ascii="Consolas" w:hAnsi="Consolas"/>
          <w:color w:val="2A1245"/>
          <w:sz w:val="17"/>
        </w:rPr>
        <w:t xml:space="preserve">  utilisation_high_cutoff: 0.5     # risk cut-off, tunable without code</w:t>
      </w:r>
    </w:p>
    <w:p>
      <w:pPr>
        <w:spacing w:after="0" w:before="0"/>
        <w:shd w:val="clear" w:color="auto" w:fill="F3EBFA"/>
      </w:pPr>
      <w:r>
        <w:rPr>
          <w:rFonts w:ascii="Consolas" w:hAnsi="Consolas"/>
          <w:color w:val="2A1245"/>
          <w:sz w:val="17"/>
        </w:rPr>
        <w:t xml:space="preserve">  payment_delay_flag_days: 5</w:t>
      </w:r>
    </w:p>
    <w:p>
      <w:pPr>
        <w:spacing w:after="0" w:before="0"/>
        <w:shd w:val="clear" w:color="auto" w:fill="F3EBFA"/>
      </w:pPr>
      <w:r>
        <w:rPr>
          <w:rFonts w:ascii="Consolas" w:hAnsi="Consolas"/>
          <w:color w:val="2A1245"/>
          <w:sz w:val="17"/>
        </w:rPr>
        <w:t>training:</w:t>
      </w:r>
    </w:p>
    <w:p>
      <w:pPr>
        <w:spacing w:after="0" w:before="0"/>
        <w:shd w:val="clear" w:color="auto" w:fill="F3EBFA"/>
      </w:pPr>
      <w:r>
        <w:rPr>
          <w:rFonts w:ascii="Consolas" w:hAnsi="Consolas"/>
          <w:color w:val="2A1245"/>
          <w:sz w:val="17"/>
        </w:rPr>
        <w:t xml:space="preserve">  seeds: [42]</w:t>
      </w:r>
    </w:p>
    <w:p>
      <w:pPr>
        <w:spacing w:after="0" w:before="0"/>
        <w:shd w:val="clear" w:color="auto" w:fill="F3EBFA"/>
      </w:pPr>
      <w:r>
        <w:rPr>
          <w:rFonts w:ascii="Consolas" w:hAnsi="Consolas"/>
          <w:color w:val="2A1245"/>
          <w:sz w:val="17"/>
        </w:rPr>
        <w:t xml:space="preserve">  models: [logistic_regression, random_forest]</w:t>
      </w:r>
    </w:p>
    <w:p>
      <w:pPr>
        <w:spacing w:after="0" w:before="0"/>
        <w:shd w:val="clear" w:color="auto" w:fill="F3EBFA"/>
      </w:pPr>
      <w:r>
        <w:rPr>
          <w:rFonts w:ascii="Consolas" w:hAnsi="Consolas"/>
          <w:color w:val="2A1245"/>
          <w:sz w:val="17"/>
        </w:rPr>
        <w:t>gate:</w:t>
      </w:r>
    </w:p>
    <w:p>
      <w:pPr>
        <w:spacing w:after="0" w:before="0"/>
        <w:shd w:val="clear" w:color="auto" w:fill="F3EBFA"/>
      </w:pPr>
      <w:r>
        <w:rPr>
          <w:rFonts w:ascii="Consolas" w:hAnsi="Consolas"/>
          <w:color w:val="2A1245"/>
          <w:sz w:val="17"/>
        </w:rPr>
        <w:t xml:space="preserve">  metric: average_precision</w:t>
      </w:r>
    </w:p>
    <w:p>
      <w:pPr>
        <w:spacing w:after="0" w:before="0"/>
        <w:shd w:val="clear" w:color="auto" w:fill="F3EBFA"/>
      </w:pPr>
      <w:r>
        <w:rPr>
          <w:rFonts w:ascii="Consolas" w:hAnsi="Consolas"/>
          <w:color w:val="2A1245"/>
          <w:sz w:val="17"/>
        </w:rPr>
        <w:t xml:space="preserve">  tolerance: 0.01                  # allowed drop vs baseline</w:t>
      </w:r>
    </w:p>
    <w:p>
      <w:pPr>
        <w:spacing w:after="0" w:before="0"/>
        <w:shd w:val="clear" w:color="auto" w:fill="F3EBFA"/>
      </w:pPr>
      <w:r>
        <w:rPr>
          <w:rFonts w:ascii="Consolas" w:hAnsi="Consolas"/>
          <w:color w:val="2A1245"/>
          <w:sz w:val="17"/>
        </w:rPr>
        <w:t xml:space="preserve">  baseline_path: baseline/baseline_metrics.json</w:t>
      </w:r>
    </w:p>
    <w:p>
      <w:pPr>
        <w:spacing w:after="80"/>
      </w:pPr>
    </w:p>
    <w:p>
      <w:pPr>
        <w:spacing w:after="120" w:before="0"/>
      </w:pPr>
      <w:r>
        <w:rPr>
          <w:rFonts w:ascii="Calibri" w:hAnsi="Calibri"/>
          <w:b w:val="0"/>
          <w:i w:val="0"/>
          <w:sz w:val="21"/>
        </w:rPr>
        <w:t>Configs are validated by Pydantic the moment they load. A broken config fails at once with a clear message, and unknown keys are rejected so a typo cannot pass silently. The exact config is stored as an artefact with every run, so each result carries the settings that produced it.</w:t>
      </w:r>
    </w:p>
    <w:p>
      <w:pPr>
        <w:spacing w:before="80" w:after="40"/>
        <w:jc w:val="center"/>
        <w:pBdr>
          <w:top w:val="single" w:sz="4" w:space="4" w:color="C9B8DC"/>
          <w:bottom w:val="single" w:sz="4" w:space="4" w:color="C9B8DC"/>
          <w:left w:val="single" w:sz="4" w:space="4" w:color="C9B8DC"/>
          <w:right w:val="single" w:sz="4" w:space="4" w:color="C9B8DC"/>
        </w:pBdr>
      </w:pPr>
      <w:r>
        <w:drawing>
          <wp:inline xmlns:a="http://schemas.openxmlformats.org/drawingml/2006/main" xmlns:pic="http://schemas.openxmlformats.org/drawingml/2006/picture">
            <wp:extent cx="5669280" cy="847134"/>
            <wp:docPr id="3" name="Picture 3"/>
            <wp:cNvGraphicFramePr>
              <a:graphicFrameLocks noChangeAspect="1"/>
            </wp:cNvGraphicFramePr>
            <a:graphic>
              <a:graphicData uri="http://schemas.openxmlformats.org/drawingml/2006/picture">
                <pic:pic>
                  <pic:nvPicPr>
                    <pic:cNvPr id="0" name="fig2_broken_config.jpg"/>
                    <pic:cNvPicPr/>
                  </pic:nvPicPr>
                  <pic:blipFill>
                    <a:blip r:embed="rId12"/>
                    <a:stretch>
                      <a:fillRect/>
                    </a:stretch>
                  </pic:blipFill>
                  <pic:spPr>
                    <a:xfrm>
                      <a:off x="0" y="0"/>
                      <a:ext cx="5669280" cy="847134"/>
                    </a:xfrm>
                    <a:prstGeom prst="rect"/>
                  </pic:spPr>
                </pic:pic>
              </a:graphicData>
            </a:graphic>
          </wp:inline>
        </w:drawing>
      </w:r>
    </w:p>
    <w:p>
      <w:pPr>
        <w:spacing w:before="40" w:after="200"/>
        <w:jc w:val="center"/>
      </w:pPr>
      <w:r>
        <w:rPr>
          <w:rFonts w:ascii="Calibri" w:hAnsi="Calibri"/>
          <w:i/>
          <w:color w:val="555555"/>
          <w:sz w:val="18"/>
        </w:rPr>
        <w:t>Figure 2. A deliberately broken config (test_size set to 5.0) is rejected at load time with a clear, specific message that names the offending field.</w:t>
      </w:r>
    </w:p>
    <w:p>
      <w:r>
        <w:br w:type="page"/>
      </w:r>
    </w:p>
    <w:p>
      <w:pPr>
        <w:spacing w:before="280" w:after="120"/>
        <w:pBdr>
          <w:bottom w:val="single" w:sz="6" w:space="2" w:color="8E3CC4"/>
        </w:pBdr>
      </w:pPr>
      <w:r>
        <w:rPr>
          <w:rFonts w:ascii="Calibri" w:hAnsi="Calibri"/>
          <w:b/>
          <w:color w:val="3B1E63"/>
          <w:sz w:val="30"/>
        </w:rPr>
        <w:t>06  Cleaning and Feature Engineering (Task 4)</w:t>
      </w:r>
    </w:p>
    <w:p>
      <w:pPr>
        <w:spacing w:after="120" w:before="0"/>
      </w:pPr>
      <w:r>
        <w:rPr>
          <w:rFonts w:ascii="Calibri" w:hAnsi="Calibri"/>
          <w:b w:val="0"/>
          <w:i w:val="0"/>
          <w:sz w:val="21"/>
        </w:rPr>
        <w:t>All transformations live in one fit and transform component, FeatureEngineer. Whatever it needs for new data (the imputation medians and the exact output columns) is learned on the training split and reapplied unchanged, so training and later inference use identical logic and there is no train and serve skew. Customer_ID is dropped and the target is never read during feature building, so there is no leakage.</w:t>
      </w:r>
    </w:p>
    <w:p>
      <w:pPr>
        <w:spacing w:before="180" w:after="60"/>
      </w:pPr>
      <w:r>
        <w:rPr>
          <w:rFonts w:ascii="Calibri" w:hAnsi="Calibri"/>
          <w:b/>
          <w:color w:val="8E3CC4"/>
          <w:sz w:val="24"/>
        </w:rPr>
        <w:t>Engineered features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232"/>
            <w:shd w:val="clear" w:color="auto" w:fill="3B1E63"/>
          </w:tcPr>
          <w:p>
            <w:r/>
            <w:r>
              <w:rPr>
                <w:rFonts w:ascii="Calibri" w:hAnsi="Calibri"/>
                <w:b/>
                <w:color w:val="FFFFFF"/>
                <w:sz w:val="19"/>
              </w:rPr>
              <w:t>Feature</w:t>
            </w:r>
          </w:p>
        </w:tc>
        <w:tc>
          <w:tcPr>
            <w:tcW w:type="dxa" w:w="1296"/>
            <w:shd w:val="clear" w:color="auto" w:fill="3B1E63"/>
          </w:tcPr>
          <w:p>
            <w:r/>
            <w:r>
              <w:rPr>
                <w:rFonts w:ascii="Calibri" w:hAnsi="Calibri"/>
                <w:b/>
                <w:color w:val="FFFFFF"/>
                <w:sz w:val="19"/>
              </w:rPr>
              <w:t>Type</w:t>
            </w:r>
          </w:p>
        </w:tc>
        <w:tc>
          <w:tcPr>
            <w:tcW w:type="dxa" w:w="2952"/>
            <w:shd w:val="clear" w:color="auto" w:fill="3B1E63"/>
          </w:tcPr>
          <w:p>
            <w:r/>
            <w:r>
              <w:rPr>
                <w:rFonts w:ascii="Calibri" w:hAnsi="Calibri"/>
                <w:b/>
                <w:color w:val="FFFFFF"/>
                <w:sz w:val="19"/>
              </w:rPr>
              <w:t>Formula</w:t>
            </w:r>
          </w:p>
        </w:tc>
        <w:tc>
          <w:tcPr>
            <w:tcW w:type="dxa" w:w="3312"/>
            <w:shd w:val="clear" w:color="auto" w:fill="3B1E63"/>
          </w:tcPr>
          <w:p>
            <w:r/>
            <w:r>
              <w:rPr>
                <w:rFonts w:ascii="Calibri" w:hAnsi="Calibri"/>
                <w:b/>
                <w:color w:val="FFFFFF"/>
                <w:sz w:val="19"/>
              </w:rPr>
              <w:t>Reason</w:t>
            </w:r>
          </w:p>
        </w:tc>
      </w:tr>
      <w:tr>
        <w:tc>
          <w:tcPr>
            <w:tcW w:type="dxa" w:w="2232"/>
            <w:shd w:val="clear" w:color="auto" w:fill="FFFFFF"/>
          </w:tcPr>
          <w:p>
            <w:r/>
            <w:r>
              <w:rPr>
                <w:rFonts w:ascii="Calibri" w:hAnsi="Calibri"/>
                <w:b w:val="0"/>
                <w:sz w:val="18"/>
              </w:rPr>
              <w:t>credit_utilisation</w:t>
            </w:r>
          </w:p>
        </w:tc>
        <w:tc>
          <w:tcPr>
            <w:tcW w:type="dxa" w:w="1296"/>
            <w:shd w:val="clear" w:color="auto" w:fill="FFFFFF"/>
          </w:tcPr>
          <w:p>
            <w:r/>
            <w:r>
              <w:rPr>
                <w:rFonts w:ascii="Calibri" w:hAnsi="Calibri"/>
                <w:b w:val="0"/>
                <w:sz w:val="18"/>
              </w:rPr>
              <w:t>ratio</w:t>
            </w:r>
          </w:p>
        </w:tc>
        <w:tc>
          <w:tcPr>
            <w:tcW w:type="dxa" w:w="2952"/>
            <w:shd w:val="clear" w:color="auto" w:fill="FFFFFF"/>
          </w:tcPr>
          <w:p>
            <w:r/>
            <w:r>
              <w:rPr>
                <w:rFonts w:ascii="Calibri" w:hAnsi="Calibri"/>
                <w:b w:val="0"/>
                <w:sz w:val="18"/>
              </w:rPr>
              <w:t>Current_Balance / Credit_Limit</w:t>
            </w:r>
          </w:p>
        </w:tc>
        <w:tc>
          <w:tcPr>
            <w:tcW w:type="dxa" w:w="3312"/>
            <w:shd w:val="clear" w:color="auto" w:fill="FFFFFF"/>
          </w:tcPr>
          <w:p>
            <w:r/>
            <w:r>
              <w:rPr>
                <w:rFonts w:ascii="Calibri" w:hAnsi="Calibri"/>
                <w:b w:val="0"/>
                <w:sz w:val="18"/>
              </w:rPr>
              <w:t>Utilisation is the strongest consumer-credit risk signal. Zero limit guarded to 0.</w:t>
            </w:r>
          </w:p>
        </w:tc>
      </w:tr>
      <w:tr>
        <w:tc>
          <w:tcPr>
            <w:tcW w:type="dxa" w:w="2232"/>
            <w:shd w:val="clear" w:color="auto" w:fill="F3EBFA"/>
          </w:tcPr>
          <w:p>
            <w:r/>
            <w:r>
              <w:rPr>
                <w:rFonts w:ascii="Calibri" w:hAnsi="Calibri"/>
                <w:b w:val="0"/>
                <w:sz w:val="18"/>
              </w:rPr>
              <w:t>high_utilisation_flag</w:t>
            </w:r>
          </w:p>
        </w:tc>
        <w:tc>
          <w:tcPr>
            <w:tcW w:type="dxa" w:w="1296"/>
            <w:shd w:val="clear" w:color="auto" w:fill="F3EBFA"/>
          </w:tcPr>
          <w:p>
            <w:r/>
            <w:r>
              <w:rPr>
                <w:rFonts w:ascii="Calibri" w:hAnsi="Calibri"/>
                <w:b w:val="0"/>
                <w:sz w:val="18"/>
              </w:rPr>
              <w:t>binary</w:t>
            </w:r>
          </w:p>
        </w:tc>
        <w:tc>
          <w:tcPr>
            <w:tcW w:type="dxa" w:w="2952"/>
            <w:shd w:val="clear" w:color="auto" w:fill="F3EBFA"/>
          </w:tcPr>
          <w:p>
            <w:r/>
            <w:r>
              <w:rPr>
                <w:rFonts w:ascii="Calibri" w:hAnsi="Calibri"/>
                <w:b w:val="0"/>
                <w:sz w:val="18"/>
              </w:rPr>
              <w:t>utilisation &gt;= cut-off (0.5)</w:t>
            </w:r>
          </w:p>
        </w:tc>
        <w:tc>
          <w:tcPr>
            <w:tcW w:type="dxa" w:w="3312"/>
            <w:shd w:val="clear" w:color="auto" w:fill="F3EBFA"/>
          </w:tcPr>
          <w:p>
            <w:r/>
            <w:r>
              <w:rPr>
                <w:rFonts w:ascii="Calibri" w:hAnsi="Calibri"/>
                <w:b w:val="0"/>
                <w:sz w:val="18"/>
              </w:rPr>
              <w:t>A danger zone above a cut-off the risk team can tune in config.</w:t>
            </w:r>
          </w:p>
        </w:tc>
      </w:tr>
      <w:tr>
        <w:tc>
          <w:tcPr>
            <w:tcW w:type="dxa" w:w="2232"/>
            <w:shd w:val="clear" w:color="auto" w:fill="FFFFFF"/>
          </w:tcPr>
          <w:p>
            <w:r/>
            <w:r>
              <w:rPr>
                <w:rFonts w:ascii="Calibri" w:hAnsi="Calibri"/>
                <w:b w:val="0"/>
                <w:sz w:val="18"/>
              </w:rPr>
              <w:t>late_payer_flag</w:t>
            </w:r>
          </w:p>
        </w:tc>
        <w:tc>
          <w:tcPr>
            <w:tcW w:type="dxa" w:w="1296"/>
            <w:shd w:val="clear" w:color="auto" w:fill="FFFFFF"/>
          </w:tcPr>
          <w:p>
            <w:r/>
            <w:r>
              <w:rPr>
                <w:rFonts w:ascii="Calibri" w:hAnsi="Calibri"/>
                <w:b w:val="0"/>
                <w:sz w:val="18"/>
              </w:rPr>
              <w:t>binary</w:t>
            </w:r>
          </w:p>
        </w:tc>
        <w:tc>
          <w:tcPr>
            <w:tcW w:type="dxa" w:w="2952"/>
            <w:shd w:val="clear" w:color="auto" w:fill="FFFFFF"/>
          </w:tcPr>
          <w:p>
            <w:r/>
            <w:r>
              <w:rPr>
                <w:rFonts w:ascii="Calibri" w:hAnsi="Calibri"/>
                <w:b w:val="0"/>
                <w:sz w:val="18"/>
              </w:rPr>
              <w:t>Payment_Delay_Days &gt;= 5</w:t>
            </w:r>
          </w:p>
        </w:tc>
        <w:tc>
          <w:tcPr>
            <w:tcW w:type="dxa" w:w="3312"/>
            <w:shd w:val="clear" w:color="auto" w:fill="FFFFFF"/>
          </w:tcPr>
          <w:p>
            <w:r/>
            <w:r>
              <w:rPr>
                <w:rFonts w:ascii="Calibri" w:hAnsi="Calibri"/>
                <w:b w:val="0"/>
                <w:sz w:val="18"/>
              </w:rPr>
              <w:t>Consistent lateness is a known default precursor.</w:t>
            </w:r>
          </w:p>
        </w:tc>
      </w:tr>
      <w:tr>
        <w:tc>
          <w:tcPr>
            <w:tcW w:type="dxa" w:w="2232"/>
            <w:shd w:val="clear" w:color="auto" w:fill="F3EBFA"/>
          </w:tcPr>
          <w:p>
            <w:r/>
            <w:r>
              <w:rPr>
                <w:rFonts w:ascii="Calibri" w:hAnsi="Calibri"/>
                <w:b w:val="0"/>
                <w:sz w:val="18"/>
              </w:rPr>
              <w:t>age_band</w:t>
            </w:r>
          </w:p>
        </w:tc>
        <w:tc>
          <w:tcPr>
            <w:tcW w:type="dxa" w:w="1296"/>
            <w:shd w:val="clear" w:color="auto" w:fill="F3EBFA"/>
          </w:tcPr>
          <w:p>
            <w:r/>
            <w:r>
              <w:rPr>
                <w:rFonts w:ascii="Calibri" w:hAnsi="Calibri"/>
                <w:b w:val="0"/>
                <w:sz w:val="18"/>
              </w:rPr>
              <w:t>binned</w:t>
            </w:r>
          </w:p>
        </w:tc>
        <w:tc>
          <w:tcPr>
            <w:tcW w:type="dxa" w:w="2952"/>
            <w:shd w:val="clear" w:color="auto" w:fill="F3EBFA"/>
          </w:tcPr>
          <w:p>
            <w:r/>
            <w:r>
              <w:rPr>
                <w:rFonts w:ascii="Calibri" w:hAnsi="Calibri"/>
                <w:b w:val="0"/>
                <w:sz w:val="18"/>
              </w:rPr>
              <w:t>Age cut into 4 bands, one-hot</w:t>
            </w:r>
          </w:p>
        </w:tc>
        <w:tc>
          <w:tcPr>
            <w:tcW w:type="dxa" w:w="3312"/>
            <w:shd w:val="clear" w:color="auto" w:fill="F3EBFA"/>
          </w:tcPr>
          <w:p>
            <w:r/>
            <w:r>
              <w:rPr>
                <w:rFonts w:ascii="Calibri" w:hAnsi="Calibri"/>
                <w:b w:val="0"/>
                <w:sz w:val="18"/>
              </w:rPr>
              <w:t>Risk is not linear in age, so bands fit each life stage.</w:t>
            </w:r>
          </w:p>
        </w:tc>
      </w:tr>
      <w:tr>
        <w:tc>
          <w:tcPr>
            <w:tcW w:type="dxa" w:w="2232"/>
            <w:shd w:val="clear" w:color="auto" w:fill="FFFFFF"/>
          </w:tcPr>
          <w:p>
            <w:r/>
            <w:r>
              <w:rPr>
                <w:rFonts w:ascii="Calibri" w:hAnsi="Calibri"/>
                <w:b w:val="0"/>
                <w:sz w:val="18"/>
              </w:rPr>
              <w:t>avg_transaction_value</w:t>
            </w:r>
          </w:p>
        </w:tc>
        <w:tc>
          <w:tcPr>
            <w:tcW w:type="dxa" w:w="1296"/>
            <w:shd w:val="clear" w:color="auto" w:fill="FFFFFF"/>
          </w:tcPr>
          <w:p>
            <w:r/>
            <w:r>
              <w:rPr>
                <w:rFonts w:ascii="Calibri" w:hAnsi="Calibri"/>
                <w:b w:val="0"/>
                <w:sz w:val="18"/>
              </w:rPr>
              <w:t>own design</w:t>
            </w:r>
          </w:p>
        </w:tc>
        <w:tc>
          <w:tcPr>
            <w:tcW w:type="dxa" w:w="2952"/>
            <w:shd w:val="clear" w:color="auto" w:fill="FFFFFF"/>
          </w:tcPr>
          <w:p>
            <w:r/>
            <w:r>
              <w:rPr>
                <w:rFonts w:ascii="Calibri" w:hAnsi="Calibri"/>
                <w:b w:val="0"/>
                <w:sz w:val="18"/>
              </w:rPr>
              <w:t>Monthly_Spend / Num_Transactions</w:t>
            </w:r>
          </w:p>
        </w:tc>
        <w:tc>
          <w:tcPr>
            <w:tcW w:type="dxa" w:w="3312"/>
            <w:shd w:val="clear" w:color="auto" w:fill="FFFFFF"/>
          </w:tcPr>
          <w:p>
            <w:r/>
            <w:r>
              <w:rPr>
                <w:rFonts w:ascii="Calibri" w:hAnsi="Calibri"/>
                <w:b w:val="0"/>
                <w:sz w:val="18"/>
              </w:rPr>
              <w:t>Many tiny transactions can signal cash-flow stress. Zero transactions guarded to 0.</w:t>
            </w:r>
          </w:p>
        </w:tc>
      </w:tr>
    </w:tbl>
    <w:p>
      <w:pPr>
        <w:spacing w:after="40"/>
      </w:pPr>
    </w:p>
    <w:p>
      <w:pPr>
        <w:spacing w:before="180" w:after="60"/>
      </w:pPr>
      <w:r>
        <w:rPr>
          <w:rFonts w:ascii="Calibri" w:hAnsi="Calibri"/>
          <w:b/>
          <w:color w:val="8E3CC4"/>
          <w:sz w:val="24"/>
        </w:rPr>
        <w:t>The zero credit limit edge case</w:t>
      </w:r>
    </w:p>
    <w:p>
      <w:pPr>
        <w:spacing w:after="120" w:before="0"/>
      </w:pPr>
      <w:r>
        <w:rPr>
          <w:rFonts w:ascii="Calibri" w:hAnsi="Calibri"/>
          <w:b w:val="0"/>
          <w:i w:val="0"/>
          <w:sz w:val="21"/>
        </w:rPr>
        <w:t>Dividing by a zero credit limit would produce infinity. The code guards this, and a unit test pins the behaviour so a future change cannot reintroduce the bug.</w:t>
      </w:r>
    </w:p>
    <w:p>
      <w:pPr>
        <w:spacing w:after="0" w:before="0"/>
        <w:shd w:val="clear" w:color="auto" w:fill="F3EBFA"/>
      </w:pPr>
      <w:r>
        <w:rPr>
          <w:rFonts w:ascii="Consolas" w:hAnsi="Consolas"/>
          <w:color w:val="2A1245"/>
          <w:sz w:val="17"/>
        </w:rPr>
        <w:t>safe_cl = np.where(cl &gt; 0, cl, np.nan)</w:t>
      </w:r>
    </w:p>
    <w:p>
      <w:pPr>
        <w:spacing w:after="0" w:before="0"/>
        <w:shd w:val="clear" w:color="auto" w:fill="F3EBFA"/>
      </w:pPr>
      <w:r>
        <w:rPr>
          <w:rFonts w:ascii="Consolas" w:hAnsi="Consolas"/>
          <w:color w:val="2A1245"/>
          <w:sz w:val="17"/>
        </w:rPr>
        <w:t>util = np.divide(bal, safe_cl, out=np.zeros_like(bal), where=~np.isnan(safe_cl))</w:t>
      </w:r>
    </w:p>
    <w:p>
      <w:pPr>
        <w:spacing w:after="0" w:before="0"/>
        <w:shd w:val="clear" w:color="auto" w:fill="F3EBFA"/>
      </w:pPr>
      <w:r>
        <w:rPr>
          <w:rFonts w:ascii="Consolas" w:hAnsi="Consolas"/>
          <w:color w:val="2A1245"/>
          <w:sz w:val="17"/>
        </w:rPr>
        <w:t>util = np.nan_to_num(util, nan=0.0, posinf=0.0, neginf=0.0)   # zero limit -&gt; 0</w:t>
      </w:r>
    </w:p>
    <w:p>
      <w:pPr>
        <w:spacing w:after="80"/>
      </w:pPr>
    </w:p>
    <w:p>
      <w:pPr>
        <w:spacing w:after="120" w:before="0"/>
      </w:pPr>
      <w:r>
        <w:rPr>
          <w:rFonts w:ascii="Calibri" w:hAnsi="Calibri"/>
          <w:b w:val="0"/>
          <w:i w:val="0"/>
          <w:sz w:val="21"/>
        </w:rPr>
        <w:t>Income_Bracket is ordinal, so it is encoded as Low 0, Medium 1, High 2 rather than one-hot. Nine unit tests cover the feature logic, including the zero credit limit, zero transactions, median imputation and stable output columns on unseen data.</w:t>
      </w:r>
    </w:p>
    <w:p>
      <w:r>
        <w:br w:type="page"/>
      </w:r>
    </w:p>
    <w:p>
      <w:pPr>
        <w:spacing w:before="280" w:after="120"/>
        <w:pBdr>
          <w:bottom w:val="single" w:sz="6" w:space="2" w:color="8E3CC4"/>
        </w:pBdr>
      </w:pPr>
      <w:r>
        <w:rPr>
          <w:rFonts w:ascii="Calibri" w:hAnsi="Calibri"/>
          <w:b/>
          <w:color w:val="3B1E63"/>
          <w:sz w:val="30"/>
        </w:rPr>
        <w:t>07  Model Training and Tuning (Task 5)</w:t>
      </w:r>
    </w:p>
    <w:p>
      <w:pPr>
        <w:spacing w:after="120" w:before="0"/>
      </w:pPr>
      <w:r>
        <w:rPr>
          <w:rFonts w:ascii="Calibri" w:hAnsi="Calibri"/>
          <w:b w:val="0"/>
          <w:i w:val="0"/>
          <w:sz w:val="21"/>
        </w:rPr>
        <w:t>We establish a baseline and tune two model families, Logistic Regression and Random Forest, over several hyperparameters and three random seeds (42, 7, 123). This produces 21 tracked runs, above the ten required. Logistic Regression is scaled and class-weighted; Random Forest is class-weighted. The final model is selected by PR-AUC.</w:t>
      </w:r>
    </w:p>
    <w:p>
      <w:pPr>
        <w:spacing w:before="180" w:after="60"/>
      </w:pPr>
      <w:r>
        <w:rPr>
          <w:rFonts w:ascii="Calibri" w:hAnsi="Calibri"/>
          <w:b/>
          <w:color w:val="8E3CC4"/>
          <w:sz w:val="24"/>
        </w:rPr>
        <w:t>Top tracked runs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3024"/>
            <w:shd w:val="clear" w:color="auto" w:fill="3B1E63"/>
          </w:tcPr>
          <w:p>
            <w:r/>
            <w:r>
              <w:rPr>
                <w:rFonts w:ascii="Calibri" w:hAnsi="Calibri"/>
                <w:b/>
                <w:color w:val="FFFFFF"/>
                <w:sz w:val="19"/>
              </w:rPr>
              <w:t>Run</w:t>
            </w:r>
          </w:p>
        </w:tc>
        <w:tc>
          <w:tcPr>
            <w:tcW w:type="dxa" w:w="1872"/>
            <w:shd w:val="clear" w:color="auto" w:fill="3B1E63"/>
          </w:tcPr>
          <w:p>
            <w:r/>
            <w:r>
              <w:rPr>
                <w:rFonts w:ascii="Calibri" w:hAnsi="Calibri"/>
                <w:b/>
                <w:color w:val="FFFFFF"/>
                <w:sz w:val="19"/>
              </w:rPr>
              <w:t>Family</w:t>
            </w:r>
          </w:p>
        </w:tc>
        <w:tc>
          <w:tcPr>
            <w:tcW w:type="dxa" w:w="792"/>
            <w:shd w:val="clear" w:color="auto" w:fill="3B1E63"/>
          </w:tcPr>
          <w:p>
            <w:r/>
            <w:r>
              <w:rPr>
                <w:rFonts w:ascii="Calibri" w:hAnsi="Calibri"/>
                <w:b/>
                <w:color w:val="FFFFFF"/>
                <w:sz w:val="19"/>
              </w:rPr>
              <w:t>Seed</w:t>
            </w:r>
          </w:p>
        </w:tc>
        <w:tc>
          <w:tcPr>
            <w:tcW w:type="dxa" w:w="1224"/>
            <w:shd w:val="clear" w:color="auto" w:fill="3B1E63"/>
          </w:tcPr>
          <w:p>
            <w:r/>
            <w:r>
              <w:rPr>
                <w:rFonts w:ascii="Calibri" w:hAnsi="Calibri"/>
                <w:b/>
                <w:color w:val="FFFFFF"/>
                <w:sz w:val="19"/>
              </w:rPr>
              <w:t>PR-AUC</w:t>
            </w:r>
          </w:p>
        </w:tc>
        <w:tc>
          <w:tcPr>
            <w:tcW w:type="dxa" w:w="1224"/>
            <w:shd w:val="clear" w:color="auto" w:fill="3B1E63"/>
          </w:tcPr>
          <w:p>
            <w:r/>
            <w:r>
              <w:rPr>
                <w:rFonts w:ascii="Calibri" w:hAnsi="Calibri"/>
                <w:b/>
                <w:color w:val="FFFFFF"/>
                <w:sz w:val="19"/>
              </w:rPr>
              <w:t>ROC-AUC</w:t>
            </w:r>
          </w:p>
        </w:tc>
        <w:tc>
          <w:tcPr>
            <w:tcW w:type="dxa" w:w="936"/>
            <w:shd w:val="clear" w:color="auto" w:fill="3B1E63"/>
          </w:tcPr>
          <w:p>
            <w:r/>
            <w:r>
              <w:rPr>
                <w:rFonts w:ascii="Calibri" w:hAnsi="Calibri"/>
                <w:b/>
                <w:color w:val="FFFFFF"/>
                <w:sz w:val="19"/>
              </w:rPr>
              <w:t>F1</w:t>
            </w:r>
          </w:p>
        </w:tc>
        <w:tc>
          <w:tcPr>
            <w:tcW w:type="dxa" w:w="1224"/>
            <w:shd w:val="clear" w:color="auto" w:fill="3B1E63"/>
          </w:tcPr>
          <w:p>
            <w:r/>
            <w:r>
              <w:rPr>
                <w:rFonts w:ascii="Calibri" w:hAnsi="Calibri"/>
                <w:b/>
                <w:color w:val="FFFFFF"/>
                <w:sz w:val="19"/>
              </w:rPr>
              <w:t>Accuracy</w:t>
            </w:r>
          </w:p>
        </w:tc>
      </w:tr>
      <w:tr>
        <w:tc>
          <w:tcPr>
            <w:tcW w:type="dxa" w:w="3024"/>
            <w:shd w:val="clear" w:color="auto" w:fill="FFFFFF"/>
          </w:tcPr>
          <w:p>
            <w:r/>
            <w:r>
              <w:rPr>
                <w:rFonts w:ascii="Calibri" w:hAnsi="Calibri"/>
                <w:b w:val="0"/>
                <w:sz w:val="18"/>
              </w:rPr>
              <w:t>rf_seed123_n100_depth12</w:t>
            </w:r>
          </w:p>
        </w:tc>
        <w:tc>
          <w:tcPr>
            <w:tcW w:type="dxa" w:w="1872"/>
            <w:shd w:val="clear" w:color="auto" w:fill="FFFFFF"/>
          </w:tcPr>
          <w:p>
            <w:r/>
            <w:r>
              <w:rPr>
                <w:rFonts w:ascii="Calibri" w:hAnsi="Calibri"/>
                <w:b w:val="0"/>
                <w:sz w:val="18"/>
              </w:rPr>
              <w:t>Random Forest</w:t>
            </w:r>
          </w:p>
        </w:tc>
        <w:tc>
          <w:tcPr>
            <w:tcW w:type="dxa" w:w="792"/>
            <w:shd w:val="clear" w:color="auto" w:fill="FFFFFF"/>
          </w:tcPr>
          <w:p>
            <w:r/>
            <w:r>
              <w:rPr>
                <w:rFonts w:ascii="Calibri" w:hAnsi="Calibri"/>
                <w:b w:val="0"/>
                <w:sz w:val="18"/>
              </w:rPr>
              <w:t>123</w:t>
            </w:r>
          </w:p>
        </w:tc>
        <w:tc>
          <w:tcPr>
            <w:tcW w:type="dxa" w:w="1224"/>
            <w:shd w:val="clear" w:color="auto" w:fill="FFFFFF"/>
          </w:tcPr>
          <w:p>
            <w:r/>
            <w:r>
              <w:rPr>
                <w:rFonts w:ascii="Calibri" w:hAnsi="Calibri"/>
                <w:b w:val="0"/>
                <w:sz w:val="18"/>
              </w:rPr>
              <w:t>0.8688</w:t>
            </w:r>
          </w:p>
        </w:tc>
        <w:tc>
          <w:tcPr>
            <w:tcW w:type="dxa" w:w="1224"/>
            <w:shd w:val="clear" w:color="auto" w:fill="FFFFFF"/>
          </w:tcPr>
          <w:p>
            <w:r/>
            <w:r>
              <w:rPr>
                <w:rFonts w:ascii="Calibri" w:hAnsi="Calibri"/>
                <w:b w:val="0"/>
                <w:sz w:val="18"/>
              </w:rPr>
              <w:t>0.9570</w:t>
            </w:r>
          </w:p>
        </w:tc>
        <w:tc>
          <w:tcPr>
            <w:tcW w:type="dxa" w:w="936"/>
            <w:shd w:val="clear" w:color="auto" w:fill="FFFFFF"/>
          </w:tcPr>
          <w:p>
            <w:r/>
            <w:r>
              <w:rPr>
                <w:rFonts w:ascii="Calibri" w:hAnsi="Calibri"/>
                <w:b w:val="0"/>
                <w:sz w:val="18"/>
              </w:rPr>
              <w:t>0.750</w:t>
            </w:r>
          </w:p>
        </w:tc>
        <w:tc>
          <w:tcPr>
            <w:tcW w:type="dxa" w:w="1224"/>
            <w:shd w:val="clear" w:color="auto" w:fill="FFFFFF"/>
          </w:tcPr>
          <w:p>
            <w:r/>
            <w:r>
              <w:rPr>
                <w:rFonts w:ascii="Calibri" w:hAnsi="Calibri"/>
                <w:b w:val="0"/>
                <w:sz w:val="18"/>
              </w:rPr>
              <w:t>0.910</w:t>
            </w:r>
          </w:p>
        </w:tc>
      </w:tr>
      <w:tr>
        <w:tc>
          <w:tcPr>
            <w:tcW w:type="dxa" w:w="3024"/>
            <w:shd w:val="clear" w:color="auto" w:fill="F3EBFA"/>
          </w:tcPr>
          <w:p>
            <w:r/>
            <w:r>
              <w:rPr>
                <w:rFonts w:ascii="Calibri" w:hAnsi="Calibri"/>
                <w:b w:val="0"/>
                <w:sz w:val="18"/>
              </w:rPr>
              <w:t>logreg_seed123_C0.1</w:t>
            </w:r>
          </w:p>
        </w:tc>
        <w:tc>
          <w:tcPr>
            <w:tcW w:type="dxa" w:w="1872"/>
            <w:shd w:val="clear" w:color="auto" w:fill="F3EBFA"/>
          </w:tcPr>
          <w:p>
            <w:r/>
            <w:r>
              <w:rPr>
                <w:rFonts w:ascii="Calibri" w:hAnsi="Calibri"/>
                <w:b w:val="0"/>
                <w:sz w:val="18"/>
              </w:rPr>
              <w:t>Logistic Reg.</w:t>
            </w:r>
          </w:p>
        </w:tc>
        <w:tc>
          <w:tcPr>
            <w:tcW w:type="dxa" w:w="792"/>
            <w:shd w:val="clear" w:color="auto" w:fill="F3EBFA"/>
          </w:tcPr>
          <w:p>
            <w:r/>
            <w:r>
              <w:rPr>
                <w:rFonts w:ascii="Calibri" w:hAnsi="Calibri"/>
                <w:b w:val="0"/>
                <w:sz w:val="18"/>
              </w:rPr>
              <w:t>123</w:t>
            </w:r>
          </w:p>
        </w:tc>
        <w:tc>
          <w:tcPr>
            <w:tcW w:type="dxa" w:w="1224"/>
            <w:shd w:val="clear" w:color="auto" w:fill="F3EBFA"/>
          </w:tcPr>
          <w:p>
            <w:r/>
            <w:r>
              <w:rPr>
                <w:rFonts w:ascii="Calibri" w:hAnsi="Calibri"/>
                <w:b w:val="0"/>
                <w:sz w:val="18"/>
              </w:rPr>
              <w:t>0.8633</w:t>
            </w:r>
          </w:p>
        </w:tc>
        <w:tc>
          <w:tcPr>
            <w:tcW w:type="dxa" w:w="1224"/>
            <w:shd w:val="clear" w:color="auto" w:fill="F3EBFA"/>
          </w:tcPr>
          <w:p>
            <w:r/>
            <w:r>
              <w:rPr>
                <w:rFonts w:ascii="Calibri" w:hAnsi="Calibri"/>
                <w:b w:val="0"/>
                <w:sz w:val="18"/>
              </w:rPr>
              <w:t>0.9599</w:t>
            </w:r>
          </w:p>
        </w:tc>
        <w:tc>
          <w:tcPr>
            <w:tcW w:type="dxa" w:w="936"/>
            <w:shd w:val="clear" w:color="auto" w:fill="F3EBFA"/>
          </w:tcPr>
          <w:p>
            <w:r/>
            <w:r>
              <w:rPr>
                <w:rFonts w:ascii="Calibri" w:hAnsi="Calibri"/>
                <w:b w:val="0"/>
                <w:sz w:val="18"/>
              </w:rPr>
              <w:t>0.769</w:t>
            </w:r>
          </w:p>
        </w:tc>
        <w:tc>
          <w:tcPr>
            <w:tcW w:type="dxa" w:w="1224"/>
            <w:shd w:val="clear" w:color="auto" w:fill="F3EBFA"/>
          </w:tcPr>
          <w:p>
            <w:r/>
            <w:r>
              <w:rPr>
                <w:rFonts w:ascii="Calibri" w:hAnsi="Calibri"/>
                <w:b w:val="0"/>
                <w:sz w:val="18"/>
              </w:rPr>
              <w:t>0.895</w:t>
            </w:r>
          </w:p>
        </w:tc>
      </w:tr>
      <w:tr>
        <w:tc>
          <w:tcPr>
            <w:tcW w:type="dxa" w:w="3024"/>
            <w:shd w:val="clear" w:color="auto" w:fill="FFFFFF"/>
          </w:tcPr>
          <w:p>
            <w:r/>
            <w:r>
              <w:rPr>
                <w:rFonts w:ascii="Calibri" w:hAnsi="Calibri"/>
                <w:b w:val="0"/>
                <w:sz w:val="18"/>
              </w:rPr>
              <w:t>logreg_seed42_C1.0 (baseline)</w:t>
            </w:r>
          </w:p>
        </w:tc>
        <w:tc>
          <w:tcPr>
            <w:tcW w:type="dxa" w:w="1872"/>
            <w:shd w:val="clear" w:color="auto" w:fill="FFFFFF"/>
          </w:tcPr>
          <w:p>
            <w:r/>
            <w:r>
              <w:rPr>
                <w:rFonts w:ascii="Calibri" w:hAnsi="Calibri"/>
                <w:b w:val="0"/>
                <w:sz w:val="18"/>
              </w:rPr>
              <w:t>Logistic Reg.</w:t>
            </w:r>
          </w:p>
        </w:tc>
        <w:tc>
          <w:tcPr>
            <w:tcW w:type="dxa" w:w="792"/>
            <w:shd w:val="clear" w:color="auto" w:fill="FFFFFF"/>
          </w:tcPr>
          <w:p>
            <w:r/>
            <w:r>
              <w:rPr>
                <w:rFonts w:ascii="Calibri" w:hAnsi="Calibri"/>
                <w:b w:val="0"/>
                <w:sz w:val="18"/>
              </w:rPr>
              <w:t>42</w:t>
            </w:r>
          </w:p>
        </w:tc>
        <w:tc>
          <w:tcPr>
            <w:tcW w:type="dxa" w:w="1224"/>
            <w:shd w:val="clear" w:color="auto" w:fill="FFFFFF"/>
          </w:tcPr>
          <w:p>
            <w:r/>
            <w:r>
              <w:rPr>
                <w:rFonts w:ascii="Calibri" w:hAnsi="Calibri"/>
                <w:b w:val="0"/>
                <w:sz w:val="18"/>
              </w:rPr>
              <w:t>0.7948</w:t>
            </w:r>
          </w:p>
        </w:tc>
        <w:tc>
          <w:tcPr>
            <w:tcW w:type="dxa" w:w="1224"/>
            <w:shd w:val="clear" w:color="auto" w:fill="FFFFFF"/>
          </w:tcPr>
          <w:p>
            <w:r/>
            <w:r>
              <w:rPr>
                <w:rFonts w:ascii="Calibri" w:hAnsi="Calibri"/>
                <w:b w:val="0"/>
                <w:sz w:val="18"/>
              </w:rPr>
              <w:t>0.9189</w:t>
            </w:r>
          </w:p>
        </w:tc>
        <w:tc>
          <w:tcPr>
            <w:tcW w:type="dxa" w:w="936"/>
            <w:shd w:val="clear" w:color="auto" w:fill="FFFFFF"/>
          </w:tcPr>
          <w:p>
            <w:r/>
            <w:r>
              <w:rPr>
                <w:rFonts w:ascii="Calibri" w:hAnsi="Calibri"/>
                <w:b w:val="0"/>
                <w:sz w:val="18"/>
              </w:rPr>
              <w:t>0.653</w:t>
            </w:r>
          </w:p>
        </w:tc>
        <w:tc>
          <w:tcPr>
            <w:tcW w:type="dxa" w:w="1224"/>
            <w:shd w:val="clear" w:color="auto" w:fill="FFFFFF"/>
          </w:tcPr>
          <w:p>
            <w:r/>
            <w:r>
              <w:rPr>
                <w:rFonts w:ascii="Calibri" w:hAnsi="Calibri"/>
                <w:b w:val="0"/>
                <w:sz w:val="18"/>
              </w:rPr>
              <w:t>0.825</w:t>
            </w:r>
          </w:p>
        </w:tc>
      </w:tr>
      <w:tr>
        <w:tc>
          <w:tcPr>
            <w:tcW w:type="dxa" w:w="3024"/>
            <w:shd w:val="clear" w:color="auto" w:fill="F3EBFA"/>
          </w:tcPr>
          <w:p>
            <w:r/>
            <w:r>
              <w:rPr>
                <w:rFonts w:ascii="Calibri" w:hAnsi="Calibri"/>
                <w:b w:val="0"/>
                <w:sz w:val="18"/>
              </w:rPr>
              <w:t>rf_seed7_n300_depth12</w:t>
            </w:r>
          </w:p>
        </w:tc>
        <w:tc>
          <w:tcPr>
            <w:tcW w:type="dxa" w:w="1872"/>
            <w:shd w:val="clear" w:color="auto" w:fill="F3EBFA"/>
          </w:tcPr>
          <w:p>
            <w:r/>
            <w:r>
              <w:rPr>
                <w:rFonts w:ascii="Calibri" w:hAnsi="Calibri"/>
                <w:b w:val="0"/>
                <w:sz w:val="18"/>
              </w:rPr>
              <w:t>Random Forest</w:t>
            </w:r>
          </w:p>
        </w:tc>
        <w:tc>
          <w:tcPr>
            <w:tcW w:type="dxa" w:w="792"/>
            <w:shd w:val="clear" w:color="auto" w:fill="F3EBFA"/>
          </w:tcPr>
          <w:p>
            <w:r/>
            <w:r>
              <w:rPr>
                <w:rFonts w:ascii="Calibri" w:hAnsi="Calibri"/>
                <w:b w:val="0"/>
                <w:sz w:val="18"/>
              </w:rPr>
              <w:t>7</w:t>
            </w:r>
          </w:p>
        </w:tc>
        <w:tc>
          <w:tcPr>
            <w:tcW w:type="dxa" w:w="1224"/>
            <w:shd w:val="clear" w:color="auto" w:fill="F3EBFA"/>
          </w:tcPr>
          <w:p>
            <w:r/>
            <w:r>
              <w:rPr>
                <w:rFonts w:ascii="Calibri" w:hAnsi="Calibri"/>
                <w:b w:val="0"/>
                <w:sz w:val="18"/>
              </w:rPr>
              <w:t>0.7916</w:t>
            </w:r>
          </w:p>
        </w:tc>
        <w:tc>
          <w:tcPr>
            <w:tcW w:type="dxa" w:w="1224"/>
            <w:shd w:val="clear" w:color="auto" w:fill="F3EBFA"/>
          </w:tcPr>
          <w:p>
            <w:r/>
            <w:r>
              <w:rPr>
                <w:rFonts w:ascii="Calibri" w:hAnsi="Calibri"/>
                <w:b w:val="0"/>
                <w:sz w:val="18"/>
              </w:rPr>
              <w:t>0.9362</w:t>
            </w:r>
          </w:p>
        </w:tc>
        <w:tc>
          <w:tcPr>
            <w:tcW w:type="dxa" w:w="936"/>
            <w:shd w:val="clear" w:color="auto" w:fill="F3EBFA"/>
          </w:tcPr>
          <w:p>
            <w:r/>
            <w:r>
              <w:rPr>
                <w:rFonts w:ascii="Calibri" w:hAnsi="Calibri"/>
                <w:b w:val="0"/>
                <w:sz w:val="18"/>
              </w:rPr>
              <w:t>0.746</w:t>
            </w:r>
          </w:p>
        </w:tc>
        <w:tc>
          <w:tcPr>
            <w:tcW w:type="dxa" w:w="1224"/>
            <w:shd w:val="clear" w:color="auto" w:fill="F3EBFA"/>
          </w:tcPr>
          <w:p>
            <w:r/>
            <w:r>
              <w:rPr>
                <w:rFonts w:ascii="Calibri" w:hAnsi="Calibri"/>
                <w:b w:val="0"/>
                <w:sz w:val="18"/>
              </w:rPr>
              <w:t>0.915</w:t>
            </w:r>
          </w:p>
        </w:tc>
      </w:tr>
      <w:tr>
        <w:tc>
          <w:tcPr>
            <w:tcW w:type="dxa" w:w="3024"/>
            <w:shd w:val="clear" w:color="auto" w:fill="FFFFFF"/>
          </w:tcPr>
          <w:p>
            <w:r/>
            <w:r>
              <w:rPr>
                <w:rFonts w:ascii="Calibri" w:hAnsi="Calibri"/>
                <w:b w:val="0"/>
                <w:sz w:val="18"/>
              </w:rPr>
              <w:t>rf_seed42_n100_depth12</w:t>
            </w:r>
          </w:p>
        </w:tc>
        <w:tc>
          <w:tcPr>
            <w:tcW w:type="dxa" w:w="1872"/>
            <w:shd w:val="clear" w:color="auto" w:fill="FFFFFF"/>
          </w:tcPr>
          <w:p>
            <w:r/>
            <w:r>
              <w:rPr>
                <w:rFonts w:ascii="Calibri" w:hAnsi="Calibri"/>
                <w:b w:val="0"/>
                <w:sz w:val="18"/>
              </w:rPr>
              <w:t>Random Forest</w:t>
            </w:r>
          </w:p>
        </w:tc>
        <w:tc>
          <w:tcPr>
            <w:tcW w:type="dxa" w:w="792"/>
            <w:shd w:val="clear" w:color="auto" w:fill="FFFFFF"/>
          </w:tcPr>
          <w:p>
            <w:r/>
            <w:r>
              <w:rPr>
                <w:rFonts w:ascii="Calibri" w:hAnsi="Calibri"/>
                <w:b w:val="0"/>
                <w:sz w:val="18"/>
              </w:rPr>
              <w:t>42</w:t>
            </w:r>
          </w:p>
        </w:tc>
        <w:tc>
          <w:tcPr>
            <w:tcW w:type="dxa" w:w="1224"/>
            <w:shd w:val="clear" w:color="auto" w:fill="FFFFFF"/>
          </w:tcPr>
          <w:p>
            <w:r/>
            <w:r>
              <w:rPr>
                <w:rFonts w:ascii="Calibri" w:hAnsi="Calibri"/>
                <w:b w:val="0"/>
                <w:sz w:val="18"/>
              </w:rPr>
              <w:t>0.6898</w:t>
            </w:r>
          </w:p>
        </w:tc>
        <w:tc>
          <w:tcPr>
            <w:tcW w:type="dxa" w:w="1224"/>
            <w:shd w:val="clear" w:color="auto" w:fill="FFFFFF"/>
          </w:tcPr>
          <w:p>
            <w:r/>
            <w:r>
              <w:rPr>
                <w:rFonts w:ascii="Calibri" w:hAnsi="Calibri"/>
                <w:b w:val="0"/>
                <w:sz w:val="18"/>
              </w:rPr>
              <w:t>0.9232</w:t>
            </w:r>
          </w:p>
        </w:tc>
        <w:tc>
          <w:tcPr>
            <w:tcW w:type="dxa" w:w="936"/>
            <w:shd w:val="clear" w:color="auto" w:fill="FFFFFF"/>
          </w:tcPr>
          <w:p>
            <w:r/>
            <w:r>
              <w:rPr>
                <w:rFonts w:ascii="Calibri" w:hAnsi="Calibri"/>
                <w:b w:val="0"/>
                <w:sz w:val="18"/>
              </w:rPr>
              <w:t>0.683</w:t>
            </w:r>
          </w:p>
        </w:tc>
        <w:tc>
          <w:tcPr>
            <w:tcW w:type="dxa" w:w="1224"/>
            <w:shd w:val="clear" w:color="auto" w:fill="FFFFFF"/>
          </w:tcPr>
          <w:p>
            <w:r/>
            <w:r>
              <w:rPr>
                <w:rFonts w:ascii="Calibri" w:hAnsi="Calibri"/>
                <w:b w:val="0"/>
                <w:sz w:val="18"/>
              </w:rPr>
              <w:t>0.875</w:t>
            </w:r>
          </w:p>
        </w:tc>
      </w:tr>
    </w:tbl>
    <w:p>
      <w:pPr>
        <w:spacing w:after="40"/>
      </w:pPr>
    </w:p>
    <w:p>
      <w:pPr>
        <w:spacing w:after="120" w:before="0"/>
      </w:pPr>
      <w:r>
        <w:rPr>
          <w:rFonts w:ascii="Calibri" w:hAnsi="Calibri"/>
          <w:b w:val="0"/>
          <w:i w:val="0"/>
          <w:sz w:val="21"/>
        </w:rPr>
        <w:t>PR-AUC ranges from 0.690 to 0.869. The single biggest source of variation is the random seed, that is, which customers land in the train or test split, not the model family. This is a central finding: it is why the gate uses a tolerance band rather than reacting to every small change, and why the v1 versus v2 drill in Section 11 uses several seeds instead of trusting one number.</w:t>
      </w:r>
    </w:p>
    <w:p>
      <w:pPr>
        <w:spacing w:before="180" w:after="60"/>
      </w:pPr>
      <w:r>
        <w:rPr>
          <w:rFonts w:ascii="Calibri" w:hAnsi="Calibri"/>
          <w:b/>
          <w:color w:val="8E3CC4"/>
          <w:sz w:val="24"/>
        </w:rPr>
        <w:t>Seed-robust selection</w:t>
      </w:r>
    </w:p>
    <w:p>
      <w:pPr>
        <w:spacing w:after="120" w:before="0"/>
      </w:pPr>
      <w:r>
        <w:rPr>
          <w:rFonts w:ascii="Calibri" w:hAnsi="Calibri"/>
          <w:b w:val="0"/>
          <w:i w:val="0"/>
          <w:sz w:val="21"/>
        </w:rPr>
        <w:t>Selecting the single best run rewards a lucky seed, so we also averaged PR-AUC within each family across all seeds.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312"/>
            <w:shd w:val="clear" w:color="auto" w:fill="3B1E63"/>
          </w:tcPr>
          <w:p>
            <w:r/>
            <w:r>
              <w:rPr>
                <w:rFonts w:ascii="Calibri" w:hAnsi="Calibri"/>
                <w:b/>
                <w:color w:val="FFFFFF"/>
                <w:sz w:val="19"/>
              </w:rPr>
              <w:t>Family</w:t>
            </w:r>
          </w:p>
        </w:tc>
        <w:tc>
          <w:tcPr>
            <w:tcW w:type="dxa" w:w="1872"/>
            <w:shd w:val="clear" w:color="auto" w:fill="3B1E63"/>
          </w:tcPr>
          <w:p>
            <w:r/>
            <w:r>
              <w:rPr>
                <w:rFonts w:ascii="Calibri" w:hAnsi="Calibri"/>
                <w:b/>
                <w:color w:val="FFFFFF"/>
                <w:sz w:val="19"/>
              </w:rPr>
              <w:t>Mean PR-AUC</w:t>
            </w:r>
          </w:p>
        </w:tc>
        <w:tc>
          <w:tcPr>
            <w:tcW w:type="dxa" w:w="1440"/>
            <w:shd w:val="clear" w:color="auto" w:fill="3B1E63"/>
          </w:tcPr>
          <w:p>
            <w:r/>
            <w:r>
              <w:rPr>
                <w:rFonts w:ascii="Calibri" w:hAnsi="Calibri"/>
                <w:b/>
                <w:color w:val="FFFFFF"/>
                <w:sz w:val="19"/>
              </w:rPr>
              <w:t>Std</w:t>
            </w:r>
          </w:p>
        </w:tc>
        <w:tc>
          <w:tcPr>
            <w:tcW w:type="dxa" w:w="1440"/>
            <w:shd w:val="clear" w:color="auto" w:fill="3B1E63"/>
          </w:tcPr>
          <w:p>
            <w:r/>
            <w:r>
              <w:rPr>
                <w:rFonts w:ascii="Calibri" w:hAnsi="Calibri"/>
                <w:b/>
                <w:color w:val="FFFFFF"/>
                <w:sz w:val="19"/>
              </w:rPr>
              <w:t>Min</w:t>
            </w:r>
          </w:p>
        </w:tc>
        <w:tc>
          <w:tcPr>
            <w:tcW w:type="dxa" w:w="1440"/>
            <w:shd w:val="clear" w:color="auto" w:fill="3B1E63"/>
          </w:tcPr>
          <w:p>
            <w:r/>
            <w:r>
              <w:rPr>
                <w:rFonts w:ascii="Calibri" w:hAnsi="Calibri"/>
                <w:b/>
                <w:color w:val="FFFFFF"/>
                <w:sz w:val="19"/>
              </w:rPr>
              <w:t>Max</w:t>
            </w:r>
          </w:p>
        </w:tc>
      </w:tr>
      <w:tr>
        <w:tc>
          <w:tcPr>
            <w:tcW w:type="dxa" w:w="3312"/>
            <w:shd w:val="clear" w:color="auto" w:fill="FFFFFF"/>
          </w:tcPr>
          <w:p>
            <w:r/>
            <w:r>
              <w:rPr>
                <w:rFonts w:ascii="Calibri" w:hAnsi="Calibri"/>
                <w:b w:val="0"/>
                <w:sz w:val="18"/>
              </w:rPr>
              <w:t>Logistic Regression</w:t>
            </w:r>
          </w:p>
        </w:tc>
        <w:tc>
          <w:tcPr>
            <w:tcW w:type="dxa" w:w="1872"/>
            <w:shd w:val="clear" w:color="auto" w:fill="FFFFFF"/>
          </w:tcPr>
          <w:p>
            <w:r/>
            <w:r>
              <w:rPr>
                <w:rFonts w:ascii="Calibri" w:hAnsi="Calibri"/>
                <w:b w:val="0"/>
                <w:sz w:val="18"/>
              </w:rPr>
              <w:t>0.8252</w:t>
            </w:r>
          </w:p>
        </w:tc>
        <w:tc>
          <w:tcPr>
            <w:tcW w:type="dxa" w:w="1440"/>
            <w:shd w:val="clear" w:color="auto" w:fill="FFFFFF"/>
          </w:tcPr>
          <w:p>
            <w:r/>
            <w:r>
              <w:rPr>
                <w:rFonts w:ascii="Calibri" w:hAnsi="Calibri"/>
                <w:b w:val="0"/>
                <w:sz w:val="18"/>
              </w:rPr>
              <w:t>0.0318</w:t>
            </w:r>
          </w:p>
        </w:tc>
        <w:tc>
          <w:tcPr>
            <w:tcW w:type="dxa" w:w="1440"/>
            <w:shd w:val="clear" w:color="auto" w:fill="FFFFFF"/>
          </w:tcPr>
          <w:p>
            <w:r/>
            <w:r>
              <w:rPr>
                <w:rFonts w:ascii="Calibri" w:hAnsi="Calibri"/>
                <w:b w:val="0"/>
                <w:sz w:val="18"/>
              </w:rPr>
              <w:t>0.7741</w:t>
            </w:r>
          </w:p>
        </w:tc>
        <w:tc>
          <w:tcPr>
            <w:tcW w:type="dxa" w:w="1440"/>
            <w:shd w:val="clear" w:color="auto" w:fill="FFFFFF"/>
          </w:tcPr>
          <w:p>
            <w:r/>
            <w:r>
              <w:rPr>
                <w:rFonts w:ascii="Calibri" w:hAnsi="Calibri"/>
                <w:b w:val="0"/>
                <w:sz w:val="18"/>
              </w:rPr>
              <w:t>0.8633</w:t>
            </w:r>
          </w:p>
        </w:tc>
      </w:tr>
      <w:tr>
        <w:tc>
          <w:tcPr>
            <w:tcW w:type="dxa" w:w="3312"/>
            <w:shd w:val="clear" w:color="auto" w:fill="F3EBFA"/>
          </w:tcPr>
          <w:p>
            <w:r/>
            <w:r>
              <w:rPr>
                <w:rFonts w:ascii="Calibri" w:hAnsi="Calibri"/>
                <w:b w:val="0"/>
                <w:sz w:val="18"/>
              </w:rPr>
              <w:t>Random Forest</w:t>
            </w:r>
          </w:p>
        </w:tc>
        <w:tc>
          <w:tcPr>
            <w:tcW w:type="dxa" w:w="1872"/>
            <w:shd w:val="clear" w:color="auto" w:fill="F3EBFA"/>
          </w:tcPr>
          <w:p>
            <w:r/>
            <w:r>
              <w:rPr>
                <w:rFonts w:ascii="Calibri" w:hAnsi="Calibri"/>
                <w:b w:val="0"/>
                <w:sz w:val="18"/>
              </w:rPr>
              <w:t>0.7799</w:t>
            </w:r>
          </w:p>
        </w:tc>
        <w:tc>
          <w:tcPr>
            <w:tcW w:type="dxa" w:w="1440"/>
            <w:shd w:val="clear" w:color="auto" w:fill="F3EBFA"/>
          </w:tcPr>
          <w:p>
            <w:r/>
            <w:r>
              <w:rPr>
                <w:rFonts w:ascii="Calibri" w:hAnsi="Calibri"/>
                <w:b w:val="0"/>
                <w:sz w:val="18"/>
              </w:rPr>
              <w:t>0.0645</w:t>
            </w:r>
          </w:p>
        </w:tc>
        <w:tc>
          <w:tcPr>
            <w:tcW w:type="dxa" w:w="1440"/>
            <w:shd w:val="clear" w:color="auto" w:fill="F3EBFA"/>
          </w:tcPr>
          <w:p>
            <w:r/>
            <w:r>
              <w:rPr>
                <w:rFonts w:ascii="Calibri" w:hAnsi="Calibri"/>
                <w:b w:val="0"/>
                <w:sz w:val="18"/>
              </w:rPr>
              <w:t>0.6898</w:t>
            </w:r>
          </w:p>
        </w:tc>
        <w:tc>
          <w:tcPr>
            <w:tcW w:type="dxa" w:w="1440"/>
            <w:shd w:val="clear" w:color="auto" w:fill="F3EBFA"/>
          </w:tcPr>
          <w:p>
            <w:r/>
            <w:r>
              <w:rPr>
                <w:rFonts w:ascii="Calibri" w:hAnsi="Calibri"/>
                <w:b w:val="0"/>
                <w:sz w:val="18"/>
              </w:rPr>
              <w:t>0.8688</w:t>
            </w:r>
          </w:p>
        </w:tc>
      </w:tr>
    </w:tbl>
    <w:p>
      <w:pPr>
        <w:spacing w:after="40"/>
      </w:pPr>
    </w:p>
    <w:p>
      <w:pPr>
        <w:spacing w:after="120" w:before="40"/>
      </w:pPr>
      <w:r>
        <w:rPr>
          <w:rFonts w:ascii="Calibri" w:hAnsi="Calibri"/>
          <w:b w:val="0"/>
          <w:i w:val="0"/>
          <w:sz w:val="21"/>
        </w:rPr>
        <w:t>On a seed-robust basis Logistic Regression is the stronger and far more stable family: higher mean and about half the variance. The single highest run is a Random Forest (0.8688), but random forests here swing from 0.690 to 0.869 on the split alone, so that is a high-variance outlier. This is why the stored gate baseline is a Logistic Regression (0.7948): we defend the family that is reliably good, not the one that was lucky once. The full 21-row table is in docs/runs_comparison.md.</w:t>
      </w:r>
    </w:p>
    <w:p>
      <w:pPr>
        <w:spacing w:before="280" w:after="120"/>
        <w:pBdr>
          <w:bottom w:val="single" w:sz="6" w:space="2" w:color="8E3CC4"/>
        </w:pBdr>
      </w:pPr>
      <w:r>
        <w:rPr>
          <w:rFonts w:ascii="Calibri" w:hAnsi="Calibri"/>
          <w:b/>
          <w:color w:val="3B1E63"/>
          <w:sz w:val="30"/>
        </w:rPr>
        <w:t>08  Experiment Tracking, Registry and Lineage (Task 5)</w:t>
      </w:r>
    </w:p>
    <w:p>
      <w:pPr>
        <w:spacing w:after="120" w:before="0"/>
      </w:pPr>
      <w:r>
        <w:rPr>
          <w:rFonts w:ascii="Calibri" w:hAnsi="Calibri"/>
          <w:b w:val="0"/>
          <w:i w:val="0"/>
          <w:sz w:val="21"/>
        </w:rPr>
        <w:t>Every run is logged to MLflow (local SQLite backend) with its parameters, metrics, dataset version, full configuration artefact and the model itself. Each run is also tagged with the git commit and the data version, so any result can be traced back to the exact code and data that produced it. The best model by PR-AUC is registered as credit_risk_gate_model.</w:t>
      </w:r>
    </w:p>
    <w:p>
      <w:pPr>
        <w:spacing w:before="80" w:after="40"/>
        <w:jc w:val="center"/>
        <w:pBdr>
          <w:top w:val="single" w:sz="4" w:space="4" w:color="C9B8DC"/>
          <w:bottom w:val="single" w:sz="4" w:space="4" w:color="C9B8DC"/>
          <w:left w:val="single" w:sz="4" w:space="4" w:color="C9B8DC"/>
          <w:right w:val="single" w:sz="4" w:space="4" w:color="C9B8DC"/>
        </w:pBdr>
      </w:pPr>
      <w:r>
        <w:drawing>
          <wp:inline xmlns:a="http://schemas.openxmlformats.org/drawingml/2006/main" xmlns:pic="http://schemas.openxmlformats.org/drawingml/2006/picture">
            <wp:extent cx="5669280" cy="3312433"/>
            <wp:docPr id="4" name="Picture 4"/>
            <wp:cNvGraphicFramePr>
              <a:graphicFrameLocks noChangeAspect="1"/>
            </wp:cNvGraphicFramePr>
            <a:graphic>
              <a:graphicData uri="http://schemas.openxmlformats.org/drawingml/2006/picture">
                <pic:pic>
                  <pic:nvPicPr>
                    <pic:cNvPr id="0" name="fig3_mlflow_runs.jpg"/>
                    <pic:cNvPicPr/>
                  </pic:nvPicPr>
                  <pic:blipFill>
                    <a:blip r:embed="rId13"/>
                    <a:stretch>
                      <a:fillRect/>
                    </a:stretch>
                  </pic:blipFill>
                  <pic:spPr>
                    <a:xfrm>
                      <a:off x="0" y="0"/>
                      <a:ext cx="5669280" cy="3312433"/>
                    </a:xfrm>
                    <a:prstGeom prst="rect"/>
                  </pic:spPr>
                </pic:pic>
              </a:graphicData>
            </a:graphic>
          </wp:inline>
        </w:drawing>
      </w:r>
    </w:p>
    <w:p>
      <w:pPr>
        <w:spacing w:before="40" w:after="200"/>
        <w:jc w:val="center"/>
      </w:pPr>
      <w:r>
        <w:rPr>
          <w:rFonts w:ascii="Calibri" w:hAnsi="Calibri"/>
          <w:i/>
          <w:color w:val="555555"/>
          <w:sz w:val="18"/>
        </w:rPr>
        <w:t>Figure 3. MLflow run history: 21 matching runs sorted by average_precision. The top run carries the registered credit_risk_gate_model v1 tag, and accuracy stays high across every run, which foreshadows the metric argument in Section 09.</w:t>
      </w:r>
    </w:p>
    <w:p>
      <w:pPr>
        <w:spacing w:before="80" w:after="40"/>
        <w:jc w:val="center"/>
        <w:pBdr>
          <w:top w:val="single" w:sz="4" w:space="4" w:color="C9B8DC"/>
          <w:bottom w:val="single" w:sz="4" w:space="4" w:color="C9B8DC"/>
          <w:left w:val="single" w:sz="4" w:space="4" w:color="C9B8DC"/>
          <w:right w:val="single" w:sz="4" w:space="4" w:color="C9B8DC"/>
        </w:pBdr>
      </w:pPr>
      <w:r>
        <w:drawing>
          <wp:inline xmlns:a="http://schemas.openxmlformats.org/drawingml/2006/main" xmlns:pic="http://schemas.openxmlformats.org/drawingml/2006/picture">
            <wp:extent cx="5120640" cy="2569149"/>
            <wp:docPr id="5" name="Picture 5"/>
            <wp:cNvGraphicFramePr>
              <a:graphicFrameLocks noChangeAspect="1"/>
            </wp:cNvGraphicFramePr>
            <a:graphic>
              <a:graphicData uri="http://schemas.openxmlformats.org/drawingml/2006/picture">
                <pic:pic>
                  <pic:nvPicPr>
                    <pic:cNvPr id="0" name="fig3b_registered_model.jpg"/>
                    <pic:cNvPicPr/>
                  </pic:nvPicPr>
                  <pic:blipFill>
                    <a:blip r:embed="rId14"/>
                    <a:stretch>
                      <a:fillRect/>
                    </a:stretch>
                  </pic:blipFill>
                  <pic:spPr>
                    <a:xfrm>
                      <a:off x="0" y="0"/>
                      <a:ext cx="5120640" cy="2569149"/>
                    </a:xfrm>
                    <a:prstGeom prst="rect"/>
                  </pic:spPr>
                </pic:pic>
              </a:graphicData>
            </a:graphic>
          </wp:inline>
        </w:drawing>
      </w:r>
    </w:p>
    <w:p>
      <w:pPr>
        <w:spacing w:before="40" w:after="200"/>
        <w:jc w:val="center"/>
      </w:pPr>
      <w:r>
        <w:rPr>
          <w:rFonts w:ascii="Calibri" w:hAnsi="Calibri"/>
          <w:i/>
          <w:color w:val="555555"/>
          <w:sz w:val="18"/>
        </w:rPr>
        <w:t>Figure 3b. The registered model credit_risk_gate_model, Version 1, in the MLflow Model Registry, with its registration time. This is the artefact the gate protects.</w:t>
      </w:r>
    </w:p>
    <w:p>
      <w:r>
        <w:br w:type="page"/>
      </w:r>
    </w:p>
    <w:p>
      <w:pPr>
        <w:spacing w:before="280" w:after="120"/>
        <w:pBdr>
          <w:bottom w:val="single" w:sz="6" w:space="2" w:color="8E3CC4"/>
        </w:pBdr>
      </w:pPr>
      <w:r>
        <w:rPr>
          <w:rFonts w:ascii="Calibri" w:hAnsi="Calibri"/>
          <w:b/>
          <w:color w:val="3B1E63"/>
          <w:sz w:val="30"/>
        </w:rPr>
        <w:t>09  Metric Justification: Why Not Accuracy</w:t>
      </w:r>
    </w:p>
    <w:p>
      <w:pPr>
        <w:spacing w:after="120" w:before="0"/>
      </w:pPr>
      <w:r>
        <w:rPr>
          <w:rFonts w:ascii="Calibri" w:hAnsi="Calibri"/>
          <w:b w:val="0"/>
          <w:i w:val="0"/>
          <w:sz w:val="21"/>
        </w:rPr>
        <w:t>About 18.9 percent of customers are high risk. A model that predicts not high risk for everyone therefore scores about 81 percent accuracy while catching zero defaulters. Across our 21 runs accuracy sits between 0.80 and 0.92 for every model, strong and weak alike, so accuracy simply cannot tell a good model from a bad one here. The costly error is a false negative, a high-risk customer approved as safe, and accuracy weights that the same as a harmless false positive.</w:t>
      </w:r>
    </w:p>
    <w:p>
      <w:pPr>
        <w:spacing w:before="180" w:after="60"/>
      </w:pPr>
      <w:r>
        <w:rPr>
          <w:rFonts w:ascii="Calibri" w:hAnsi="Calibri"/>
          <w:b/>
          <w:color w:val="8E3CC4"/>
          <w:sz w:val="24"/>
        </w:rPr>
        <w:t>What we use instead</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color="auto" w:fill="3B1E63"/>
          </w:tcPr>
          <w:p>
            <w:r/>
            <w:r>
              <w:rPr>
                <w:rFonts w:ascii="Calibri" w:hAnsi="Calibri"/>
                <w:b/>
                <w:color w:val="FFFFFF"/>
                <w:sz w:val="19"/>
              </w:rPr>
              <w:t>Metric</w:t>
            </w:r>
          </w:p>
        </w:tc>
        <w:tc>
          <w:tcPr>
            <w:tcW w:type="dxa" w:w="3744"/>
            <w:shd w:val="clear" w:color="auto" w:fill="3B1E63"/>
          </w:tcPr>
          <w:p>
            <w:r/>
            <w:r>
              <w:rPr>
                <w:rFonts w:ascii="Calibri" w:hAnsi="Calibri"/>
                <w:b/>
                <w:color w:val="FFFFFF"/>
                <w:sz w:val="19"/>
              </w:rPr>
              <w:t>What it measures</w:t>
            </w:r>
          </w:p>
        </w:tc>
        <w:tc>
          <w:tcPr>
            <w:tcW w:type="dxa" w:w="3312"/>
            <w:shd w:val="clear" w:color="auto" w:fill="3B1E63"/>
          </w:tcPr>
          <w:p>
            <w:r/>
            <w:r>
              <w:rPr>
                <w:rFonts w:ascii="Calibri" w:hAnsi="Calibri"/>
                <w:b/>
                <w:color w:val="FFFFFF"/>
                <w:sz w:val="19"/>
              </w:rPr>
              <w:t>Role here</w:t>
            </w:r>
          </w:p>
        </w:tc>
      </w:tr>
      <w:tr>
        <w:tc>
          <w:tcPr>
            <w:tcW w:type="dxa" w:w="2736"/>
            <w:shd w:val="clear" w:color="auto" w:fill="FFFFFF"/>
          </w:tcPr>
          <w:p>
            <w:r/>
            <w:r>
              <w:rPr>
                <w:rFonts w:ascii="Calibri" w:hAnsi="Calibri"/>
                <w:b w:val="0"/>
                <w:sz w:val="18"/>
              </w:rPr>
              <w:t>Average precision (PR-AUC)</w:t>
            </w:r>
          </w:p>
        </w:tc>
        <w:tc>
          <w:tcPr>
            <w:tcW w:type="dxa" w:w="3744"/>
            <w:shd w:val="clear" w:color="auto" w:fill="FFFFFF"/>
          </w:tcPr>
          <w:p>
            <w:r/>
            <w:r>
              <w:rPr>
                <w:rFonts w:ascii="Calibri" w:hAnsi="Calibri"/>
                <w:b w:val="0"/>
                <w:sz w:val="18"/>
              </w:rPr>
              <w:t>Area under the precision-recall curve for the high-risk class</w:t>
            </w:r>
          </w:p>
        </w:tc>
        <w:tc>
          <w:tcPr>
            <w:tcW w:type="dxa" w:w="3312"/>
            <w:shd w:val="clear" w:color="auto" w:fill="FFFFFF"/>
          </w:tcPr>
          <w:p>
            <w:r/>
            <w:r>
              <w:rPr>
                <w:rFonts w:ascii="Calibri" w:hAnsi="Calibri"/>
                <w:b w:val="0"/>
                <w:sz w:val="18"/>
              </w:rPr>
              <w:t>The gate metric: focuses on the minority class, threshold-free.</w:t>
            </w:r>
          </w:p>
        </w:tc>
      </w:tr>
      <w:tr>
        <w:tc>
          <w:tcPr>
            <w:tcW w:type="dxa" w:w="2736"/>
            <w:shd w:val="clear" w:color="auto" w:fill="F3EBFA"/>
          </w:tcPr>
          <w:p>
            <w:r/>
            <w:r>
              <w:rPr>
                <w:rFonts w:ascii="Calibri" w:hAnsi="Calibri"/>
                <w:b w:val="0"/>
                <w:sz w:val="18"/>
              </w:rPr>
              <w:t>ROC-AUC</w:t>
            </w:r>
          </w:p>
        </w:tc>
        <w:tc>
          <w:tcPr>
            <w:tcW w:type="dxa" w:w="3744"/>
            <w:shd w:val="clear" w:color="auto" w:fill="F3EBFA"/>
          </w:tcPr>
          <w:p>
            <w:r/>
            <w:r>
              <w:rPr>
                <w:rFonts w:ascii="Calibri" w:hAnsi="Calibri"/>
                <w:b w:val="0"/>
                <w:sz w:val="18"/>
              </w:rPr>
              <w:t>Ranking quality over both classes</w:t>
            </w:r>
          </w:p>
        </w:tc>
        <w:tc>
          <w:tcPr>
            <w:tcW w:type="dxa" w:w="3312"/>
            <w:shd w:val="clear" w:color="auto" w:fill="F3EBFA"/>
          </w:tcPr>
          <w:p>
            <w:r/>
            <w:r>
              <w:rPr>
                <w:rFonts w:ascii="Calibri" w:hAnsi="Calibri"/>
                <w:b w:val="0"/>
                <w:sz w:val="18"/>
              </w:rPr>
              <w:t>Secondary check; can look optimistic under imbalance.</w:t>
            </w:r>
          </w:p>
        </w:tc>
      </w:tr>
      <w:tr>
        <w:tc>
          <w:tcPr>
            <w:tcW w:type="dxa" w:w="2736"/>
            <w:shd w:val="clear" w:color="auto" w:fill="FFFFFF"/>
          </w:tcPr>
          <w:p>
            <w:r/>
            <w:r>
              <w:rPr>
                <w:rFonts w:ascii="Calibri" w:hAnsi="Calibri"/>
                <w:b w:val="0"/>
                <w:sz w:val="18"/>
              </w:rPr>
              <w:t>F1 / precision / recall</w:t>
            </w:r>
          </w:p>
        </w:tc>
        <w:tc>
          <w:tcPr>
            <w:tcW w:type="dxa" w:w="3744"/>
            <w:shd w:val="clear" w:color="auto" w:fill="FFFFFF"/>
          </w:tcPr>
          <w:p>
            <w:r/>
            <w:r>
              <w:rPr>
                <w:rFonts w:ascii="Calibri" w:hAnsi="Calibri"/>
                <w:b w:val="0"/>
                <w:sz w:val="18"/>
              </w:rPr>
              <w:t>Behaviour at the 0.5 threshold</w:t>
            </w:r>
          </w:p>
        </w:tc>
        <w:tc>
          <w:tcPr>
            <w:tcW w:type="dxa" w:w="3312"/>
            <w:shd w:val="clear" w:color="auto" w:fill="FFFFFF"/>
          </w:tcPr>
          <w:p>
            <w:r/>
            <w:r>
              <w:rPr>
                <w:rFonts w:ascii="Calibri" w:hAnsi="Calibri"/>
                <w:b w:val="0"/>
                <w:sz w:val="18"/>
              </w:rPr>
              <w:t>Reported for interpretability; depend on the threshold.</w:t>
            </w:r>
          </w:p>
        </w:tc>
      </w:tr>
      <w:tr>
        <w:tc>
          <w:tcPr>
            <w:tcW w:type="dxa" w:w="2736"/>
            <w:shd w:val="clear" w:color="auto" w:fill="F3EBFA"/>
          </w:tcPr>
          <w:p>
            <w:r/>
            <w:r>
              <w:rPr>
                <w:rFonts w:ascii="Calibri" w:hAnsi="Calibri"/>
                <w:b w:val="0"/>
                <w:sz w:val="18"/>
              </w:rPr>
              <w:t>Accuracy</w:t>
            </w:r>
          </w:p>
        </w:tc>
        <w:tc>
          <w:tcPr>
            <w:tcW w:type="dxa" w:w="3744"/>
            <w:shd w:val="clear" w:color="auto" w:fill="F3EBFA"/>
          </w:tcPr>
          <w:p>
            <w:r/>
            <w:r>
              <w:rPr>
                <w:rFonts w:ascii="Calibri" w:hAnsi="Calibri"/>
                <w:b w:val="0"/>
                <w:sz w:val="18"/>
              </w:rPr>
              <w:t>Overall correctness</w:t>
            </w:r>
          </w:p>
        </w:tc>
        <w:tc>
          <w:tcPr>
            <w:tcW w:type="dxa" w:w="3312"/>
            <w:shd w:val="clear" w:color="auto" w:fill="F3EBFA"/>
          </w:tcPr>
          <w:p>
            <w:r/>
            <w:r>
              <w:rPr>
                <w:rFonts w:ascii="Calibri" w:hAnsi="Calibri"/>
                <w:b w:val="0"/>
                <w:sz w:val="18"/>
              </w:rPr>
              <w:t>Reported only to show why it is misleading here.</w:t>
            </w:r>
          </w:p>
        </w:tc>
      </w:tr>
    </w:tbl>
    <w:p>
      <w:pPr>
        <w:spacing w:after="40"/>
      </w:pPr>
    </w:p>
    <w:p>
      <w:pPr>
        <w:spacing w:after="120" w:before="0"/>
      </w:pPr>
      <w:r>
        <w:rPr>
          <w:rFonts w:ascii="Calibri" w:hAnsi="Calibri"/>
          <w:b w:val="0"/>
          <w:i w:val="0"/>
          <w:sz w:val="21"/>
        </w:rPr>
        <w:t>PR-AUC is the gate metric because it most directly answers the question the gate must ask: does this model rank high-risk customers better than the baseline. The three-rule comparison in Section 12 backs this choice with concrete numbers from our own runs.</w:t>
      </w:r>
    </w:p>
    <w:p>
      <w:r>
        <w:br w:type="page"/>
      </w:r>
    </w:p>
    <w:p>
      <w:pPr>
        <w:spacing w:before="280" w:after="120"/>
        <w:pBdr>
          <w:bottom w:val="single" w:sz="6" w:space="2" w:color="8E3CC4"/>
        </w:pBdr>
      </w:pPr>
      <w:r>
        <w:rPr>
          <w:rFonts w:ascii="Calibri" w:hAnsi="Calibri"/>
          <w:b/>
          <w:color w:val="3B1E63"/>
          <w:sz w:val="30"/>
        </w:rPr>
        <w:t>10  The Quality Gate and CI (Task 6)</w:t>
      </w:r>
    </w:p>
    <w:p>
      <w:pPr>
        <w:spacing w:after="120" w:before="0"/>
      </w:pPr>
      <w:r>
        <w:rPr>
          <w:rFonts w:ascii="Calibri" w:hAnsi="Calibri"/>
          <w:b w:val="0"/>
          <w:i w:val="0"/>
          <w:sz w:val="21"/>
        </w:rPr>
        <w:t>A GitHub Actions workflow runs on every pull request into main. It installs dependencies, restores the data with dvc pull, runs pytest, trains with the CI configuration, compares the best model PR-AUC to the baseline, and blocks the merge if a test fails or the model is worse. It writes a short Markdown summary a reviewer can read without opening logs.</w:t>
      </w:r>
    </w:p>
    <w:p>
      <w:pPr>
        <w:spacing w:before="180" w:after="60"/>
      </w:pPr>
      <w:r>
        <w:rPr>
          <w:rFonts w:ascii="Calibri" w:hAnsi="Calibri"/>
          <w:b/>
          <w:color w:val="8E3CC4"/>
          <w:sz w:val="24"/>
        </w:rPr>
        <w:t>The gate rule</w:t>
      </w:r>
    </w:p>
    <w:p>
      <w:pPr>
        <w:spacing w:after="0" w:before="0"/>
        <w:shd w:val="clear" w:color="auto" w:fill="F3EBFA"/>
      </w:pPr>
      <w:r>
        <w:rPr>
          <w:rFonts w:ascii="Consolas" w:hAnsi="Consolas"/>
          <w:color w:val="2A1245"/>
          <w:sz w:val="17"/>
        </w:rPr>
        <w:t>PASS  if  candidate_metric &gt;= baseline_metric - tolerance</w:t>
      </w:r>
    </w:p>
    <w:p>
      <w:pPr>
        <w:spacing w:after="0" w:before="0"/>
        <w:shd w:val="clear" w:color="auto" w:fill="F3EBFA"/>
      </w:pPr>
      <w:r>
        <w:rPr>
          <w:rFonts w:ascii="Consolas" w:hAnsi="Consolas"/>
          <w:color w:val="2A1245"/>
          <w:sz w:val="17"/>
        </w:rPr>
        <w:t xml:space="preserve"> </w:t>
      </w:r>
    </w:p>
    <w:p>
      <w:pPr>
        <w:spacing w:after="0" w:before="0"/>
        <w:shd w:val="clear" w:color="auto" w:fill="F3EBFA"/>
      </w:pPr>
      <w:r>
        <w:rPr>
          <w:rFonts w:ascii="Consolas" w:hAnsi="Consolas"/>
          <w:color w:val="2A1245"/>
          <w:sz w:val="17"/>
        </w:rPr>
        <w:t>candidate 0.7948  &gt;=  0.7948 - 0.01  -&gt;  PASS   (documentation PR)</w:t>
      </w:r>
    </w:p>
    <w:p>
      <w:pPr>
        <w:spacing w:after="0" w:before="0"/>
        <w:shd w:val="clear" w:color="auto" w:fill="F3EBFA"/>
      </w:pPr>
      <w:r>
        <w:rPr>
          <w:rFonts w:ascii="Consolas" w:hAnsi="Consolas"/>
          <w:color w:val="2A1245"/>
          <w:sz w:val="17"/>
        </w:rPr>
        <w:t>candidate 0.7269  &lt;   0.7948 - 0.01  -&gt;  FAIL   (shallow forest PR)</w:t>
      </w:r>
    </w:p>
    <w:p>
      <w:pPr>
        <w:spacing w:after="80"/>
      </w:pPr>
    </w:p>
    <w:p>
      <w:pPr>
        <w:spacing w:before="180" w:after="60"/>
      </w:pPr>
      <w:r>
        <w:rPr>
          <w:rFonts w:ascii="Calibri" w:hAnsi="Calibri"/>
          <w:b/>
          <w:color w:val="8E3CC4"/>
          <w:sz w:val="24"/>
        </w:rPr>
        <w:t>Protecting the baseline</w:t>
      </w:r>
    </w:p>
    <w:p>
      <w:pPr>
        <w:spacing w:after="120" w:before="0"/>
      </w:pPr>
      <w:r>
        <w:rPr>
          <w:rFonts w:ascii="Calibri" w:hAnsi="Calibri"/>
          <w:b w:val="0"/>
          <w:i w:val="0"/>
          <w:sz w:val="21"/>
        </w:rPr>
        <w:t>The baseline is never changed by CI. It is updated only by a reviewed manual run of update_baseline.py on main, and the baseline file plus the CI config are marked review-protected through CODEOWNERS. A branch-protection ruleset on main requires the quality-gate check to pass before any merge, so a red gate genuinely blocks the merge rather than merely advising against it.</w:t>
      </w:r>
    </w:p>
    <w:p>
      <w:pPr>
        <w:spacing w:before="180" w:after="60"/>
      </w:pPr>
      <w:r>
        <w:rPr>
          <w:rFonts w:ascii="Calibri" w:hAnsi="Calibri"/>
          <w:b/>
          <w:color w:val="8E3CC4"/>
          <w:sz w:val="24"/>
        </w:rPr>
        <w:t>The three required pull requests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944"/>
            <w:shd w:val="clear" w:color="auto" w:fill="3B1E63"/>
          </w:tcPr>
          <w:p>
            <w:r/>
            <w:r>
              <w:rPr>
                <w:rFonts w:ascii="Calibri" w:hAnsi="Calibri"/>
                <w:b/>
                <w:color w:val="FFFFFF"/>
                <w:sz w:val="19"/>
              </w:rPr>
              <w:t>Pull request</w:t>
            </w:r>
          </w:p>
        </w:tc>
        <w:tc>
          <w:tcPr>
            <w:tcW w:type="dxa" w:w="2880"/>
            <w:shd w:val="clear" w:color="auto" w:fill="3B1E63"/>
          </w:tcPr>
          <w:p>
            <w:r/>
            <w:r>
              <w:rPr>
                <w:rFonts w:ascii="Calibri" w:hAnsi="Calibri"/>
                <w:b/>
                <w:color w:val="FFFFFF"/>
                <w:sz w:val="19"/>
              </w:rPr>
              <w:t>Change</w:t>
            </w:r>
          </w:p>
        </w:tc>
        <w:tc>
          <w:tcPr>
            <w:tcW w:type="dxa" w:w="2016"/>
            <w:shd w:val="clear" w:color="auto" w:fill="3B1E63"/>
          </w:tcPr>
          <w:p>
            <w:r/>
            <w:r>
              <w:rPr>
                <w:rFonts w:ascii="Calibri" w:hAnsi="Calibri"/>
                <w:b/>
                <w:color w:val="FFFFFF"/>
                <w:sz w:val="19"/>
              </w:rPr>
              <w:t>CI result</w:t>
            </w:r>
          </w:p>
        </w:tc>
        <w:tc>
          <w:tcPr>
            <w:tcW w:type="dxa" w:w="2952"/>
            <w:shd w:val="clear" w:color="auto" w:fill="3B1E63"/>
          </w:tcPr>
          <w:p>
            <w:r/>
            <w:r>
              <w:rPr>
                <w:rFonts w:ascii="Calibri" w:hAnsi="Calibri"/>
                <w:b/>
                <w:color w:val="FFFFFF"/>
                <w:sz w:val="19"/>
              </w:rPr>
              <w:t>Why</w:t>
            </w:r>
          </w:p>
        </w:tc>
      </w:tr>
      <w:tr>
        <w:tc>
          <w:tcPr>
            <w:tcW w:type="dxa" w:w="1944"/>
            <w:shd w:val="clear" w:color="auto" w:fill="FFFFFF"/>
          </w:tcPr>
          <w:p>
            <w:r/>
            <w:r>
              <w:rPr>
                <w:rFonts w:ascii="Calibri" w:hAnsi="Calibri"/>
                <w:b w:val="0"/>
                <w:sz w:val="18"/>
              </w:rPr>
              <w:t>Passes</w:t>
            </w:r>
          </w:p>
        </w:tc>
        <w:tc>
          <w:tcPr>
            <w:tcW w:type="dxa" w:w="2880"/>
            <w:shd w:val="clear" w:color="auto" w:fill="FFFFFF"/>
          </w:tcPr>
          <w:p>
            <w:r/>
            <w:r>
              <w:rPr>
                <w:rFonts w:ascii="Calibri" w:hAnsi="Calibri"/>
                <w:b w:val="0"/>
                <w:sz w:val="18"/>
              </w:rPr>
              <w:t>Documentation PR (by Shreya)</w:t>
            </w:r>
          </w:p>
        </w:tc>
        <w:tc>
          <w:tcPr>
            <w:tcW w:type="dxa" w:w="2016"/>
            <w:shd w:val="clear" w:color="auto" w:fill="FFFFFF"/>
          </w:tcPr>
          <w:p>
            <w:r/>
            <w:r>
              <w:rPr>
                <w:rFonts w:ascii="Calibri" w:hAnsi="Calibri"/>
                <w:b w:val="0"/>
                <w:sz w:val="18"/>
              </w:rPr>
              <w:t>Green</w:t>
            </w:r>
          </w:p>
        </w:tc>
        <w:tc>
          <w:tcPr>
            <w:tcW w:type="dxa" w:w="2952"/>
            <w:shd w:val="clear" w:color="auto" w:fill="FFFFFF"/>
          </w:tcPr>
          <w:p>
            <w:r/>
            <w:r>
              <w:rPr>
                <w:rFonts w:ascii="Calibri" w:hAnsi="Calibri"/>
                <w:b w:val="0"/>
                <w:sz w:val="18"/>
              </w:rPr>
              <w:t>Tests pass and the gate model equals the baseline.</w:t>
            </w:r>
          </w:p>
        </w:tc>
      </w:tr>
      <w:tr>
        <w:tc>
          <w:tcPr>
            <w:tcW w:type="dxa" w:w="1944"/>
            <w:shd w:val="clear" w:color="auto" w:fill="F3EBFA"/>
          </w:tcPr>
          <w:p>
            <w:r/>
            <w:r>
              <w:rPr>
                <w:rFonts w:ascii="Calibri" w:hAnsi="Calibri"/>
                <w:b w:val="0"/>
                <w:sz w:val="18"/>
              </w:rPr>
              <w:t>Fails, model worse</w:t>
            </w:r>
          </w:p>
        </w:tc>
        <w:tc>
          <w:tcPr>
            <w:tcW w:type="dxa" w:w="2880"/>
            <w:shd w:val="clear" w:color="auto" w:fill="F3EBFA"/>
          </w:tcPr>
          <w:p>
            <w:r/>
            <w:r>
              <w:rPr>
                <w:rFonts w:ascii="Calibri" w:hAnsi="Calibri"/>
                <w:b w:val="0"/>
                <w:sz w:val="18"/>
              </w:rPr>
              <w:t>Shallow unweighted forest in CI config</w:t>
            </w:r>
          </w:p>
        </w:tc>
        <w:tc>
          <w:tcPr>
            <w:tcW w:type="dxa" w:w="2016"/>
            <w:shd w:val="clear" w:color="auto" w:fill="F3EBFA"/>
          </w:tcPr>
          <w:p>
            <w:r/>
            <w:r>
              <w:rPr>
                <w:rFonts w:ascii="Calibri" w:hAnsi="Calibri"/>
                <w:b w:val="0"/>
                <w:sz w:val="18"/>
              </w:rPr>
              <w:t>Red at gate step</w:t>
            </w:r>
          </w:p>
        </w:tc>
        <w:tc>
          <w:tcPr>
            <w:tcW w:type="dxa" w:w="2952"/>
            <w:shd w:val="clear" w:color="auto" w:fill="F3EBFA"/>
          </w:tcPr>
          <w:p>
            <w:r/>
            <w:r>
              <w:rPr>
                <w:rFonts w:ascii="Calibri" w:hAnsi="Calibri"/>
                <w:b w:val="0"/>
                <w:sz w:val="18"/>
              </w:rPr>
              <w:t>PR-AUC 0.7269 is below baseline minus 0.01.</w:t>
            </w:r>
          </w:p>
        </w:tc>
      </w:tr>
      <w:tr>
        <w:tc>
          <w:tcPr>
            <w:tcW w:type="dxa" w:w="1944"/>
            <w:shd w:val="clear" w:color="auto" w:fill="FFFFFF"/>
          </w:tcPr>
          <w:p>
            <w:r/>
            <w:r>
              <w:rPr>
                <w:rFonts w:ascii="Calibri" w:hAnsi="Calibri"/>
                <w:b w:val="0"/>
                <w:sz w:val="18"/>
              </w:rPr>
              <w:t>Fails, test fails</w:t>
            </w:r>
          </w:p>
        </w:tc>
        <w:tc>
          <w:tcPr>
            <w:tcW w:type="dxa" w:w="2880"/>
            <w:shd w:val="clear" w:color="auto" w:fill="FFFFFF"/>
          </w:tcPr>
          <w:p>
            <w:r/>
            <w:r>
              <w:rPr>
                <w:rFonts w:ascii="Calibri" w:hAnsi="Calibri"/>
                <w:b w:val="0"/>
                <w:sz w:val="18"/>
              </w:rPr>
              <w:t>Drops the zero-limit guard in features</w:t>
            </w:r>
          </w:p>
        </w:tc>
        <w:tc>
          <w:tcPr>
            <w:tcW w:type="dxa" w:w="2016"/>
            <w:shd w:val="clear" w:color="auto" w:fill="FFFFFF"/>
          </w:tcPr>
          <w:p>
            <w:r/>
            <w:r>
              <w:rPr>
                <w:rFonts w:ascii="Calibri" w:hAnsi="Calibri"/>
                <w:b w:val="0"/>
                <w:sz w:val="18"/>
              </w:rPr>
              <w:t>Red at test step</w:t>
            </w:r>
          </w:p>
        </w:tc>
        <w:tc>
          <w:tcPr>
            <w:tcW w:type="dxa" w:w="2952"/>
            <w:shd w:val="clear" w:color="auto" w:fill="FFFFFF"/>
          </w:tcPr>
          <w:p>
            <w:r/>
            <w:r>
              <w:rPr>
                <w:rFonts w:ascii="Calibri" w:hAnsi="Calibri"/>
                <w:b w:val="0"/>
                <w:sz w:val="18"/>
              </w:rPr>
              <w:t>A unit test fails before the gate even runs.</w:t>
            </w:r>
          </w:p>
        </w:tc>
      </w:tr>
    </w:tbl>
    <w:p>
      <w:pPr>
        <w:spacing w:after="40"/>
      </w:pPr>
    </w:p>
    <w:p>
      <w:pPr>
        <w:spacing w:before="80" w:after="40"/>
        <w:jc w:val="center"/>
        <w:pBdr>
          <w:top w:val="single" w:sz="4" w:space="4" w:color="C9B8DC"/>
          <w:bottom w:val="single" w:sz="4" w:space="4" w:color="C9B8DC"/>
          <w:left w:val="single" w:sz="4" w:space="4" w:color="C9B8DC"/>
          <w:right w:val="single" w:sz="4" w:space="4" w:color="C9B8DC"/>
        </w:pBdr>
      </w:pPr>
      <w:r>
        <w:drawing>
          <wp:inline xmlns:a="http://schemas.openxmlformats.org/drawingml/2006/main" xmlns:pic="http://schemas.openxmlformats.org/drawingml/2006/picture">
            <wp:extent cx="5852160" cy="1938528"/>
            <wp:docPr id="6" name="Picture 6"/>
            <wp:cNvGraphicFramePr>
              <a:graphicFrameLocks noChangeAspect="1"/>
            </wp:cNvGraphicFramePr>
            <a:graphic>
              <a:graphicData uri="http://schemas.openxmlformats.org/drawingml/2006/picture">
                <pic:pic>
                  <pic:nvPicPr>
                    <pic:cNvPr id="0" name="fig4a_pull_requests.jpg"/>
                    <pic:cNvPicPr/>
                  </pic:nvPicPr>
                  <pic:blipFill>
                    <a:blip r:embed="rId15"/>
                    <a:stretch>
                      <a:fillRect/>
                    </a:stretch>
                  </pic:blipFill>
                  <pic:spPr>
                    <a:xfrm>
                      <a:off x="0" y="0"/>
                      <a:ext cx="5852160" cy="1938528"/>
                    </a:xfrm>
                    <a:prstGeom prst="rect"/>
                  </pic:spPr>
                </pic:pic>
              </a:graphicData>
            </a:graphic>
          </wp:inline>
        </w:drawing>
      </w:r>
    </w:p>
    <w:p>
      <w:pPr>
        <w:spacing w:before="40" w:after="200"/>
        <w:jc w:val="center"/>
      </w:pPr>
      <w:r>
        <w:rPr>
          <w:rFonts w:ascii="Calibri" w:hAnsi="Calibri"/>
          <w:i/>
          <w:color w:val="555555"/>
          <w:sz w:val="18"/>
        </w:rPr>
        <w:t>Figure 4a. The pull request history: the merged documentation PR (green check) and the two demonstration PRs that fail the gate (red X). Branch protection blocks the two failing ones from merging.</w:t>
      </w:r>
    </w:p>
    <w:p>
      <w:pPr>
        <w:spacing w:before="80" w:after="40"/>
        <w:jc w:val="center"/>
        <w:pBdr>
          <w:top w:val="single" w:sz="4" w:space="4" w:color="C9B8DC"/>
          <w:bottom w:val="single" w:sz="4" w:space="4" w:color="C9B8DC"/>
          <w:left w:val="single" w:sz="4" w:space="4" w:color="C9B8DC"/>
          <w:right w:val="single" w:sz="4" w:space="4" w:color="C9B8DC"/>
        </w:pBdr>
      </w:pPr>
      <w:r>
        <w:drawing>
          <wp:inline xmlns:a="http://schemas.openxmlformats.org/drawingml/2006/main" xmlns:pic="http://schemas.openxmlformats.org/drawingml/2006/picture">
            <wp:extent cx="3931920" cy="3420173"/>
            <wp:docPr id="7" name="Picture 7"/>
            <wp:cNvGraphicFramePr>
              <a:graphicFrameLocks noChangeAspect="1"/>
            </wp:cNvGraphicFramePr>
            <a:graphic>
              <a:graphicData uri="http://schemas.openxmlformats.org/drawingml/2006/picture">
                <pic:pic>
                  <pic:nvPicPr>
                    <pic:cNvPr id="0" name="fig4b_gate_summary.jpg"/>
                    <pic:cNvPicPr/>
                  </pic:nvPicPr>
                  <pic:blipFill>
                    <a:blip r:embed="rId16"/>
                    <a:stretch>
                      <a:fillRect/>
                    </a:stretch>
                  </pic:blipFill>
                  <pic:spPr>
                    <a:xfrm>
                      <a:off x="0" y="0"/>
                      <a:ext cx="3931920" cy="3420173"/>
                    </a:xfrm>
                    <a:prstGeom prst="rect"/>
                  </pic:spPr>
                </pic:pic>
              </a:graphicData>
            </a:graphic>
          </wp:inline>
        </w:drawing>
      </w:r>
    </w:p>
    <w:p>
      <w:pPr>
        <w:spacing w:before="40" w:after="200"/>
        <w:jc w:val="center"/>
      </w:pPr>
      <w:r>
        <w:rPr>
          <w:rFonts w:ascii="Calibri" w:hAnsi="Calibri"/>
          <w:i/>
          <w:color w:val="555555"/>
          <w:sz w:val="18"/>
        </w:rPr>
        <w:t>Figure 4b. The gate summary a reviewer sees on the model-worse PR: candidate PR-AUC 0.7269 is below the baseline of 0.7948, so the gate fails and the merge is blocked.</w:t>
      </w:r>
    </w:p>
    <w:p>
      <w:r>
        <w:br w:type="page"/>
      </w:r>
    </w:p>
    <w:p>
      <w:pPr>
        <w:spacing w:before="280" w:after="120"/>
        <w:pBdr>
          <w:bottom w:val="single" w:sz="6" w:space="2" w:color="8E3CC4"/>
        </w:pBdr>
      </w:pPr>
      <w:r>
        <w:rPr>
          <w:rFonts w:ascii="Calibri" w:hAnsi="Calibri"/>
          <w:b/>
          <w:color w:val="3B1E63"/>
          <w:sz w:val="30"/>
        </w:rPr>
        <w:t>11  Data-Change Drill, v1 versus v2 (Task 7)</w:t>
      </w:r>
    </w:p>
    <w:p>
      <w:pPr>
        <w:spacing w:after="120" w:before="0"/>
      </w:pPr>
      <w:r>
        <w:rPr>
          <w:rFonts w:ascii="Calibri" w:hAnsi="Calibri"/>
          <w:b w:val="0"/>
          <w:i w:val="0"/>
          <w:sz w:val="21"/>
        </w:rPr>
        <w:t>When dataset v2 arrived (1,100 rows, the 800 v1 rows plus 300 new customers), we retrained through the same pipeline on both versions across three seeds each, logging every run with a data version tag so the records themselves carry the v1 or v2 label.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3B1E63"/>
          </w:tcPr>
          <w:p>
            <w:r/>
            <w:r>
              <w:rPr>
                <w:rFonts w:ascii="Calibri" w:hAnsi="Calibri"/>
                <w:b/>
                <w:color w:val="FFFFFF"/>
                <w:sz w:val="19"/>
              </w:rPr>
              <w:t>Data version</w:t>
            </w:r>
          </w:p>
        </w:tc>
        <w:tc>
          <w:tcPr>
            <w:tcW w:type="dxa" w:w="2448"/>
            <w:shd w:val="clear" w:color="auto" w:fill="3B1E63"/>
          </w:tcPr>
          <w:p>
            <w:r/>
            <w:r>
              <w:rPr>
                <w:rFonts w:ascii="Calibri" w:hAnsi="Calibri"/>
                <w:b/>
                <w:color w:val="FFFFFF"/>
                <w:sz w:val="19"/>
              </w:rPr>
              <w:t>Mean PR-AUC</w:t>
            </w:r>
          </w:p>
        </w:tc>
        <w:tc>
          <w:tcPr>
            <w:tcW w:type="dxa" w:w="2448"/>
            <w:shd w:val="clear" w:color="auto" w:fill="3B1E63"/>
          </w:tcPr>
          <w:p>
            <w:r/>
            <w:r>
              <w:rPr>
                <w:rFonts w:ascii="Calibri" w:hAnsi="Calibri"/>
                <w:b/>
                <w:color w:val="FFFFFF"/>
                <w:sz w:val="19"/>
              </w:rPr>
              <w:t>Std over 3 seeds</w:t>
            </w:r>
          </w:p>
        </w:tc>
        <w:tc>
          <w:tcPr>
            <w:tcW w:type="dxa" w:w="2448"/>
            <w:shd w:val="clear" w:color="auto" w:fill="3B1E63"/>
          </w:tcPr>
          <w:p>
            <w:r/>
            <w:r>
              <w:rPr>
                <w:rFonts w:ascii="Calibri" w:hAnsi="Calibri"/>
                <w:b/>
                <w:color w:val="FFFFFF"/>
                <w:sz w:val="19"/>
              </w:rPr>
              <w:t>Seeds</w:t>
            </w:r>
          </w:p>
        </w:tc>
      </w:tr>
      <w:tr>
        <w:tc>
          <w:tcPr>
            <w:tcW w:type="dxa" w:w="2448"/>
            <w:shd w:val="clear" w:color="auto" w:fill="FFFFFF"/>
          </w:tcPr>
          <w:p>
            <w:r/>
            <w:r>
              <w:rPr>
                <w:rFonts w:ascii="Calibri" w:hAnsi="Calibri"/>
                <w:b w:val="0"/>
                <w:sz w:val="18"/>
              </w:rPr>
              <w:t>v1</w:t>
            </w:r>
          </w:p>
        </w:tc>
        <w:tc>
          <w:tcPr>
            <w:tcW w:type="dxa" w:w="2448"/>
            <w:shd w:val="clear" w:color="auto" w:fill="FFFFFF"/>
          </w:tcPr>
          <w:p>
            <w:r/>
            <w:r>
              <w:rPr>
                <w:rFonts w:ascii="Calibri" w:hAnsi="Calibri"/>
                <w:b w:val="0"/>
                <w:sz w:val="18"/>
              </w:rPr>
              <w:t>0.7878</w:t>
            </w:r>
          </w:p>
        </w:tc>
        <w:tc>
          <w:tcPr>
            <w:tcW w:type="dxa" w:w="2448"/>
            <w:shd w:val="clear" w:color="auto" w:fill="FFFFFF"/>
          </w:tcPr>
          <w:p>
            <w:r/>
            <w:r>
              <w:rPr>
                <w:rFonts w:ascii="Calibri" w:hAnsi="Calibri"/>
                <w:b w:val="0"/>
                <w:sz w:val="18"/>
              </w:rPr>
              <w:t>0.0769</w:t>
            </w:r>
          </w:p>
        </w:tc>
        <w:tc>
          <w:tcPr>
            <w:tcW w:type="dxa" w:w="2448"/>
            <w:shd w:val="clear" w:color="auto" w:fill="FFFFFF"/>
          </w:tcPr>
          <w:p>
            <w:r/>
            <w:r>
              <w:rPr>
                <w:rFonts w:ascii="Calibri" w:hAnsi="Calibri"/>
                <w:b w:val="0"/>
                <w:sz w:val="18"/>
              </w:rPr>
              <w:t>42, 7, 123</w:t>
            </w:r>
          </w:p>
        </w:tc>
      </w:tr>
      <w:tr>
        <w:tc>
          <w:tcPr>
            <w:tcW w:type="dxa" w:w="2448"/>
            <w:shd w:val="clear" w:color="auto" w:fill="F3EBFA"/>
          </w:tcPr>
          <w:p>
            <w:r/>
            <w:r>
              <w:rPr>
                <w:rFonts w:ascii="Calibri" w:hAnsi="Calibri"/>
                <w:b w:val="0"/>
                <w:sz w:val="18"/>
              </w:rPr>
              <w:t>v2</w:t>
            </w:r>
          </w:p>
        </w:tc>
        <w:tc>
          <w:tcPr>
            <w:tcW w:type="dxa" w:w="2448"/>
            <w:shd w:val="clear" w:color="auto" w:fill="F3EBFA"/>
          </w:tcPr>
          <w:p>
            <w:r/>
            <w:r>
              <w:rPr>
                <w:rFonts w:ascii="Calibri" w:hAnsi="Calibri"/>
                <w:b w:val="0"/>
                <w:sz w:val="18"/>
              </w:rPr>
              <w:t>0.8427</w:t>
            </w:r>
          </w:p>
        </w:tc>
        <w:tc>
          <w:tcPr>
            <w:tcW w:type="dxa" w:w="2448"/>
            <w:shd w:val="clear" w:color="auto" w:fill="F3EBFA"/>
          </w:tcPr>
          <w:p>
            <w:r/>
            <w:r>
              <w:rPr>
                <w:rFonts w:ascii="Calibri" w:hAnsi="Calibri"/>
                <w:b w:val="0"/>
                <w:sz w:val="18"/>
              </w:rPr>
              <w:t>0.0432</w:t>
            </w:r>
          </w:p>
        </w:tc>
        <w:tc>
          <w:tcPr>
            <w:tcW w:type="dxa" w:w="2448"/>
            <w:shd w:val="clear" w:color="auto" w:fill="F3EBFA"/>
          </w:tcPr>
          <w:p>
            <w:r/>
            <w:r>
              <w:rPr>
                <w:rFonts w:ascii="Calibri" w:hAnsi="Calibri"/>
                <w:b w:val="0"/>
                <w:sz w:val="18"/>
              </w:rPr>
              <w:t>42, 7, 123</w:t>
            </w:r>
          </w:p>
        </w:tc>
      </w:tr>
    </w:tbl>
    <w:p>
      <w:pPr>
        <w:spacing w:after="40"/>
      </w:pPr>
    </w:p>
    <w:p>
      <w:pPr>
        <w:spacing w:before="180" w:after="60"/>
      </w:pPr>
      <w:r>
        <w:rPr>
          <w:rFonts w:ascii="Calibri" w:hAnsi="Calibri"/>
          <w:b/>
          <w:color w:val="8E3CC4"/>
          <w:sz w:val="24"/>
        </w:rPr>
        <w:t>Is the improvement real? A paired test on five seeds</w:t>
      </w:r>
    </w:p>
    <w:p>
      <w:pPr>
        <w:spacing w:after="120" w:before="0"/>
      </w:pPr>
      <w:r>
        <w:rPr>
          <w:rFonts w:ascii="Calibri" w:hAnsi="Calibri"/>
          <w:b w:val="0"/>
          <w:i w:val="0"/>
          <w:sz w:val="21"/>
        </w:rPr>
        <w:t>The v2 mean is higher than v1, but a single run never settles this. To test it properly we reran the drill on five paired seeds (42, 7, 123, 2024, 99), ran a paired t-test on the per-seed PR-AUC differences, and added a 5,000-sample bootstrap confidence interval.</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3B1E63"/>
          </w:tcPr>
          <w:p>
            <w:r/>
            <w:r>
              <w:rPr>
                <w:rFonts w:ascii="Calibri" w:hAnsi="Calibri"/>
                <w:b/>
                <w:color w:val="FFFFFF"/>
                <w:sz w:val="19"/>
              </w:rPr>
              <w:t>Quantity</w:t>
            </w:r>
          </w:p>
        </w:tc>
        <w:tc>
          <w:tcPr>
            <w:tcW w:type="dxa" w:w="4896"/>
            <w:shd w:val="clear" w:color="auto" w:fill="3B1E63"/>
          </w:tcPr>
          <w:p>
            <w:r/>
            <w:r>
              <w:rPr>
                <w:rFonts w:ascii="Calibri" w:hAnsi="Calibri"/>
                <w:b/>
                <w:color w:val="FFFFFF"/>
                <w:sz w:val="19"/>
              </w:rPr>
              <w:t>Value</w:t>
            </w:r>
          </w:p>
        </w:tc>
      </w:tr>
      <w:tr>
        <w:tc>
          <w:tcPr>
            <w:tcW w:type="dxa" w:w="4896"/>
            <w:shd w:val="clear" w:color="auto" w:fill="FFFFFF"/>
          </w:tcPr>
          <w:p>
            <w:r/>
            <w:r>
              <w:rPr>
                <w:rFonts w:ascii="Calibri" w:hAnsi="Calibri"/>
                <w:b w:val="0"/>
                <w:sz w:val="18"/>
              </w:rPr>
              <w:t>Mean PR-AUC, v1 (5 seeds)</w:t>
            </w:r>
          </w:p>
        </w:tc>
        <w:tc>
          <w:tcPr>
            <w:tcW w:type="dxa" w:w="4896"/>
            <w:shd w:val="clear" w:color="auto" w:fill="FFFFFF"/>
          </w:tcPr>
          <w:p>
            <w:r/>
            <w:r>
              <w:rPr>
                <w:rFonts w:ascii="Calibri" w:hAnsi="Calibri"/>
                <w:b w:val="0"/>
                <w:sz w:val="18"/>
              </w:rPr>
              <w:t>0.814</w:t>
            </w:r>
          </w:p>
        </w:tc>
      </w:tr>
      <w:tr>
        <w:tc>
          <w:tcPr>
            <w:tcW w:type="dxa" w:w="4896"/>
            <w:shd w:val="clear" w:color="auto" w:fill="F3EBFA"/>
          </w:tcPr>
          <w:p>
            <w:r/>
            <w:r>
              <w:rPr>
                <w:rFonts w:ascii="Calibri" w:hAnsi="Calibri"/>
                <w:b w:val="0"/>
                <w:sz w:val="18"/>
              </w:rPr>
              <w:t>Mean PR-AUC, v2 (5 seeds)</w:t>
            </w:r>
          </w:p>
        </w:tc>
        <w:tc>
          <w:tcPr>
            <w:tcW w:type="dxa" w:w="4896"/>
            <w:shd w:val="clear" w:color="auto" w:fill="F3EBFA"/>
          </w:tcPr>
          <w:p>
            <w:r/>
            <w:r>
              <w:rPr>
                <w:rFonts w:ascii="Calibri" w:hAnsi="Calibri"/>
                <w:b w:val="0"/>
                <w:sz w:val="18"/>
              </w:rPr>
              <w:t>0.856</w:t>
            </w:r>
          </w:p>
        </w:tc>
      </w:tr>
      <w:tr>
        <w:tc>
          <w:tcPr>
            <w:tcW w:type="dxa" w:w="4896"/>
            <w:shd w:val="clear" w:color="auto" w:fill="FFFFFF"/>
          </w:tcPr>
          <w:p>
            <w:r/>
            <w:r>
              <w:rPr>
                <w:rFonts w:ascii="Calibri" w:hAnsi="Calibri"/>
                <w:b w:val="0"/>
                <w:sz w:val="18"/>
              </w:rPr>
              <w:t>Mean paired difference (v2 - v1)</w:t>
            </w:r>
          </w:p>
        </w:tc>
        <w:tc>
          <w:tcPr>
            <w:tcW w:type="dxa" w:w="4896"/>
            <w:shd w:val="clear" w:color="auto" w:fill="FFFFFF"/>
          </w:tcPr>
          <w:p>
            <w:r/>
            <w:r>
              <w:rPr>
                <w:rFonts w:ascii="Calibri" w:hAnsi="Calibri"/>
                <w:b w:val="0"/>
                <w:sz w:val="18"/>
              </w:rPr>
              <w:t>+0.0416</w:t>
            </w:r>
          </w:p>
        </w:tc>
      </w:tr>
      <w:tr>
        <w:tc>
          <w:tcPr>
            <w:tcW w:type="dxa" w:w="4896"/>
            <w:shd w:val="clear" w:color="auto" w:fill="F3EBFA"/>
          </w:tcPr>
          <w:p>
            <w:r/>
            <w:r>
              <w:rPr>
                <w:rFonts w:ascii="Calibri" w:hAnsi="Calibri"/>
                <w:b w:val="0"/>
                <w:sz w:val="18"/>
              </w:rPr>
              <w:t>Paired t-test p-value</w:t>
            </w:r>
          </w:p>
        </w:tc>
        <w:tc>
          <w:tcPr>
            <w:tcW w:type="dxa" w:w="4896"/>
            <w:shd w:val="clear" w:color="auto" w:fill="F3EBFA"/>
          </w:tcPr>
          <w:p>
            <w:r/>
            <w:r>
              <w:rPr>
                <w:rFonts w:ascii="Calibri" w:hAnsi="Calibri"/>
                <w:b w:val="0"/>
                <w:sz w:val="18"/>
              </w:rPr>
              <w:t>0.077</w:t>
            </w:r>
          </w:p>
        </w:tc>
      </w:tr>
      <w:tr>
        <w:tc>
          <w:tcPr>
            <w:tcW w:type="dxa" w:w="4896"/>
            <w:shd w:val="clear" w:color="auto" w:fill="FFFFFF"/>
          </w:tcPr>
          <w:p>
            <w:r/>
            <w:r>
              <w:rPr>
                <w:rFonts w:ascii="Calibri" w:hAnsi="Calibri"/>
                <w:b w:val="0"/>
                <w:sz w:val="18"/>
              </w:rPr>
              <w:t>Bootstrap 95% CI of the difference</w:t>
            </w:r>
          </w:p>
        </w:tc>
        <w:tc>
          <w:tcPr>
            <w:tcW w:type="dxa" w:w="4896"/>
            <w:shd w:val="clear" w:color="auto" w:fill="FFFFFF"/>
          </w:tcPr>
          <w:p>
            <w:r/>
            <w:r>
              <w:rPr>
                <w:rFonts w:ascii="Calibri" w:hAnsi="Calibri"/>
                <w:b w:val="0"/>
                <w:sz w:val="18"/>
              </w:rPr>
              <w:t>[0.015, 0.078]</w:t>
            </w:r>
          </w:p>
        </w:tc>
      </w:tr>
    </w:tbl>
    <w:p>
      <w:pPr>
        <w:spacing w:after="40"/>
      </w:pPr>
    </w:p>
    <w:p>
      <w:pPr>
        <w:spacing w:after="120" w:before="0"/>
      </w:pPr>
      <w:r>
        <w:rPr>
          <w:rFonts w:ascii="Calibri" w:hAnsi="Calibri"/>
          <w:b w:val="0"/>
          <w:i w:val="0"/>
          <w:sz w:val="21"/>
        </w:rPr>
        <w:t>The result is genuinely borderline, and we report it as such. The bootstrap interval sits just above zero, which hints at a small real gain, but the paired t-test does not clear the 0.05 bar (p = 0.077), so with five seeds we cannot call the improvement statistically significant. The conclusion now rests on a real test rather than a rule of thumb: accept the v2 model because it does not regress, but do not claim a proven improvement. A firmer claim would need more seeds. This discipline, refusing to over-claim, is exactly what the quality gate exists to enforce.</w:t>
      </w:r>
    </w:p>
    <w:p>
      <w:r>
        <w:br w:type="page"/>
      </w:r>
    </w:p>
    <w:p>
      <w:pPr>
        <w:spacing w:before="280" w:after="120"/>
        <w:pBdr>
          <w:bottom w:val="single" w:sz="6" w:space="2" w:color="8E3CC4"/>
        </w:pBdr>
      </w:pPr>
      <w:r>
        <w:rPr>
          <w:rFonts w:ascii="Calibri" w:hAnsi="Calibri"/>
          <w:b/>
          <w:color w:val="3B1E63"/>
          <w:sz w:val="30"/>
        </w:rPr>
        <w:t>12  Threshold Comparison and Fairness Defense (Task 8)</w:t>
      </w:r>
    </w:p>
    <w:p>
      <w:pPr>
        <w:spacing w:after="120" w:before="0"/>
      </w:pPr>
      <w:r>
        <w:rPr>
          <w:rFonts w:ascii="Calibri" w:hAnsi="Calibri"/>
          <w:b w:val="0"/>
          <w:i w:val="0"/>
          <w:sz w:val="21"/>
        </w:rPr>
        <w:t>We did not accept the first metric we tried. We compared three candidate gate rules against our real 21-run history, using the CI model as the baseline, and counted how many of the 21 runs each rule would accept.</w:t>
      </w:r>
    </w:p>
    <w:tbl>
      <w:tblPr>
        <w:tblStyle w:val="TableGrid"/>
        <w:tblW w:type="auto" w:w="0"/>
        <w:jc w:val="center"/>
        <w:tblLook w:firstColumn="1" w:firstRow="1" w:lastColumn="0" w:lastRow="0" w:noHBand="0" w:noVBand="1" w:val="04A0"/>
      </w:tblPr>
      <w:tblGrid>
        <w:gridCol w:w="3264"/>
        <w:gridCol w:w="3264"/>
        <w:gridCol w:w="3264"/>
      </w:tblGrid>
      <w:tr>
        <w:tc>
          <w:tcPr>
            <w:tcW w:type="dxa" w:w="3600"/>
            <w:shd w:val="clear" w:color="auto" w:fill="3B1E63"/>
          </w:tcPr>
          <w:p>
            <w:r/>
            <w:r>
              <w:rPr>
                <w:rFonts w:ascii="Calibri" w:hAnsi="Calibri"/>
                <w:b/>
                <w:color w:val="FFFFFF"/>
                <w:sz w:val="19"/>
              </w:rPr>
              <w:t>Candidate gate rule</w:t>
            </w:r>
          </w:p>
        </w:tc>
        <w:tc>
          <w:tcPr>
            <w:tcW w:type="dxa" w:w="2160"/>
            <w:shd w:val="clear" w:color="auto" w:fill="3B1E63"/>
          </w:tcPr>
          <w:p>
            <w:r/>
            <w:r>
              <w:rPr>
                <w:rFonts w:ascii="Calibri" w:hAnsi="Calibri"/>
                <w:b/>
                <w:color w:val="FFFFFF"/>
                <w:sz w:val="19"/>
              </w:rPr>
              <w:t>Runs accepted</w:t>
            </w:r>
          </w:p>
        </w:tc>
        <w:tc>
          <w:tcPr>
            <w:tcW w:type="dxa" w:w="4032"/>
            <w:shd w:val="clear" w:color="auto" w:fill="3B1E63"/>
          </w:tcPr>
          <w:p>
            <w:r/>
            <w:r>
              <w:rPr>
                <w:rFonts w:ascii="Calibri" w:hAnsi="Calibri"/>
                <w:b/>
                <w:color w:val="FFFFFF"/>
                <w:sz w:val="19"/>
              </w:rPr>
              <w:t>Behaviour</w:t>
            </w:r>
          </w:p>
        </w:tc>
      </w:tr>
      <w:tr>
        <w:tc>
          <w:tcPr>
            <w:tcW w:type="dxa" w:w="3600"/>
            <w:shd w:val="clear" w:color="auto" w:fill="FFFFFF"/>
          </w:tcPr>
          <w:p>
            <w:r/>
            <w:r>
              <w:rPr>
                <w:rFonts w:ascii="Calibri" w:hAnsi="Calibri"/>
                <w:b w:val="0"/>
                <w:sz w:val="18"/>
              </w:rPr>
              <w:t>PR-AUC &gt;= baseline - 0.01</w:t>
            </w:r>
          </w:p>
        </w:tc>
        <w:tc>
          <w:tcPr>
            <w:tcW w:type="dxa" w:w="2160"/>
            <w:shd w:val="clear" w:color="auto" w:fill="FFFFFF"/>
          </w:tcPr>
          <w:p>
            <w:r/>
            <w:r>
              <w:rPr>
                <w:rFonts w:ascii="Calibri" w:hAnsi="Calibri"/>
                <w:b w:val="0"/>
                <w:sz w:val="18"/>
              </w:rPr>
              <w:t>13 of 21</w:t>
            </w:r>
          </w:p>
        </w:tc>
        <w:tc>
          <w:tcPr>
            <w:tcW w:type="dxa" w:w="4032"/>
            <w:shd w:val="clear" w:color="auto" w:fill="FFFFFF"/>
          </w:tcPr>
          <w:p>
            <w:r/>
            <w:r>
              <w:rPr>
                <w:rFonts w:ascii="Calibri" w:hAnsi="Calibri"/>
                <w:b w:val="0"/>
                <w:sz w:val="18"/>
              </w:rPr>
              <w:t>Discriminating, rejects the weaker models.</w:t>
            </w:r>
          </w:p>
        </w:tc>
      </w:tr>
      <w:tr>
        <w:tc>
          <w:tcPr>
            <w:tcW w:type="dxa" w:w="3600"/>
            <w:shd w:val="clear" w:color="auto" w:fill="F3EBFA"/>
          </w:tcPr>
          <w:p>
            <w:r/>
            <w:r>
              <w:rPr>
                <w:rFonts w:ascii="Calibri" w:hAnsi="Calibri"/>
                <w:b w:val="0"/>
                <w:sz w:val="18"/>
              </w:rPr>
              <w:t>ROC-AUC &gt;= baseline - 0.01</w:t>
            </w:r>
          </w:p>
        </w:tc>
        <w:tc>
          <w:tcPr>
            <w:tcW w:type="dxa" w:w="2160"/>
            <w:shd w:val="clear" w:color="auto" w:fill="F3EBFA"/>
          </w:tcPr>
          <w:p>
            <w:r/>
            <w:r>
              <w:rPr>
                <w:rFonts w:ascii="Calibri" w:hAnsi="Calibri"/>
                <w:b w:val="0"/>
                <w:sz w:val="18"/>
              </w:rPr>
              <w:t>20 of 21</w:t>
            </w:r>
          </w:p>
        </w:tc>
        <w:tc>
          <w:tcPr>
            <w:tcW w:type="dxa" w:w="4032"/>
            <w:shd w:val="clear" w:color="auto" w:fill="F3EBFA"/>
          </w:tcPr>
          <w:p>
            <w:r/>
            <w:r>
              <w:rPr>
                <w:rFonts w:ascii="Calibri" w:hAnsi="Calibri"/>
                <w:b w:val="0"/>
                <w:sz w:val="18"/>
              </w:rPr>
              <w:t>Too lenient, stays high even when ranking drops.</w:t>
            </w:r>
          </w:p>
        </w:tc>
      </w:tr>
      <w:tr>
        <w:tc>
          <w:tcPr>
            <w:tcW w:type="dxa" w:w="3600"/>
            <w:shd w:val="clear" w:color="auto" w:fill="FFFFFF"/>
          </w:tcPr>
          <w:p>
            <w:r/>
            <w:r>
              <w:rPr>
                <w:rFonts w:ascii="Calibri" w:hAnsi="Calibri"/>
                <w:b w:val="0"/>
                <w:sz w:val="18"/>
              </w:rPr>
              <w:t>F1 &gt;= baseline - 0.01</w:t>
            </w:r>
          </w:p>
        </w:tc>
        <w:tc>
          <w:tcPr>
            <w:tcW w:type="dxa" w:w="2160"/>
            <w:shd w:val="clear" w:color="auto" w:fill="FFFFFF"/>
          </w:tcPr>
          <w:p>
            <w:r/>
            <w:r>
              <w:rPr>
                <w:rFonts w:ascii="Calibri" w:hAnsi="Calibri"/>
                <w:b w:val="0"/>
                <w:sz w:val="18"/>
              </w:rPr>
              <w:t>20 of 21</w:t>
            </w:r>
          </w:p>
        </w:tc>
        <w:tc>
          <w:tcPr>
            <w:tcW w:type="dxa" w:w="4032"/>
            <w:shd w:val="clear" w:color="auto" w:fill="FFFFFF"/>
          </w:tcPr>
          <w:p>
            <w:r/>
            <w:r>
              <w:rPr>
                <w:rFonts w:ascii="Calibri" w:hAnsi="Calibri"/>
                <w:b w:val="0"/>
                <w:sz w:val="18"/>
              </w:rPr>
              <w:t>Lenient and tied to the 0.5 threshold.</w:t>
            </w:r>
          </w:p>
        </w:tc>
      </w:tr>
    </w:tbl>
    <w:p>
      <w:pPr>
        <w:spacing w:after="40"/>
      </w:pPr>
    </w:p>
    <w:p>
      <w:pPr>
        <w:spacing w:after="120" w:before="0"/>
      </w:pPr>
      <w:r>
        <w:rPr>
          <w:rFonts w:ascii="Calibri" w:hAnsi="Calibri"/>
          <w:b w:val="0"/>
          <w:i w:val="0"/>
          <w:sz w:val="21"/>
        </w:rPr>
        <w:t>Seven runs that the ROC-AUC and F1 rules would accept are rejected by the PR-AUC rule. These are random forests whose PR-AUC falls as low as 0.690 while their ROC-AUC still reads about 0.92. Gating on ROC-AUC or F1 would let a model that is clearly worse at ranking high-risk customers merge unnoticed, the exact failure in the scenario. We therefore adopt PR-AUC at or above baseline minus 0.01. The 0.01 band absorbs the seed noise measured in Section 11 while still rejecting the real drops.</w:t>
      </w:r>
    </w:p>
    <w:p>
      <w:pPr>
        <w:spacing w:before="180" w:after="60"/>
      </w:pPr>
      <w:r>
        <w:rPr>
          <w:rFonts w:ascii="Calibri" w:hAnsi="Calibri"/>
          <w:b/>
          <w:color w:val="8E3CC4"/>
          <w:sz w:val="24"/>
        </w:rPr>
        <w:t>Error by income group for the registered model</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448"/>
            <w:shd w:val="clear" w:color="auto" w:fill="3B1E63"/>
          </w:tcPr>
          <w:p>
            <w:r/>
            <w:r>
              <w:rPr>
                <w:rFonts w:ascii="Calibri" w:hAnsi="Calibri"/>
                <w:b/>
                <w:color w:val="FFFFFF"/>
                <w:sz w:val="19"/>
              </w:rPr>
              <w:t>Income_Bracket</w:t>
            </w:r>
          </w:p>
        </w:tc>
        <w:tc>
          <w:tcPr>
            <w:tcW w:type="dxa" w:w="1656"/>
            <w:shd w:val="clear" w:color="auto" w:fill="3B1E63"/>
          </w:tcPr>
          <w:p>
            <w:r/>
            <w:r>
              <w:rPr>
                <w:rFonts w:ascii="Calibri" w:hAnsi="Calibri"/>
                <w:b/>
                <w:color w:val="FFFFFF"/>
                <w:sz w:val="19"/>
              </w:rPr>
              <w:t>Customers</w:t>
            </w:r>
          </w:p>
        </w:tc>
        <w:tc>
          <w:tcPr>
            <w:tcW w:type="dxa" w:w="1440"/>
            <w:shd w:val="clear" w:color="auto" w:fill="3B1E63"/>
          </w:tcPr>
          <w:p>
            <w:r/>
            <w:r>
              <w:rPr>
                <w:rFonts w:ascii="Calibri" w:hAnsi="Calibri"/>
                <w:b/>
                <w:color w:val="FFFFFF"/>
                <w:sz w:val="19"/>
              </w:rPr>
              <w:t>High risk</w:t>
            </w:r>
          </w:p>
        </w:tc>
        <w:tc>
          <w:tcPr>
            <w:tcW w:type="dxa" w:w="1368"/>
            <w:shd w:val="clear" w:color="auto" w:fill="3B1E63"/>
          </w:tcPr>
          <w:p>
            <w:r/>
            <w:r>
              <w:rPr>
                <w:rFonts w:ascii="Calibri" w:hAnsi="Calibri"/>
                <w:b/>
                <w:color w:val="FFFFFF"/>
                <w:sz w:val="19"/>
              </w:rPr>
              <w:t>False neg</w:t>
            </w:r>
          </w:p>
        </w:tc>
        <w:tc>
          <w:tcPr>
            <w:tcW w:type="dxa" w:w="1584"/>
            <w:shd w:val="clear" w:color="auto" w:fill="3B1E63"/>
          </w:tcPr>
          <w:p>
            <w:r/>
            <w:r>
              <w:rPr>
                <w:rFonts w:ascii="Calibri" w:hAnsi="Calibri"/>
                <w:b/>
                <w:color w:val="FFFFFF"/>
                <w:sz w:val="19"/>
              </w:rPr>
              <w:t>False-neg rate</w:t>
            </w:r>
          </w:p>
        </w:tc>
        <w:tc>
          <w:tcPr>
            <w:tcW w:type="dxa" w:w="1296"/>
            <w:shd w:val="clear" w:color="auto" w:fill="3B1E63"/>
          </w:tcPr>
          <w:p>
            <w:r/>
            <w:r>
              <w:rPr>
                <w:rFonts w:ascii="Calibri" w:hAnsi="Calibri"/>
                <w:b/>
                <w:color w:val="FFFFFF"/>
                <w:sz w:val="19"/>
              </w:rPr>
              <w:t>Accuracy</w:t>
            </w:r>
          </w:p>
        </w:tc>
      </w:tr>
      <w:tr>
        <w:tc>
          <w:tcPr>
            <w:tcW w:type="dxa" w:w="2448"/>
            <w:shd w:val="clear" w:color="auto" w:fill="FFFFFF"/>
          </w:tcPr>
          <w:p>
            <w:r/>
            <w:r>
              <w:rPr>
                <w:rFonts w:ascii="Calibri" w:hAnsi="Calibri"/>
                <w:b w:val="0"/>
                <w:sz w:val="18"/>
              </w:rPr>
              <w:t>High</w:t>
            </w:r>
          </w:p>
        </w:tc>
        <w:tc>
          <w:tcPr>
            <w:tcW w:type="dxa" w:w="1656"/>
            <w:shd w:val="clear" w:color="auto" w:fill="FFFFFF"/>
          </w:tcPr>
          <w:p>
            <w:r/>
            <w:r>
              <w:rPr>
                <w:rFonts w:ascii="Calibri" w:hAnsi="Calibri"/>
                <w:b w:val="0"/>
                <w:sz w:val="18"/>
              </w:rPr>
              <w:t>42</w:t>
            </w:r>
          </w:p>
        </w:tc>
        <w:tc>
          <w:tcPr>
            <w:tcW w:type="dxa" w:w="1440"/>
            <w:shd w:val="clear" w:color="auto" w:fill="FFFFFF"/>
          </w:tcPr>
          <w:p>
            <w:r/>
            <w:r>
              <w:rPr>
                <w:rFonts w:ascii="Calibri" w:hAnsi="Calibri"/>
                <w:b w:val="0"/>
                <w:sz w:val="18"/>
              </w:rPr>
              <w:t>5</w:t>
            </w:r>
          </w:p>
        </w:tc>
        <w:tc>
          <w:tcPr>
            <w:tcW w:type="dxa" w:w="1368"/>
            <w:shd w:val="clear" w:color="auto" w:fill="FFFFFF"/>
          </w:tcPr>
          <w:p>
            <w:r/>
            <w:r>
              <w:rPr>
                <w:rFonts w:ascii="Calibri" w:hAnsi="Calibri"/>
                <w:b w:val="0"/>
                <w:sz w:val="18"/>
              </w:rPr>
              <w:t>1</w:t>
            </w:r>
          </w:p>
        </w:tc>
        <w:tc>
          <w:tcPr>
            <w:tcW w:type="dxa" w:w="1584"/>
            <w:shd w:val="clear" w:color="auto" w:fill="FFFFFF"/>
          </w:tcPr>
          <w:p>
            <w:r/>
            <w:r>
              <w:rPr>
                <w:rFonts w:ascii="Calibri" w:hAnsi="Calibri"/>
                <w:b w:val="0"/>
                <w:sz w:val="18"/>
              </w:rPr>
              <w:t>0.200</w:t>
            </w:r>
          </w:p>
        </w:tc>
        <w:tc>
          <w:tcPr>
            <w:tcW w:type="dxa" w:w="1296"/>
            <w:shd w:val="clear" w:color="auto" w:fill="FFFFFF"/>
          </w:tcPr>
          <w:p>
            <w:r/>
            <w:r>
              <w:rPr>
                <w:rFonts w:ascii="Calibri" w:hAnsi="Calibri"/>
                <w:b w:val="0"/>
                <w:sz w:val="18"/>
              </w:rPr>
              <w:t>0.929</w:t>
            </w:r>
          </w:p>
        </w:tc>
      </w:tr>
      <w:tr>
        <w:tc>
          <w:tcPr>
            <w:tcW w:type="dxa" w:w="2448"/>
            <w:shd w:val="clear" w:color="auto" w:fill="F3EBFA"/>
          </w:tcPr>
          <w:p>
            <w:r/>
            <w:r>
              <w:rPr>
                <w:rFonts w:ascii="Calibri" w:hAnsi="Calibri"/>
                <w:b w:val="0"/>
                <w:sz w:val="18"/>
              </w:rPr>
              <w:t>Medium</w:t>
            </w:r>
          </w:p>
        </w:tc>
        <w:tc>
          <w:tcPr>
            <w:tcW w:type="dxa" w:w="1656"/>
            <w:shd w:val="clear" w:color="auto" w:fill="F3EBFA"/>
          </w:tcPr>
          <w:p>
            <w:r/>
            <w:r>
              <w:rPr>
                <w:rFonts w:ascii="Calibri" w:hAnsi="Calibri"/>
                <w:b w:val="0"/>
                <w:sz w:val="18"/>
              </w:rPr>
              <w:t>75</w:t>
            </w:r>
          </w:p>
        </w:tc>
        <w:tc>
          <w:tcPr>
            <w:tcW w:type="dxa" w:w="1440"/>
            <w:shd w:val="clear" w:color="auto" w:fill="F3EBFA"/>
          </w:tcPr>
          <w:p>
            <w:r/>
            <w:r>
              <w:rPr>
                <w:rFonts w:ascii="Calibri" w:hAnsi="Calibri"/>
                <w:b w:val="0"/>
                <w:sz w:val="18"/>
              </w:rPr>
              <w:t>16</w:t>
            </w:r>
          </w:p>
        </w:tc>
        <w:tc>
          <w:tcPr>
            <w:tcW w:type="dxa" w:w="1368"/>
            <w:shd w:val="clear" w:color="auto" w:fill="F3EBFA"/>
          </w:tcPr>
          <w:p>
            <w:r/>
            <w:r>
              <w:rPr>
                <w:rFonts w:ascii="Calibri" w:hAnsi="Calibri"/>
                <w:b w:val="0"/>
                <w:sz w:val="18"/>
              </w:rPr>
              <w:t>3</w:t>
            </w:r>
          </w:p>
        </w:tc>
        <w:tc>
          <w:tcPr>
            <w:tcW w:type="dxa" w:w="1584"/>
            <w:shd w:val="clear" w:color="auto" w:fill="F3EBFA"/>
          </w:tcPr>
          <w:p>
            <w:r/>
            <w:r>
              <w:rPr>
                <w:rFonts w:ascii="Calibri" w:hAnsi="Calibri"/>
                <w:b w:val="0"/>
                <w:sz w:val="18"/>
              </w:rPr>
              <w:t>0.188</w:t>
            </w:r>
          </w:p>
        </w:tc>
        <w:tc>
          <w:tcPr>
            <w:tcW w:type="dxa" w:w="1296"/>
            <w:shd w:val="clear" w:color="auto" w:fill="F3EBFA"/>
          </w:tcPr>
          <w:p>
            <w:r/>
            <w:r>
              <w:rPr>
                <w:rFonts w:ascii="Calibri" w:hAnsi="Calibri"/>
                <w:b w:val="0"/>
                <w:sz w:val="18"/>
              </w:rPr>
              <w:t>0.853</w:t>
            </w:r>
          </w:p>
        </w:tc>
      </w:tr>
      <w:tr>
        <w:tc>
          <w:tcPr>
            <w:tcW w:type="dxa" w:w="2448"/>
            <w:shd w:val="clear" w:color="auto" w:fill="FFFFFF"/>
          </w:tcPr>
          <w:p>
            <w:r/>
            <w:r>
              <w:rPr>
                <w:rFonts w:ascii="Calibri" w:hAnsi="Calibri"/>
                <w:b w:val="0"/>
                <w:sz w:val="18"/>
              </w:rPr>
              <w:t>Low</w:t>
            </w:r>
          </w:p>
        </w:tc>
        <w:tc>
          <w:tcPr>
            <w:tcW w:type="dxa" w:w="1656"/>
            <w:shd w:val="clear" w:color="auto" w:fill="FFFFFF"/>
          </w:tcPr>
          <w:p>
            <w:r/>
            <w:r>
              <w:rPr>
                <w:rFonts w:ascii="Calibri" w:hAnsi="Calibri"/>
                <w:b w:val="0"/>
                <w:sz w:val="18"/>
              </w:rPr>
              <w:t>83</w:t>
            </w:r>
          </w:p>
        </w:tc>
        <w:tc>
          <w:tcPr>
            <w:tcW w:type="dxa" w:w="1440"/>
            <w:shd w:val="clear" w:color="auto" w:fill="FFFFFF"/>
          </w:tcPr>
          <w:p>
            <w:r/>
            <w:r>
              <w:rPr>
                <w:rFonts w:ascii="Calibri" w:hAnsi="Calibri"/>
                <w:b w:val="0"/>
                <w:sz w:val="18"/>
              </w:rPr>
              <w:t>17</w:t>
            </w:r>
          </w:p>
        </w:tc>
        <w:tc>
          <w:tcPr>
            <w:tcW w:type="dxa" w:w="1368"/>
            <w:shd w:val="clear" w:color="auto" w:fill="FFFFFF"/>
          </w:tcPr>
          <w:p>
            <w:r/>
            <w:r>
              <w:rPr>
                <w:rFonts w:ascii="Calibri" w:hAnsi="Calibri"/>
                <w:b w:val="0"/>
                <w:sz w:val="18"/>
              </w:rPr>
              <w:t>6</w:t>
            </w:r>
          </w:p>
        </w:tc>
        <w:tc>
          <w:tcPr>
            <w:tcW w:type="dxa" w:w="1584"/>
            <w:shd w:val="clear" w:color="auto" w:fill="FFFFFF"/>
          </w:tcPr>
          <w:p>
            <w:r/>
            <w:r>
              <w:rPr>
                <w:rFonts w:ascii="Calibri" w:hAnsi="Calibri"/>
                <w:b w:val="0"/>
                <w:sz w:val="18"/>
              </w:rPr>
              <w:t>0.353</w:t>
            </w:r>
          </w:p>
        </w:tc>
        <w:tc>
          <w:tcPr>
            <w:tcW w:type="dxa" w:w="1296"/>
            <w:shd w:val="clear" w:color="auto" w:fill="FFFFFF"/>
          </w:tcPr>
          <w:p>
            <w:r/>
            <w:r>
              <w:rPr>
                <w:rFonts w:ascii="Calibri" w:hAnsi="Calibri"/>
                <w:b w:val="0"/>
                <w:sz w:val="18"/>
              </w:rPr>
              <w:t>0.880</w:t>
            </w:r>
          </w:p>
        </w:tc>
      </w:tr>
    </w:tbl>
    <w:p>
      <w:pPr>
        <w:spacing w:after="40"/>
      </w:pPr>
    </w:p>
    <w:p>
      <w:pPr>
        <w:spacing w:after="120" w:before="0"/>
      </w:pPr>
      <w:r>
        <w:rPr>
          <w:rFonts w:ascii="Calibri" w:hAnsi="Calibri"/>
          <w:b w:val="0"/>
          <w:i w:val="0"/>
          <w:sz w:val="21"/>
        </w:rPr>
        <w:t>The model misses a high-risk Low-income customer almost twice as often as a Medium or High-income one. Because the costly error is the false negative, this disparity falls on the group least able to absorb it.</w:t>
      </w:r>
    </w:p>
    <w:p>
      <w:pPr>
        <w:spacing w:before="180" w:after="60"/>
      </w:pPr>
      <w:r>
        <w:rPr>
          <w:rFonts w:ascii="Calibri" w:hAnsi="Calibri"/>
          <w:b/>
          <w:color w:val="8E3CC4"/>
          <w:sz w:val="24"/>
        </w:rPr>
        <w:t>Mitigation we implemented: equal-opportunity thresholds</w:t>
      </w:r>
    </w:p>
    <w:p>
      <w:pPr>
        <w:spacing w:after="120" w:before="0"/>
      </w:pPr>
      <w:r>
        <w:rPr>
          <w:rFonts w:ascii="Calibri" w:hAnsi="Calibri"/>
          <w:b w:val="0"/>
          <w:i w:val="0"/>
          <w:sz w:val="21"/>
        </w:rPr>
        <w:t>Rather than only flag the gap, we fixed it. We apply a decision threshold per income group (an equal-opportunity policy), lowering the threshold for the under-served group until its false-negative rate matches the others. scripts/robustness_and_fairness.py computes this on the registered model.</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160"/>
            <w:shd w:val="clear" w:color="auto" w:fill="3B1E63"/>
          </w:tcPr>
          <w:p>
            <w:r/>
            <w:r>
              <w:rPr>
                <w:rFonts w:ascii="Calibri" w:hAnsi="Calibri"/>
                <w:b/>
                <w:color w:val="FFFFFF"/>
                <w:sz w:val="19"/>
              </w:rPr>
              <w:t>Income group</w:t>
            </w:r>
          </w:p>
        </w:tc>
        <w:tc>
          <w:tcPr>
            <w:tcW w:type="dxa" w:w="1440"/>
            <w:shd w:val="clear" w:color="auto" w:fill="3B1E63"/>
          </w:tcPr>
          <w:p>
            <w:r/>
            <w:r>
              <w:rPr>
                <w:rFonts w:ascii="Calibri" w:hAnsi="Calibri"/>
                <w:b/>
                <w:color w:val="FFFFFF"/>
                <w:sz w:val="19"/>
              </w:rPr>
              <w:t>Threshold</w:t>
            </w:r>
          </w:p>
        </w:tc>
        <w:tc>
          <w:tcPr>
            <w:tcW w:type="dxa" w:w="1656"/>
            <w:shd w:val="clear" w:color="auto" w:fill="3B1E63"/>
          </w:tcPr>
          <w:p>
            <w:r/>
            <w:r>
              <w:rPr>
                <w:rFonts w:ascii="Calibri" w:hAnsi="Calibri"/>
                <w:b/>
                <w:color w:val="FFFFFF"/>
                <w:sz w:val="19"/>
              </w:rPr>
              <w:t>FN rate before</w:t>
            </w:r>
          </w:p>
        </w:tc>
        <w:tc>
          <w:tcPr>
            <w:tcW w:type="dxa" w:w="1584"/>
            <w:shd w:val="clear" w:color="auto" w:fill="3B1E63"/>
          </w:tcPr>
          <w:p>
            <w:r/>
            <w:r>
              <w:rPr>
                <w:rFonts w:ascii="Calibri" w:hAnsi="Calibri"/>
                <w:b/>
                <w:color w:val="FFFFFF"/>
                <w:sz w:val="19"/>
              </w:rPr>
              <w:t>FN rate after</w:t>
            </w:r>
          </w:p>
        </w:tc>
        <w:tc>
          <w:tcPr>
            <w:tcW w:type="dxa" w:w="1656"/>
            <w:shd w:val="clear" w:color="auto" w:fill="3B1E63"/>
          </w:tcPr>
          <w:p>
            <w:r/>
            <w:r>
              <w:rPr>
                <w:rFonts w:ascii="Calibri" w:hAnsi="Calibri"/>
                <w:b/>
                <w:color w:val="FFFFFF"/>
                <w:sz w:val="19"/>
              </w:rPr>
              <w:t>Precision before</w:t>
            </w:r>
          </w:p>
        </w:tc>
        <w:tc>
          <w:tcPr>
            <w:tcW w:type="dxa" w:w="1584"/>
            <w:shd w:val="clear" w:color="auto" w:fill="3B1E63"/>
          </w:tcPr>
          <w:p>
            <w:r/>
            <w:r>
              <w:rPr>
                <w:rFonts w:ascii="Calibri" w:hAnsi="Calibri"/>
                <w:b/>
                <w:color w:val="FFFFFF"/>
                <w:sz w:val="19"/>
              </w:rPr>
              <w:t>Precision after</w:t>
            </w:r>
          </w:p>
        </w:tc>
      </w:tr>
      <w:tr>
        <w:tc>
          <w:tcPr>
            <w:tcW w:type="dxa" w:w="2160"/>
            <w:shd w:val="clear" w:color="auto" w:fill="FFFFFF"/>
          </w:tcPr>
          <w:p>
            <w:r/>
            <w:r>
              <w:rPr>
                <w:rFonts w:ascii="Calibri" w:hAnsi="Calibri"/>
                <w:b w:val="0"/>
                <w:sz w:val="18"/>
              </w:rPr>
              <w:t>High</w:t>
            </w:r>
          </w:p>
        </w:tc>
        <w:tc>
          <w:tcPr>
            <w:tcW w:type="dxa" w:w="1440"/>
            <w:shd w:val="clear" w:color="auto" w:fill="FFFFFF"/>
          </w:tcPr>
          <w:p>
            <w:r/>
            <w:r>
              <w:rPr>
                <w:rFonts w:ascii="Calibri" w:hAnsi="Calibri"/>
                <w:b w:val="0"/>
                <w:sz w:val="18"/>
              </w:rPr>
              <w:t>0.50</w:t>
            </w:r>
          </w:p>
        </w:tc>
        <w:tc>
          <w:tcPr>
            <w:tcW w:type="dxa" w:w="1656"/>
            <w:shd w:val="clear" w:color="auto" w:fill="FFFFFF"/>
          </w:tcPr>
          <w:p>
            <w:r/>
            <w:r>
              <w:rPr>
                <w:rFonts w:ascii="Calibri" w:hAnsi="Calibri"/>
                <w:b w:val="0"/>
                <w:sz w:val="18"/>
              </w:rPr>
              <w:t>0.200</w:t>
            </w:r>
          </w:p>
        </w:tc>
        <w:tc>
          <w:tcPr>
            <w:tcW w:type="dxa" w:w="1584"/>
            <w:shd w:val="clear" w:color="auto" w:fill="FFFFFF"/>
          </w:tcPr>
          <w:p>
            <w:r/>
            <w:r>
              <w:rPr>
                <w:rFonts w:ascii="Calibri" w:hAnsi="Calibri"/>
                <w:b w:val="0"/>
                <w:sz w:val="18"/>
              </w:rPr>
              <w:t>0.200</w:t>
            </w:r>
          </w:p>
        </w:tc>
        <w:tc>
          <w:tcPr>
            <w:tcW w:type="dxa" w:w="1656"/>
            <w:shd w:val="clear" w:color="auto" w:fill="FFFFFF"/>
          </w:tcPr>
          <w:p>
            <w:r/>
            <w:r>
              <w:rPr>
                <w:rFonts w:ascii="Calibri" w:hAnsi="Calibri"/>
                <w:b w:val="0"/>
                <w:sz w:val="18"/>
              </w:rPr>
              <w:t>0.667</w:t>
            </w:r>
          </w:p>
        </w:tc>
        <w:tc>
          <w:tcPr>
            <w:tcW w:type="dxa" w:w="1584"/>
            <w:shd w:val="clear" w:color="auto" w:fill="FFFFFF"/>
          </w:tcPr>
          <w:p>
            <w:r/>
            <w:r>
              <w:rPr>
                <w:rFonts w:ascii="Calibri" w:hAnsi="Calibri"/>
                <w:b w:val="0"/>
                <w:sz w:val="18"/>
              </w:rPr>
              <w:t>0.667</w:t>
            </w:r>
          </w:p>
        </w:tc>
      </w:tr>
      <w:tr>
        <w:tc>
          <w:tcPr>
            <w:tcW w:type="dxa" w:w="2160"/>
            <w:shd w:val="clear" w:color="auto" w:fill="F3EBFA"/>
          </w:tcPr>
          <w:p>
            <w:r/>
            <w:r>
              <w:rPr>
                <w:rFonts w:ascii="Calibri" w:hAnsi="Calibri"/>
                <w:b w:val="0"/>
                <w:sz w:val="18"/>
              </w:rPr>
              <w:t>Medium</w:t>
            </w:r>
          </w:p>
        </w:tc>
        <w:tc>
          <w:tcPr>
            <w:tcW w:type="dxa" w:w="1440"/>
            <w:shd w:val="clear" w:color="auto" w:fill="F3EBFA"/>
          </w:tcPr>
          <w:p>
            <w:r/>
            <w:r>
              <w:rPr>
                <w:rFonts w:ascii="Calibri" w:hAnsi="Calibri"/>
                <w:b w:val="0"/>
                <w:sz w:val="18"/>
              </w:rPr>
              <w:t>0.50</w:t>
            </w:r>
          </w:p>
        </w:tc>
        <w:tc>
          <w:tcPr>
            <w:tcW w:type="dxa" w:w="1656"/>
            <w:shd w:val="clear" w:color="auto" w:fill="F3EBFA"/>
          </w:tcPr>
          <w:p>
            <w:r/>
            <w:r>
              <w:rPr>
                <w:rFonts w:ascii="Calibri" w:hAnsi="Calibri"/>
                <w:b w:val="0"/>
                <w:sz w:val="18"/>
              </w:rPr>
              <w:t>0.188</w:t>
            </w:r>
          </w:p>
        </w:tc>
        <w:tc>
          <w:tcPr>
            <w:tcW w:type="dxa" w:w="1584"/>
            <w:shd w:val="clear" w:color="auto" w:fill="F3EBFA"/>
          </w:tcPr>
          <w:p>
            <w:r/>
            <w:r>
              <w:rPr>
                <w:rFonts w:ascii="Calibri" w:hAnsi="Calibri"/>
                <w:b w:val="0"/>
                <w:sz w:val="18"/>
              </w:rPr>
              <w:t>0.188</w:t>
            </w:r>
          </w:p>
        </w:tc>
        <w:tc>
          <w:tcPr>
            <w:tcW w:type="dxa" w:w="1656"/>
            <w:shd w:val="clear" w:color="auto" w:fill="F3EBFA"/>
          </w:tcPr>
          <w:p>
            <w:r/>
            <w:r>
              <w:rPr>
                <w:rFonts w:ascii="Calibri" w:hAnsi="Calibri"/>
                <w:b w:val="0"/>
                <w:sz w:val="18"/>
              </w:rPr>
              <w:t>0.619</w:t>
            </w:r>
          </w:p>
        </w:tc>
        <w:tc>
          <w:tcPr>
            <w:tcW w:type="dxa" w:w="1584"/>
            <w:shd w:val="clear" w:color="auto" w:fill="F3EBFA"/>
          </w:tcPr>
          <w:p>
            <w:r/>
            <w:r>
              <w:rPr>
                <w:rFonts w:ascii="Calibri" w:hAnsi="Calibri"/>
                <w:b w:val="0"/>
                <w:sz w:val="18"/>
              </w:rPr>
              <w:t>0.619</w:t>
            </w:r>
          </w:p>
        </w:tc>
      </w:tr>
      <w:tr>
        <w:tc>
          <w:tcPr>
            <w:tcW w:type="dxa" w:w="2160"/>
            <w:shd w:val="clear" w:color="auto" w:fill="FFFFFF"/>
          </w:tcPr>
          <w:p>
            <w:r/>
            <w:r>
              <w:rPr>
                <w:rFonts w:ascii="Calibri" w:hAnsi="Calibri"/>
                <w:b w:val="0"/>
                <w:sz w:val="18"/>
              </w:rPr>
              <w:t>Low</w:t>
            </w:r>
          </w:p>
        </w:tc>
        <w:tc>
          <w:tcPr>
            <w:tcW w:type="dxa" w:w="1440"/>
            <w:shd w:val="clear" w:color="auto" w:fill="FFFFFF"/>
          </w:tcPr>
          <w:p>
            <w:r/>
            <w:r>
              <w:rPr>
                <w:rFonts w:ascii="Calibri" w:hAnsi="Calibri"/>
                <w:b w:val="0"/>
                <w:sz w:val="18"/>
              </w:rPr>
              <w:t>0.31</w:t>
            </w:r>
          </w:p>
        </w:tc>
        <w:tc>
          <w:tcPr>
            <w:tcW w:type="dxa" w:w="1656"/>
            <w:shd w:val="clear" w:color="auto" w:fill="FFFFFF"/>
          </w:tcPr>
          <w:p>
            <w:r/>
            <w:r>
              <w:rPr>
                <w:rFonts w:ascii="Calibri" w:hAnsi="Calibri"/>
                <w:b w:val="0"/>
                <w:sz w:val="18"/>
              </w:rPr>
              <w:t>0.353</w:t>
            </w:r>
          </w:p>
        </w:tc>
        <w:tc>
          <w:tcPr>
            <w:tcW w:type="dxa" w:w="1584"/>
            <w:shd w:val="clear" w:color="auto" w:fill="FFFFFF"/>
          </w:tcPr>
          <w:p>
            <w:r/>
            <w:r>
              <w:rPr>
                <w:rFonts w:ascii="Calibri" w:hAnsi="Calibri"/>
                <w:b w:val="0"/>
                <w:sz w:val="18"/>
              </w:rPr>
              <w:t>0.176</w:t>
            </w:r>
          </w:p>
        </w:tc>
        <w:tc>
          <w:tcPr>
            <w:tcW w:type="dxa" w:w="1656"/>
            <w:shd w:val="clear" w:color="auto" w:fill="FFFFFF"/>
          </w:tcPr>
          <w:p>
            <w:r/>
            <w:r>
              <w:rPr>
                <w:rFonts w:ascii="Calibri" w:hAnsi="Calibri"/>
                <w:b w:val="0"/>
                <w:sz w:val="18"/>
              </w:rPr>
              <w:t>0.733</w:t>
            </w:r>
          </w:p>
        </w:tc>
        <w:tc>
          <w:tcPr>
            <w:tcW w:type="dxa" w:w="1584"/>
            <w:shd w:val="clear" w:color="auto" w:fill="FFFFFF"/>
          </w:tcPr>
          <w:p>
            <w:r/>
            <w:r>
              <w:rPr>
                <w:rFonts w:ascii="Calibri" w:hAnsi="Calibri"/>
                <w:b w:val="0"/>
                <w:sz w:val="18"/>
              </w:rPr>
              <w:t>0.583</w:t>
            </w:r>
          </w:p>
        </w:tc>
      </w:tr>
    </w:tbl>
    <w:p>
      <w:pPr>
        <w:spacing w:after="40"/>
      </w:pPr>
    </w:p>
    <w:p>
      <w:pPr>
        <w:spacing w:after="120" w:before="40"/>
      </w:pPr>
      <w:r>
        <w:rPr>
          <w:rFonts w:ascii="Calibri" w:hAnsi="Calibri"/>
          <w:b w:val="0"/>
          <w:i w:val="0"/>
          <w:sz w:val="21"/>
        </w:rPr>
        <w:t>Lowering only the Low-income threshold to 0.31 cuts its false-negative rate from 0.353 to 0.176, in line with the other groups. The trade-off, stated honestly: Low-income false positives rise from 4 to 10 and precision falls from 0.73 to 0.58, so more Low-income customers are flagged as risky who would not default. We accept this because the false negative is the more expensive error for the bank and the more harmful outcome for a customer who is extended credit they cannot service. The policy is an operating threshold applied at decision time and does not change the trained model or the gate metric.</w:t>
      </w:r>
    </w:p>
    <w:p>
      <w:r>
        <w:br w:type="page"/>
      </w:r>
    </w:p>
    <w:p>
      <w:pPr>
        <w:spacing w:before="280" w:after="120"/>
        <w:pBdr>
          <w:bottom w:val="single" w:sz="6" w:space="2" w:color="8E3CC4"/>
        </w:pBdr>
      </w:pPr>
      <w:r>
        <w:rPr>
          <w:rFonts w:ascii="Calibri" w:hAnsi="Calibri"/>
          <w:b/>
          <w:color w:val="3B1E63"/>
          <w:sz w:val="30"/>
        </w:rPr>
        <w:t>13  Lifecycle Mapping (Task 1)</w:t>
      </w:r>
    </w:p>
    <w:p>
      <w:pPr>
        <w:spacing w:after="120" w:before="0"/>
      </w:pPr>
      <w:r>
        <w:rPr>
          <w:rFonts w:ascii="Calibri" w:hAnsi="Calibri"/>
          <w:b w:val="0"/>
          <w:i w:val="0"/>
          <w:sz w:val="21"/>
        </w:rPr>
        <w:t>The project maps onto the classic DevOps lifecycle and the MLOps lifecycle, with every stage pointing at a real artefact in the repository.</w:t>
      </w:r>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3B1E63"/>
          </w:tcPr>
          <w:p>
            <w:r/>
            <w:r>
              <w:rPr>
                <w:rFonts w:ascii="Calibri" w:hAnsi="Calibri"/>
                <w:b/>
                <w:color w:val="FFFFFF"/>
                <w:sz w:val="19"/>
              </w:rPr>
              <w:t>DevOps stage</w:t>
            </w:r>
          </w:p>
        </w:tc>
        <w:tc>
          <w:tcPr>
            <w:tcW w:type="dxa" w:w="7056"/>
            <w:shd w:val="clear" w:color="auto" w:fill="3B1E63"/>
          </w:tcPr>
          <w:p>
            <w:r/>
            <w:r>
              <w:rPr>
                <w:rFonts w:ascii="Calibri" w:hAnsi="Calibri"/>
                <w:b/>
                <w:color w:val="FFFFFF"/>
                <w:sz w:val="19"/>
              </w:rPr>
              <w:t>In this project</w:t>
            </w:r>
          </w:p>
        </w:tc>
      </w:tr>
      <w:tr>
        <w:tc>
          <w:tcPr>
            <w:tcW w:type="dxa" w:w="2736"/>
            <w:shd w:val="clear" w:color="auto" w:fill="FFFFFF"/>
          </w:tcPr>
          <w:p>
            <w:r/>
            <w:r>
              <w:rPr>
                <w:rFonts w:ascii="Calibri" w:hAnsi="Calibri"/>
                <w:b w:val="0"/>
                <w:sz w:val="18"/>
              </w:rPr>
              <w:t>Plan</w:t>
            </w:r>
          </w:p>
        </w:tc>
        <w:tc>
          <w:tcPr>
            <w:tcW w:type="dxa" w:w="7056"/>
            <w:shd w:val="clear" w:color="auto" w:fill="FFFFFF"/>
          </w:tcPr>
          <w:p>
            <w:r/>
            <w:r>
              <w:rPr>
                <w:rFonts w:ascii="Calibri" w:hAnsi="Calibri"/>
                <w:b w:val="0"/>
                <w:sz w:val="18"/>
              </w:rPr>
              <w:t>Metric choice and gate design; this report.</w:t>
            </w:r>
          </w:p>
        </w:tc>
      </w:tr>
      <w:tr>
        <w:tc>
          <w:tcPr>
            <w:tcW w:type="dxa" w:w="2736"/>
            <w:shd w:val="clear" w:color="auto" w:fill="F3EBFA"/>
          </w:tcPr>
          <w:p>
            <w:r/>
            <w:r>
              <w:rPr>
                <w:rFonts w:ascii="Calibri" w:hAnsi="Calibri"/>
                <w:b w:val="0"/>
                <w:sz w:val="18"/>
              </w:rPr>
              <w:t>Code</w:t>
            </w:r>
          </w:p>
        </w:tc>
        <w:tc>
          <w:tcPr>
            <w:tcW w:type="dxa" w:w="7056"/>
            <w:shd w:val="clear" w:color="auto" w:fill="F3EBFA"/>
          </w:tcPr>
          <w:p>
            <w:r/>
            <w:r>
              <w:rPr>
                <w:rFonts w:ascii="Calibri" w:hAnsi="Calibri"/>
                <w:b w:val="0"/>
                <w:sz w:val="18"/>
              </w:rPr>
              <w:t>The credit_risk package (config, data, features, model, pipeline, gate).</w:t>
            </w:r>
          </w:p>
        </w:tc>
      </w:tr>
      <w:tr>
        <w:tc>
          <w:tcPr>
            <w:tcW w:type="dxa" w:w="2736"/>
            <w:shd w:val="clear" w:color="auto" w:fill="FFFFFF"/>
          </w:tcPr>
          <w:p>
            <w:r/>
            <w:r>
              <w:rPr>
                <w:rFonts w:ascii="Calibri" w:hAnsi="Calibri"/>
                <w:b w:val="0"/>
                <w:sz w:val="18"/>
              </w:rPr>
              <w:t>Build</w:t>
            </w:r>
          </w:p>
        </w:tc>
        <w:tc>
          <w:tcPr>
            <w:tcW w:type="dxa" w:w="7056"/>
            <w:shd w:val="clear" w:color="auto" w:fill="FFFFFF"/>
          </w:tcPr>
          <w:p>
            <w:r/>
            <w:r>
              <w:rPr>
                <w:rFonts w:ascii="Calibri" w:hAnsi="Calibri"/>
                <w:b w:val="0"/>
                <w:sz w:val="18"/>
              </w:rPr>
              <w:t>requirements.txt and dvc pull restore the exact environment and data.</w:t>
            </w:r>
          </w:p>
        </w:tc>
      </w:tr>
      <w:tr>
        <w:tc>
          <w:tcPr>
            <w:tcW w:type="dxa" w:w="2736"/>
            <w:shd w:val="clear" w:color="auto" w:fill="F3EBFA"/>
          </w:tcPr>
          <w:p>
            <w:r/>
            <w:r>
              <w:rPr>
                <w:rFonts w:ascii="Calibri" w:hAnsi="Calibri"/>
                <w:b w:val="0"/>
                <w:sz w:val="18"/>
              </w:rPr>
              <w:t>Test</w:t>
            </w:r>
          </w:p>
        </w:tc>
        <w:tc>
          <w:tcPr>
            <w:tcW w:type="dxa" w:w="7056"/>
            <w:shd w:val="clear" w:color="auto" w:fill="F3EBFA"/>
          </w:tcPr>
          <w:p>
            <w:r/>
            <w:r>
              <w:rPr>
                <w:rFonts w:ascii="Calibri" w:hAnsi="Calibri"/>
                <w:b w:val="0"/>
                <w:sz w:val="18"/>
              </w:rPr>
              <w:t>pytest unit tests plus the model quality gate.</w:t>
            </w:r>
          </w:p>
        </w:tc>
      </w:tr>
      <w:tr>
        <w:tc>
          <w:tcPr>
            <w:tcW w:type="dxa" w:w="2736"/>
            <w:shd w:val="clear" w:color="auto" w:fill="FFFFFF"/>
          </w:tcPr>
          <w:p>
            <w:r/>
            <w:r>
              <w:rPr>
                <w:rFonts w:ascii="Calibri" w:hAnsi="Calibri"/>
                <w:b w:val="0"/>
                <w:sz w:val="18"/>
              </w:rPr>
              <w:t>Release</w:t>
            </w:r>
          </w:p>
        </w:tc>
        <w:tc>
          <w:tcPr>
            <w:tcW w:type="dxa" w:w="7056"/>
            <w:shd w:val="clear" w:color="auto" w:fill="FFFFFF"/>
          </w:tcPr>
          <w:p>
            <w:r/>
            <w:r>
              <w:rPr>
                <w:rFonts w:ascii="Calibri" w:hAnsi="Calibri"/>
                <w:b w:val="0"/>
                <w:sz w:val="18"/>
              </w:rPr>
              <w:t>Model selection and registration in the MLflow registry.</w:t>
            </w:r>
          </w:p>
        </w:tc>
      </w:tr>
      <w:tr>
        <w:tc>
          <w:tcPr>
            <w:tcW w:type="dxa" w:w="2736"/>
            <w:shd w:val="clear" w:color="auto" w:fill="F3EBFA"/>
          </w:tcPr>
          <w:p>
            <w:r/>
            <w:r>
              <w:rPr>
                <w:rFonts w:ascii="Calibri" w:hAnsi="Calibri"/>
                <w:b w:val="0"/>
                <w:sz w:val="18"/>
              </w:rPr>
              <w:t>Deploy</w:t>
            </w:r>
          </w:p>
        </w:tc>
        <w:tc>
          <w:tcPr>
            <w:tcW w:type="dxa" w:w="7056"/>
            <w:shd w:val="clear" w:color="auto" w:fill="F3EBFA"/>
          </w:tcPr>
          <w:p>
            <w:r/>
            <w:r>
              <w:rPr>
                <w:rFonts w:ascii="Calibri" w:hAnsi="Calibri"/>
                <w:b w:val="0"/>
                <w:sz w:val="18"/>
              </w:rPr>
              <w:t>Accepting a model past the gate on merge to main.</w:t>
            </w:r>
          </w:p>
        </w:tc>
      </w:tr>
      <w:tr>
        <w:tc>
          <w:tcPr>
            <w:tcW w:type="dxa" w:w="2736"/>
            <w:shd w:val="clear" w:color="auto" w:fill="FFFFFF"/>
          </w:tcPr>
          <w:p>
            <w:r/>
            <w:r>
              <w:rPr>
                <w:rFonts w:ascii="Calibri" w:hAnsi="Calibri"/>
                <w:b w:val="0"/>
                <w:sz w:val="18"/>
              </w:rPr>
              <w:t>Operate</w:t>
            </w:r>
          </w:p>
        </w:tc>
        <w:tc>
          <w:tcPr>
            <w:tcW w:type="dxa" w:w="7056"/>
            <w:shd w:val="clear" w:color="auto" w:fill="FFFFFF"/>
          </w:tcPr>
          <w:p>
            <w:r/>
            <w:r>
              <w:rPr>
                <w:rFonts w:ascii="Calibri" w:hAnsi="Calibri"/>
                <w:b w:val="0"/>
                <w:sz w:val="18"/>
              </w:rPr>
              <w:t>Retraining on dataset v2 through the same pipeline.</w:t>
            </w:r>
          </w:p>
        </w:tc>
      </w:tr>
      <w:tr>
        <w:tc>
          <w:tcPr>
            <w:tcW w:type="dxa" w:w="2736"/>
            <w:shd w:val="clear" w:color="auto" w:fill="F3EBFA"/>
          </w:tcPr>
          <w:p>
            <w:r/>
            <w:r>
              <w:rPr>
                <w:rFonts w:ascii="Calibri" w:hAnsi="Calibri"/>
                <w:b w:val="0"/>
                <w:sz w:val="18"/>
              </w:rPr>
              <w:t>Monitor</w:t>
            </w:r>
          </w:p>
        </w:tc>
        <w:tc>
          <w:tcPr>
            <w:tcW w:type="dxa" w:w="7056"/>
            <w:shd w:val="clear" w:color="auto" w:fill="F3EBFA"/>
          </w:tcPr>
          <w:p>
            <w:r/>
            <w:r>
              <w:rPr>
                <w:rFonts w:ascii="Calibri" w:hAnsi="Calibri"/>
                <w:b w:val="0"/>
                <w:sz w:val="18"/>
              </w:rPr>
              <w:t>Run history comparison and the income subgroup error check.</w:t>
            </w:r>
          </w:p>
        </w:tc>
      </w:tr>
    </w:tbl>
    <w:p>
      <w:pPr>
        <w:spacing w:after="40"/>
      </w:pPr>
    </w:p>
    <w:p>
      <w:pPr>
        <w:spacing w:before="180" w:after="60"/>
      </w:pPr>
      <w:r>
        <w:rPr>
          <w:rFonts w:ascii="Calibri" w:hAnsi="Calibri"/>
          <w:b/>
          <w:color w:val="8E3CC4"/>
          <w:sz w:val="24"/>
        </w:rPr>
        <w:t>Three ways ML delivery differs from software delivery</w:t>
      </w:r>
    </w:p>
    <w:p>
      <w:pPr>
        <w:pStyle w:val="ListBullet"/>
        <w:spacing w:after="60"/>
      </w:pPr>
      <w:r>
        <w:rPr>
          <w:rFonts w:ascii="Calibri" w:hAnsi="Calibri"/>
          <w:sz w:val="21"/>
        </w:rPr>
        <w:t>Correctness is statistical. A model is good only relative to a baseline and within noise, so the test stage needs a quality gate and a noise analysis, not just pass or fail assertions.</w:t>
      </w:r>
    </w:p>
    <w:p>
      <w:pPr>
        <w:pStyle w:val="ListBullet"/>
        <w:spacing w:after="60"/>
      </w:pPr>
      <w:r>
        <w:rPr>
          <w:rFonts w:ascii="Calibri" w:hAnsi="Calibri"/>
          <w:sz w:val="21"/>
        </w:rPr>
        <w:t>Data is a versioned input. The same code on v1 versus v2 produces different models, so data must be versioned with the code and recorded on every run.</w:t>
      </w:r>
    </w:p>
    <w:p>
      <w:pPr>
        <w:pStyle w:val="ListBullet"/>
        <w:spacing w:after="60"/>
      </w:pPr>
      <w:r>
        <w:rPr>
          <w:rFonts w:ascii="Calibri" w:hAnsi="Calibri"/>
          <w:sz w:val="21"/>
        </w:rPr>
        <w:t>Experiments are first-class artefacts. Each run carries parameters, metrics and a model worth keeping and comparing, so we select from a tracked history rather than from a single build.</w:t>
      </w:r>
    </w:p>
    <w:p>
      <w:pPr>
        <w:spacing w:before="180" w:after="60"/>
      </w:pPr>
      <w:r>
        <w:rPr>
          <w:rFonts w:ascii="Calibri" w:hAnsi="Calibri"/>
          <w:b/>
          <w:color w:val="8E3CC4"/>
          <w:sz w:val="24"/>
        </w:rPr>
        <w:t>Stages intentionally left out</w:t>
      </w:r>
    </w:p>
    <w:p>
      <w:pPr>
        <w:spacing w:after="120" w:before="0"/>
      </w:pPr>
      <w:r>
        <w:rPr>
          <w:rFonts w:ascii="Calibri" w:hAnsi="Calibri"/>
          <w:b w:val="0"/>
          <w:i w:val="0"/>
          <w:sz w:val="21"/>
        </w:rPr>
        <w:t>We leave out a live serving endpoint, continuous drift monitoring and cloud provisioning. The brief forbids paid infrastructure, and here the deploy stage is acceptance past the gate and registration, not a hosted API. Continuous drift monitoring belongs to a later project and would need a running service.</w:t>
      </w:r>
    </w:p>
    <w:p>
      <w:r>
        <w:br w:type="page"/>
      </w:r>
    </w:p>
    <w:p>
      <w:pPr>
        <w:spacing w:before="280" w:after="120"/>
        <w:pBdr>
          <w:bottom w:val="single" w:sz="6" w:space="2" w:color="8E3CC4"/>
        </w:pBdr>
      </w:pPr>
      <w:r>
        <w:rPr>
          <w:rFonts w:ascii="Calibri" w:hAnsi="Calibri"/>
          <w:b/>
          <w:color w:val="3B1E63"/>
          <w:sz w:val="30"/>
        </w:rPr>
        <w:t>14  Worked Example: Reproduce From a Fresh Clone</w:t>
      </w:r>
    </w:p>
    <w:p>
      <w:pPr>
        <w:spacing w:after="120" w:before="0"/>
      </w:pPr>
      <w:r>
        <w:rPr>
          <w:rFonts w:ascii="Calibri" w:hAnsi="Calibri"/>
          <w:b w:val="0"/>
          <w:i w:val="0"/>
          <w:sz w:val="21"/>
        </w:rPr>
        <w:t>Every claim in this report can be reproduced with the commands below (Python 3.11).</w:t>
      </w:r>
    </w:p>
    <w:p>
      <w:pPr>
        <w:spacing w:after="0" w:before="0"/>
        <w:shd w:val="clear" w:color="auto" w:fill="F3EBFA"/>
      </w:pPr>
      <w:r>
        <w:rPr>
          <w:rFonts w:ascii="Consolas" w:hAnsi="Consolas"/>
          <w:color w:val="2A1245"/>
          <w:sz w:val="17"/>
        </w:rPr>
        <w:t>git clone https://github.com/AdityaNariyapara/credit-risk-cicd-gate.git</w:t>
      </w:r>
    </w:p>
    <w:p>
      <w:pPr>
        <w:spacing w:after="0" w:before="0"/>
        <w:shd w:val="clear" w:color="auto" w:fill="F3EBFA"/>
      </w:pPr>
      <w:r>
        <w:rPr>
          <w:rFonts w:ascii="Consolas" w:hAnsi="Consolas"/>
          <w:color w:val="2A1245"/>
          <w:sz w:val="17"/>
        </w:rPr>
        <w:t>cd credit-risk-cicd-gate</w:t>
      </w:r>
    </w:p>
    <w:p>
      <w:pPr>
        <w:spacing w:after="0" w:before="0"/>
        <w:shd w:val="clear" w:color="auto" w:fill="F3EBFA"/>
      </w:pPr>
      <w:r>
        <w:rPr>
          <w:rFonts w:ascii="Consolas" w:hAnsi="Consolas"/>
          <w:color w:val="2A1245"/>
          <w:sz w:val="17"/>
        </w:rPr>
        <w:t>pip install -r requirements.txt</w:t>
      </w:r>
    </w:p>
    <w:p>
      <w:pPr>
        <w:spacing w:after="0" w:before="0"/>
        <w:shd w:val="clear" w:color="auto" w:fill="F3EBFA"/>
      </w:pPr>
      <w:r>
        <w:rPr>
          <w:rFonts w:ascii="Consolas" w:hAnsi="Consolas"/>
          <w:color w:val="2A1245"/>
          <w:sz w:val="17"/>
        </w:rPr>
        <w:t>dvc pull                                   # restore v1 and v2 from the in-repo remote</w:t>
      </w:r>
    </w:p>
    <w:p>
      <w:pPr>
        <w:spacing w:after="0" w:before="0"/>
        <w:shd w:val="clear" w:color="auto" w:fill="F3EBFA"/>
      </w:pPr>
      <w:r>
        <w:rPr>
          <w:rFonts w:ascii="Consolas" w:hAnsi="Consolas"/>
          <w:color w:val="2A1245"/>
          <w:sz w:val="17"/>
        </w:rPr>
        <w:t>pytest tests/ -q                           # 21 passed</w:t>
      </w:r>
    </w:p>
    <w:p>
      <w:pPr>
        <w:spacing w:after="0" w:before="0"/>
        <w:shd w:val="clear" w:color="auto" w:fill="F3EBFA"/>
      </w:pPr>
      <w:r>
        <w:rPr>
          <w:rFonts w:ascii="Consolas" w:hAnsi="Consolas"/>
          <w:color w:val="2A1245"/>
          <w:sz w:val="17"/>
        </w:rPr>
        <w:t>python scripts/run_training.py --config configs/full.yaml --register   # 21 runs, registers best</w:t>
      </w:r>
    </w:p>
    <w:p>
      <w:pPr>
        <w:spacing w:after="0" w:before="0"/>
        <w:shd w:val="clear" w:color="auto" w:fill="F3EBFA"/>
      </w:pPr>
      <w:r>
        <w:rPr>
          <w:rFonts w:ascii="Consolas" w:hAnsi="Consolas"/>
          <w:color w:val="2A1245"/>
          <w:sz w:val="17"/>
        </w:rPr>
        <w:t>mlflow ui --backend-store-uri sqlite:///mlflow.db                       # inspect runs + registry</w:t>
      </w:r>
    </w:p>
    <w:p>
      <w:pPr>
        <w:spacing w:after="0" w:before="0"/>
        <w:shd w:val="clear" w:color="auto" w:fill="F3EBFA"/>
      </w:pPr>
      <w:r>
        <w:rPr>
          <w:rFonts w:ascii="Consolas" w:hAnsi="Consolas"/>
          <w:color w:val="2A1245"/>
          <w:sz w:val="17"/>
        </w:rPr>
        <w:t>python scripts/run_gate.py --config configs/ci.yaml                     # gate: PASS (exit 0)</w:t>
      </w:r>
    </w:p>
    <w:p>
      <w:pPr>
        <w:spacing w:after="80"/>
      </w:pPr>
    </w:p>
    <w:p>
      <w:pPr>
        <w:spacing w:after="120" w:before="0"/>
      </w:pPr>
      <w:r>
        <w:rPr>
          <w:rFonts w:ascii="Calibri" w:hAnsi="Calibri"/>
          <w:b w:val="0"/>
          <w:i w:val="0"/>
          <w:sz w:val="21"/>
        </w:rPr>
        <w:t>To see the gate fail on a worse model, point it at the shallow-forest config used in the model-worse pull request; to see the data-change drill, run scripts/data_change_drill.py. The README documents each script.</w:t>
      </w:r>
    </w:p>
    <w:p>
      <w:r>
        <w:br w:type="page"/>
      </w:r>
    </w:p>
    <w:p>
      <w:pPr>
        <w:spacing w:before="280" w:after="120"/>
        <w:pBdr>
          <w:bottom w:val="single" w:sz="6" w:space="2" w:color="8E3CC4"/>
        </w:pBdr>
      </w:pPr>
      <w:r>
        <w:rPr>
          <w:rFonts w:ascii="Calibri" w:hAnsi="Calibri"/>
          <w:b/>
          <w:color w:val="3B1E63"/>
          <w:sz w:val="30"/>
        </w:rPr>
        <w:t>15  Results, Contributions and Reflection</w:t>
      </w:r>
    </w:p>
    <w:p>
      <w:pPr>
        <w:spacing w:before="180" w:after="60"/>
      </w:pPr>
      <w:r>
        <w:rPr>
          <w:rFonts w:ascii="Calibri" w:hAnsi="Calibri"/>
          <w:b/>
          <w:color w:val="8E3CC4"/>
          <w:sz w:val="24"/>
        </w:rPr>
        <w:t>What the project achieves</w:t>
      </w:r>
    </w:p>
    <w:p>
      <w:pPr>
        <w:pStyle w:val="ListBullet"/>
        <w:spacing w:after="60"/>
      </w:pPr>
      <w:r>
        <w:rPr>
          <w:rFonts w:ascii="Calibri" w:hAnsi="Calibri"/>
          <w:sz w:val="21"/>
        </w:rPr>
        <w:t>A gate that blocks worse models and failing tests, demonstrated with three real pull requests.</w:t>
      </w:r>
    </w:p>
    <w:p>
      <w:pPr>
        <w:pStyle w:val="ListBullet"/>
        <w:spacing w:after="60"/>
      </w:pPr>
      <w:r>
        <w:rPr>
          <w:rFonts w:ascii="Calibri" w:hAnsi="Calibri"/>
          <w:sz w:val="21"/>
        </w:rPr>
        <w:t>A complete, traceable experiment log of 21 runs and a registered model tied to its code and data.</w:t>
      </w:r>
    </w:p>
    <w:p>
      <w:pPr>
        <w:pStyle w:val="ListBullet"/>
        <w:spacing w:after="60"/>
      </w:pPr>
      <w:r>
        <w:rPr>
          <w:rFonts w:ascii="Calibri" w:hAnsi="Calibri"/>
          <w:sz w:val="21"/>
        </w:rPr>
        <w:t>A defended metric and threshold, and an honest subgroup fairness analysis.</w:t>
      </w:r>
    </w:p>
    <w:p>
      <w:pPr>
        <w:spacing w:before="180" w:after="60"/>
      </w:pPr>
      <w:r>
        <w:rPr>
          <w:rFonts w:ascii="Calibri" w:hAnsi="Calibri"/>
          <w:b/>
          <w:color w:val="8E3CC4"/>
          <w:sz w:val="24"/>
        </w:rPr>
        <w:t>Contributions</w:t>
      </w:r>
    </w:p>
    <w:tbl>
      <w:tblPr>
        <w:tblStyle w:val="TableGrid"/>
        <w:tblW w:type="auto" w:w="0"/>
        <w:jc w:val="center"/>
        <w:tblLook w:firstColumn="1" w:firstRow="1" w:lastColumn="0" w:lastRow="0" w:noHBand="0" w:noVBand="1" w:val="04A0"/>
      </w:tblPr>
      <w:tblGrid>
        <w:gridCol w:w="4896"/>
        <w:gridCol w:w="4896"/>
      </w:tblGrid>
      <w:tr>
        <w:tc>
          <w:tcPr>
            <w:tcW w:type="dxa" w:w="3168"/>
            <w:shd w:val="clear" w:color="auto" w:fill="3B1E63"/>
          </w:tcPr>
          <w:p>
            <w:r/>
            <w:r>
              <w:rPr>
                <w:rFonts w:ascii="Calibri" w:hAnsi="Calibri"/>
                <w:b/>
                <w:color w:val="FFFFFF"/>
                <w:sz w:val="19"/>
              </w:rPr>
              <w:t>Member</w:t>
            </w:r>
          </w:p>
        </w:tc>
        <w:tc>
          <w:tcPr>
            <w:tcW w:type="dxa" w:w="6624"/>
            <w:shd w:val="clear" w:color="auto" w:fill="3B1E63"/>
          </w:tcPr>
          <w:p>
            <w:r/>
            <w:r>
              <w:rPr>
                <w:rFonts w:ascii="Calibri" w:hAnsi="Calibri"/>
                <w:b/>
                <w:color w:val="FFFFFF"/>
                <w:sz w:val="19"/>
              </w:rPr>
              <w:t>Main contributions</w:t>
            </w:r>
          </w:p>
        </w:tc>
      </w:tr>
      <w:tr>
        <w:tc>
          <w:tcPr>
            <w:tcW w:type="dxa" w:w="3168"/>
            <w:shd w:val="clear" w:color="auto" w:fill="FFFFFF"/>
          </w:tcPr>
          <w:p>
            <w:r/>
            <w:r>
              <w:rPr>
                <w:rFonts w:ascii="Calibri" w:hAnsi="Calibri"/>
                <w:b w:val="0"/>
                <w:sz w:val="18"/>
              </w:rPr>
              <w:t>Aditya Nariyapara (B009)</w:t>
            </w:r>
          </w:p>
        </w:tc>
        <w:tc>
          <w:tcPr>
            <w:tcW w:type="dxa" w:w="6624"/>
            <w:shd w:val="clear" w:color="auto" w:fill="FFFFFF"/>
          </w:tcPr>
          <w:p>
            <w:r/>
            <w:r>
              <w:rPr>
                <w:rFonts w:ascii="Calibri" w:hAnsi="Calibri"/>
                <w:b w:val="0"/>
                <w:sz w:val="18"/>
              </w:rPr>
              <w:t>Repository and DVC setup, config system, feature engineering, training and tracking pipeline, the quality gate, the CI workflow and the two demonstration pull requests.</w:t>
            </w:r>
          </w:p>
        </w:tc>
      </w:tr>
      <w:tr>
        <w:tc>
          <w:tcPr>
            <w:tcW w:type="dxa" w:w="3168"/>
            <w:shd w:val="clear" w:color="auto" w:fill="F3EBFA"/>
          </w:tcPr>
          <w:p>
            <w:r/>
            <w:r>
              <w:rPr>
                <w:rFonts w:ascii="Calibri" w:hAnsi="Calibri"/>
                <w:b w:val="0"/>
                <w:sz w:val="18"/>
              </w:rPr>
              <w:t>Shreya Dutt (B016)</w:t>
            </w:r>
          </w:p>
        </w:tc>
        <w:tc>
          <w:tcPr>
            <w:tcW w:type="dxa" w:w="6624"/>
            <w:shd w:val="clear" w:color="auto" w:fill="F3EBFA"/>
          </w:tcPr>
          <w:p>
            <w:r/>
            <w:r>
              <w:rPr>
                <w:rFonts w:ascii="Calibri" w:hAnsi="Calibri"/>
                <w:b w:val="0"/>
                <w:sz w:val="18"/>
              </w:rPr>
              <w:t>The analysis write-ups (fairness and threshold memo, v1 vs v2 drill report, contributing guide), the documentation pull request, and review of the tracking and drill evidence.</w:t>
            </w:r>
          </w:p>
        </w:tc>
      </w:tr>
    </w:tbl>
    <w:p>
      <w:pPr>
        <w:spacing w:after="40"/>
      </w:pPr>
    </w:p>
    <w:p>
      <w:pPr>
        <w:spacing w:after="120" w:before="40"/>
      </w:pPr>
      <w:r>
        <w:rPr>
          <w:rFonts w:ascii="Calibri" w:hAnsi="Calibri"/>
          <w:b w:val="0"/>
          <w:i w:val="0"/>
          <w:sz w:val="21"/>
        </w:rPr>
        <w:t>Both members can explain, modify and justify any part of the submission.</w:t>
      </w:r>
    </w:p>
    <w:p>
      <w:pPr>
        <w:spacing w:after="120" w:before="0"/>
      </w:pPr>
      <w:r>
        <w:rPr>
          <w:rFonts w:ascii="Calibri" w:hAnsi="Calibri"/>
          <w:b w:val="0"/>
          <w:i w:val="0"/>
          <w:sz w:val="21"/>
        </w:rPr>
        <w:t>Both of the project's honest findings were then taken a step further rather than left as caveats. The v2 question was settled with a proper paired t-test over five seeds (Section 11): the gain is borderline and we do not claim it. The low-income disparity was fixed with an equal-opportunity threshold (Section 12) that cuts the group's false-negative rate from 0.353 to 0.176, with the precision cost stated. And model selection was checked across seeds (Section 07), which confirms the stable Logistic Regression baseline over a lucky Random Forest run.</w:t>
      </w:r>
    </w:p>
    <w:p>
      <w:pPr>
        <w:spacing w:before="180" w:after="60"/>
      </w:pPr>
      <w:r>
        <w:rPr>
          <w:rFonts w:ascii="Calibri" w:hAnsi="Calibri"/>
          <w:b/>
          <w:color w:val="8E3CC4"/>
          <w:sz w:val="24"/>
        </w:rPr>
        <w:t>Reflection and remaining limitations</w:t>
      </w:r>
    </w:p>
    <w:p>
      <w:pPr>
        <w:spacing w:after="120" w:before="0"/>
      </w:pPr>
      <w:r>
        <w:rPr>
          <w:rFonts w:ascii="Calibri" w:hAnsi="Calibri"/>
          <w:b w:val="0"/>
          <w:i w:val="0"/>
          <w:sz w:val="21"/>
        </w:rPr>
        <w:t>What remains is a matter of scope, not of hidden problems. The equal-opportunity thresholds are an operating-time policy, not yet part of the automated gate; a natural next step is to add a per-group fairness check to CI so a future model that widens the gap is blocked. The v2 result would move from borderline to conclusive, or be ruled out, with more seeds. Stating these openly is, in a sense, the point of the project: the workflow exists so that quality changes and hidden disparities are measured, tested and defended rather than assumed.</w:t>
      </w:r>
    </w:p>
    <w:p>
      <w:r>
        <w:br w:type="page"/>
      </w:r>
    </w:p>
    <w:p>
      <w:pPr>
        <w:spacing w:before="280" w:after="120"/>
        <w:pBdr>
          <w:bottom w:val="single" w:sz="6" w:space="2" w:color="8E3CC4"/>
        </w:pBdr>
      </w:pPr>
      <w:r>
        <w:rPr>
          <w:rFonts w:ascii="Calibri" w:hAnsi="Calibri"/>
          <w:b/>
          <w:color w:val="3B1E63"/>
          <w:sz w:val="30"/>
        </w:rPr>
        <w:t>16  Deliverables Checklist</w:t>
      </w:r>
    </w:p>
    <w:tbl>
      <w:tblPr>
        <w:tblStyle w:val="TableGrid"/>
        <w:tblW w:type="auto" w:w="0"/>
        <w:jc w:val="center"/>
        <w:tblLook w:firstColumn="1" w:firstRow="1" w:lastColumn="0" w:lastRow="0" w:noHBand="0" w:noVBand="1" w:val="04A0"/>
      </w:tblPr>
      <w:tblGrid>
        <w:gridCol w:w="3264"/>
        <w:gridCol w:w="3264"/>
        <w:gridCol w:w="3264"/>
      </w:tblGrid>
      <w:tr>
        <w:tc>
          <w:tcPr>
            <w:tcW w:type="dxa" w:w="5040"/>
            <w:shd w:val="clear" w:color="auto" w:fill="3B1E63"/>
          </w:tcPr>
          <w:p>
            <w:r/>
            <w:r>
              <w:rPr>
                <w:rFonts w:ascii="Calibri" w:hAnsi="Calibri"/>
                <w:b/>
                <w:color w:val="FFFFFF"/>
                <w:sz w:val="19"/>
              </w:rPr>
              <w:t>Deliverable asked in the brief</w:t>
            </w:r>
          </w:p>
        </w:tc>
        <w:tc>
          <w:tcPr>
            <w:tcW w:type="dxa" w:w="4320"/>
            <w:shd w:val="clear" w:color="auto" w:fill="3B1E63"/>
          </w:tcPr>
          <w:p>
            <w:r/>
            <w:r>
              <w:rPr>
                <w:rFonts w:ascii="Calibri" w:hAnsi="Calibri"/>
                <w:b/>
                <w:color w:val="FFFFFF"/>
                <w:sz w:val="19"/>
              </w:rPr>
              <w:t>Where it is</w:t>
            </w:r>
          </w:p>
        </w:tc>
        <w:tc>
          <w:tcPr>
            <w:tcW w:type="dxa" w:w="1584"/>
            <w:shd w:val="clear" w:color="auto" w:fill="3B1E63"/>
          </w:tcPr>
          <w:p>
            <w:r/>
            <w:r>
              <w:rPr>
                <w:rFonts w:ascii="Calibri" w:hAnsi="Calibri"/>
                <w:b/>
                <w:color w:val="FFFFFF"/>
                <w:sz w:val="19"/>
              </w:rPr>
              <w:t>Status</w:t>
            </w:r>
          </w:p>
        </w:tc>
      </w:tr>
      <w:tr>
        <w:tc>
          <w:tcPr>
            <w:tcW w:type="dxa" w:w="5040"/>
            <w:shd w:val="clear" w:color="auto" w:fill="FFFFFF"/>
          </w:tcPr>
          <w:p>
            <w:r/>
            <w:r>
              <w:rPr>
                <w:rFonts w:ascii="Calibri" w:hAnsi="Calibri"/>
                <w:b w:val="0"/>
                <w:sz w:val="18"/>
              </w:rPr>
              <w:t>Repository with code, config, tests, workflow, README</w:t>
            </w:r>
          </w:p>
        </w:tc>
        <w:tc>
          <w:tcPr>
            <w:tcW w:type="dxa" w:w="4320"/>
            <w:shd w:val="clear" w:color="auto" w:fill="FFFFFF"/>
          </w:tcPr>
          <w:p>
            <w:r/>
            <w:r>
              <w:rPr>
                <w:rFonts w:ascii="Calibri" w:hAnsi="Calibri"/>
                <w:b w:val="0"/>
                <w:sz w:val="18"/>
              </w:rPr>
              <w:t>github.com/AdityaNariyapara/credit-risk-cicd-gate</w:t>
            </w:r>
          </w:p>
        </w:tc>
        <w:tc>
          <w:tcPr>
            <w:tcW w:type="dxa" w:w="1584"/>
            <w:shd w:val="clear" w:color="auto" w:fill="FFFFFF"/>
          </w:tcPr>
          <w:p>
            <w:r/>
            <w:r>
              <w:rPr>
                <w:rFonts w:ascii="Calibri" w:hAnsi="Calibri"/>
                <w:b w:val="0"/>
                <w:sz w:val="18"/>
              </w:rPr>
              <w:t>Done</w:t>
            </w:r>
          </w:p>
        </w:tc>
      </w:tr>
      <w:tr>
        <w:tc>
          <w:tcPr>
            <w:tcW w:type="dxa" w:w="5040"/>
            <w:shd w:val="clear" w:color="auto" w:fill="F3EBFA"/>
          </w:tcPr>
          <w:p>
            <w:r/>
            <w:r>
              <w:rPr>
                <w:rFonts w:ascii="Calibri" w:hAnsi="Calibri"/>
                <w:b w:val="0"/>
                <w:sz w:val="18"/>
              </w:rPr>
              <w:t>Experiment-tracking evidence, 10+ runs and registered model</w:t>
            </w:r>
          </w:p>
        </w:tc>
        <w:tc>
          <w:tcPr>
            <w:tcW w:type="dxa" w:w="4320"/>
            <w:shd w:val="clear" w:color="auto" w:fill="F3EBFA"/>
          </w:tcPr>
          <w:p>
            <w:r/>
            <w:r>
              <w:rPr>
                <w:rFonts w:ascii="Calibri" w:hAnsi="Calibri"/>
                <w:b w:val="0"/>
                <w:sz w:val="18"/>
              </w:rPr>
              <w:t>Sec 08; Figures 3, 3b</w:t>
            </w:r>
          </w:p>
        </w:tc>
        <w:tc>
          <w:tcPr>
            <w:tcW w:type="dxa" w:w="1584"/>
            <w:shd w:val="clear" w:color="auto" w:fill="F3EBFA"/>
          </w:tcPr>
          <w:p>
            <w:r/>
            <w:r>
              <w:rPr>
                <w:rFonts w:ascii="Calibri" w:hAnsi="Calibri"/>
                <w:b w:val="0"/>
                <w:sz w:val="18"/>
              </w:rPr>
              <w:t>Done</w:t>
            </w:r>
          </w:p>
        </w:tc>
      </w:tr>
      <w:tr>
        <w:tc>
          <w:tcPr>
            <w:tcW w:type="dxa" w:w="5040"/>
            <w:shd w:val="clear" w:color="auto" w:fill="FFFFFF"/>
          </w:tcPr>
          <w:p>
            <w:r/>
            <w:r>
              <w:rPr>
                <w:rFonts w:ascii="Calibri" w:hAnsi="Calibri"/>
                <w:b w:val="0"/>
                <w:sz w:val="18"/>
              </w:rPr>
              <w:t>Lifecycle mapping diagram or table</w:t>
            </w:r>
          </w:p>
        </w:tc>
        <w:tc>
          <w:tcPr>
            <w:tcW w:type="dxa" w:w="4320"/>
            <w:shd w:val="clear" w:color="auto" w:fill="FFFFFF"/>
          </w:tcPr>
          <w:p>
            <w:r/>
            <w:r>
              <w:rPr>
                <w:rFonts w:ascii="Calibri" w:hAnsi="Calibri"/>
                <w:b w:val="0"/>
                <w:sz w:val="18"/>
              </w:rPr>
              <w:t>Sec 13; docs/lifecycle_map.md</w:t>
            </w:r>
          </w:p>
        </w:tc>
        <w:tc>
          <w:tcPr>
            <w:tcW w:type="dxa" w:w="1584"/>
            <w:shd w:val="clear" w:color="auto" w:fill="FFFFFF"/>
          </w:tcPr>
          <w:p>
            <w:r/>
            <w:r>
              <w:rPr>
                <w:rFonts w:ascii="Calibri" w:hAnsi="Calibri"/>
                <w:b w:val="0"/>
                <w:sz w:val="18"/>
              </w:rPr>
              <w:t>Done</w:t>
            </w:r>
          </w:p>
        </w:tc>
      </w:tr>
      <w:tr>
        <w:tc>
          <w:tcPr>
            <w:tcW w:type="dxa" w:w="5040"/>
            <w:shd w:val="clear" w:color="auto" w:fill="F3EBFA"/>
          </w:tcPr>
          <w:p>
            <w:r/>
            <w:r>
              <w:rPr>
                <w:rFonts w:ascii="Calibri" w:hAnsi="Calibri"/>
                <w:b w:val="0"/>
                <w:sz w:val="18"/>
              </w:rPr>
              <w:t>CI history showing the three pull requests</w:t>
            </w:r>
          </w:p>
        </w:tc>
        <w:tc>
          <w:tcPr>
            <w:tcW w:type="dxa" w:w="4320"/>
            <w:shd w:val="clear" w:color="auto" w:fill="F3EBFA"/>
          </w:tcPr>
          <w:p>
            <w:r/>
            <w:r>
              <w:rPr>
                <w:rFonts w:ascii="Calibri" w:hAnsi="Calibri"/>
                <w:b w:val="0"/>
                <w:sz w:val="18"/>
              </w:rPr>
              <w:t>Sec 10; Figures 4a, 4b</w:t>
            </w:r>
          </w:p>
        </w:tc>
        <w:tc>
          <w:tcPr>
            <w:tcW w:type="dxa" w:w="1584"/>
            <w:shd w:val="clear" w:color="auto" w:fill="F3EBFA"/>
          </w:tcPr>
          <w:p>
            <w:r/>
            <w:r>
              <w:rPr>
                <w:rFonts w:ascii="Calibri" w:hAnsi="Calibri"/>
                <w:b w:val="0"/>
                <w:sz w:val="18"/>
              </w:rPr>
              <w:t>Done</w:t>
            </w:r>
          </w:p>
        </w:tc>
      </w:tr>
      <w:tr>
        <w:tc>
          <w:tcPr>
            <w:tcW w:type="dxa" w:w="5040"/>
            <w:shd w:val="clear" w:color="auto" w:fill="FFFFFF"/>
          </w:tcPr>
          <w:p>
            <w:r/>
            <w:r>
              <w:rPr>
                <w:rFonts w:ascii="Calibri" w:hAnsi="Calibri"/>
                <w:b w:val="0"/>
                <w:sz w:val="18"/>
              </w:rPr>
              <w:t>Feature documentation table</w:t>
            </w:r>
          </w:p>
        </w:tc>
        <w:tc>
          <w:tcPr>
            <w:tcW w:type="dxa" w:w="4320"/>
            <w:shd w:val="clear" w:color="auto" w:fill="FFFFFF"/>
          </w:tcPr>
          <w:p>
            <w:r/>
            <w:r>
              <w:rPr>
                <w:rFonts w:ascii="Calibri" w:hAnsi="Calibri"/>
                <w:b w:val="0"/>
                <w:sz w:val="18"/>
              </w:rPr>
              <w:t>Sec 06; docs/feature_table.md</w:t>
            </w:r>
          </w:p>
        </w:tc>
        <w:tc>
          <w:tcPr>
            <w:tcW w:type="dxa" w:w="1584"/>
            <w:shd w:val="clear" w:color="auto" w:fill="FFFFFF"/>
          </w:tcPr>
          <w:p>
            <w:r/>
            <w:r>
              <w:rPr>
                <w:rFonts w:ascii="Calibri" w:hAnsi="Calibri"/>
                <w:b w:val="0"/>
                <w:sz w:val="18"/>
              </w:rPr>
              <w:t>Done</w:t>
            </w:r>
          </w:p>
        </w:tc>
      </w:tr>
      <w:tr>
        <w:tc>
          <w:tcPr>
            <w:tcW w:type="dxa" w:w="5040"/>
            <w:shd w:val="clear" w:color="auto" w:fill="F3EBFA"/>
          </w:tcPr>
          <w:p>
            <w:r/>
            <w:r>
              <w:rPr>
                <w:rFonts w:ascii="Calibri" w:hAnsi="Calibri"/>
                <w:b w:val="0"/>
                <w:sz w:val="18"/>
              </w:rPr>
              <w:t>One-page metric justification</w:t>
            </w:r>
          </w:p>
        </w:tc>
        <w:tc>
          <w:tcPr>
            <w:tcW w:type="dxa" w:w="4320"/>
            <w:shd w:val="clear" w:color="auto" w:fill="F3EBFA"/>
          </w:tcPr>
          <w:p>
            <w:r/>
            <w:r>
              <w:rPr>
                <w:rFonts w:ascii="Calibri" w:hAnsi="Calibri"/>
                <w:b w:val="0"/>
                <w:sz w:val="18"/>
              </w:rPr>
              <w:t>Sec 09; docs/metric_justification.md</w:t>
            </w:r>
          </w:p>
        </w:tc>
        <w:tc>
          <w:tcPr>
            <w:tcW w:type="dxa" w:w="1584"/>
            <w:shd w:val="clear" w:color="auto" w:fill="F3EBFA"/>
          </w:tcPr>
          <w:p>
            <w:r/>
            <w:r>
              <w:rPr>
                <w:rFonts w:ascii="Calibri" w:hAnsi="Calibri"/>
                <w:b w:val="0"/>
                <w:sz w:val="18"/>
              </w:rPr>
              <w:t>Done</w:t>
            </w:r>
          </w:p>
        </w:tc>
      </w:tr>
      <w:tr>
        <w:tc>
          <w:tcPr>
            <w:tcW w:type="dxa" w:w="5040"/>
            <w:shd w:val="clear" w:color="auto" w:fill="FFFFFF"/>
          </w:tcPr>
          <w:p>
            <w:r/>
            <w:r>
              <w:rPr>
                <w:rFonts w:ascii="Calibri" w:hAnsi="Calibri"/>
                <w:b w:val="0"/>
                <w:sz w:val="18"/>
              </w:rPr>
              <w:t>Threshold comparison table</w:t>
            </w:r>
          </w:p>
        </w:tc>
        <w:tc>
          <w:tcPr>
            <w:tcW w:type="dxa" w:w="4320"/>
            <w:shd w:val="clear" w:color="auto" w:fill="FFFFFF"/>
          </w:tcPr>
          <w:p>
            <w:r/>
            <w:r>
              <w:rPr>
                <w:rFonts w:ascii="Calibri" w:hAnsi="Calibri"/>
                <w:b w:val="0"/>
                <w:sz w:val="18"/>
              </w:rPr>
              <w:t>Sec 12; docs/fairness_memo.md</w:t>
            </w:r>
          </w:p>
        </w:tc>
        <w:tc>
          <w:tcPr>
            <w:tcW w:type="dxa" w:w="1584"/>
            <w:shd w:val="clear" w:color="auto" w:fill="FFFFFF"/>
          </w:tcPr>
          <w:p>
            <w:r/>
            <w:r>
              <w:rPr>
                <w:rFonts w:ascii="Calibri" w:hAnsi="Calibri"/>
                <w:b w:val="0"/>
                <w:sz w:val="18"/>
              </w:rPr>
              <w:t>Done</w:t>
            </w:r>
          </w:p>
        </w:tc>
      </w:tr>
      <w:tr>
        <w:tc>
          <w:tcPr>
            <w:tcW w:type="dxa" w:w="5040"/>
            <w:shd w:val="clear" w:color="auto" w:fill="F3EBFA"/>
          </w:tcPr>
          <w:p>
            <w:r/>
            <w:r>
              <w:rPr>
                <w:rFonts w:ascii="Calibri" w:hAnsi="Calibri"/>
                <w:b w:val="0"/>
                <w:sz w:val="18"/>
              </w:rPr>
              <w:t>Subgroup breakdown by Income_Bracket</w:t>
            </w:r>
          </w:p>
        </w:tc>
        <w:tc>
          <w:tcPr>
            <w:tcW w:type="dxa" w:w="4320"/>
            <w:shd w:val="clear" w:color="auto" w:fill="F3EBFA"/>
          </w:tcPr>
          <w:p>
            <w:r/>
            <w:r>
              <w:rPr>
                <w:rFonts w:ascii="Calibri" w:hAnsi="Calibri"/>
                <w:b w:val="0"/>
                <w:sz w:val="18"/>
              </w:rPr>
              <w:t>Sec 12</w:t>
            </w:r>
          </w:p>
        </w:tc>
        <w:tc>
          <w:tcPr>
            <w:tcW w:type="dxa" w:w="1584"/>
            <w:shd w:val="clear" w:color="auto" w:fill="F3EBFA"/>
          </w:tcPr>
          <w:p>
            <w:r/>
            <w:r>
              <w:rPr>
                <w:rFonts w:ascii="Calibri" w:hAnsi="Calibri"/>
                <w:b w:val="0"/>
                <w:sz w:val="18"/>
              </w:rPr>
              <w:t>Done</w:t>
            </w:r>
          </w:p>
        </w:tc>
      </w:tr>
      <w:tr>
        <w:tc>
          <w:tcPr>
            <w:tcW w:type="dxa" w:w="5040"/>
            <w:shd w:val="clear" w:color="auto" w:fill="FFFFFF"/>
          </w:tcPr>
          <w:p>
            <w:r/>
            <w:r>
              <w:rPr>
                <w:rFonts w:ascii="Calibri" w:hAnsi="Calibri"/>
                <w:b w:val="0"/>
                <w:sz w:val="18"/>
              </w:rPr>
              <w:t>Fairness-defense memo</w:t>
            </w:r>
          </w:p>
        </w:tc>
        <w:tc>
          <w:tcPr>
            <w:tcW w:type="dxa" w:w="4320"/>
            <w:shd w:val="clear" w:color="auto" w:fill="FFFFFF"/>
          </w:tcPr>
          <w:p>
            <w:r/>
            <w:r>
              <w:rPr>
                <w:rFonts w:ascii="Calibri" w:hAnsi="Calibri"/>
                <w:b w:val="0"/>
                <w:sz w:val="18"/>
              </w:rPr>
              <w:t>Sec 12; docs/fairness_memo.md</w:t>
            </w:r>
          </w:p>
        </w:tc>
        <w:tc>
          <w:tcPr>
            <w:tcW w:type="dxa" w:w="1584"/>
            <w:shd w:val="clear" w:color="auto" w:fill="FFFFFF"/>
          </w:tcPr>
          <w:p>
            <w:r/>
            <w:r>
              <w:rPr>
                <w:rFonts w:ascii="Calibri" w:hAnsi="Calibri"/>
                <w:b w:val="0"/>
                <w:sz w:val="18"/>
              </w:rPr>
              <w:t>Done</w:t>
            </w:r>
          </w:p>
        </w:tc>
      </w:tr>
      <w:tr>
        <w:tc>
          <w:tcPr>
            <w:tcW w:type="dxa" w:w="5040"/>
            <w:shd w:val="clear" w:color="auto" w:fill="F3EBFA"/>
          </w:tcPr>
          <w:p>
            <w:r/>
            <w:r>
              <w:rPr>
                <w:rFonts w:ascii="Calibri" w:hAnsi="Calibri"/>
                <w:b w:val="0"/>
                <w:sz w:val="18"/>
              </w:rPr>
              <w:t>Short report on design decisions and v1 vs v2</w:t>
            </w:r>
          </w:p>
        </w:tc>
        <w:tc>
          <w:tcPr>
            <w:tcW w:type="dxa" w:w="4320"/>
            <w:shd w:val="clear" w:color="auto" w:fill="F3EBFA"/>
          </w:tcPr>
          <w:p>
            <w:r/>
            <w:r>
              <w:rPr>
                <w:rFonts w:ascii="Calibri" w:hAnsi="Calibri"/>
                <w:b w:val="0"/>
                <w:sz w:val="18"/>
              </w:rPr>
              <w:t>This report; Sec 11</w:t>
            </w:r>
          </w:p>
        </w:tc>
        <w:tc>
          <w:tcPr>
            <w:tcW w:type="dxa" w:w="1584"/>
            <w:shd w:val="clear" w:color="auto" w:fill="F3EBFA"/>
          </w:tcPr>
          <w:p>
            <w:r/>
            <w:r>
              <w:rPr>
                <w:rFonts w:ascii="Calibri" w:hAnsi="Calibri"/>
                <w:b w:val="0"/>
                <w:sz w:val="18"/>
              </w:rPr>
              <w:t>Done</w:t>
            </w:r>
          </w:p>
        </w:tc>
      </w:tr>
      <w:tr>
        <w:tc>
          <w:tcPr>
            <w:tcW w:type="dxa" w:w="5040"/>
            <w:shd w:val="clear" w:color="auto" w:fill="FFFFFF"/>
          </w:tcPr>
          <w:p>
            <w:r/>
            <w:r>
              <w:rPr>
                <w:rFonts w:ascii="Calibri" w:hAnsi="Calibri"/>
                <w:b w:val="0"/>
                <w:sz w:val="18"/>
              </w:rPr>
              <w:t>5-minute demonstration</w:t>
            </w:r>
          </w:p>
        </w:tc>
        <w:tc>
          <w:tcPr>
            <w:tcW w:type="dxa" w:w="4320"/>
            <w:shd w:val="clear" w:color="auto" w:fill="FFFFFF"/>
          </w:tcPr>
          <w:p>
            <w:r/>
            <w:r>
              <w:rPr>
                <w:rFonts w:ascii="Calibri" w:hAnsi="Calibri"/>
                <w:b w:val="0"/>
                <w:sz w:val="18"/>
              </w:rPr>
              <w:t>Live or recorded by the team</w:t>
            </w:r>
          </w:p>
        </w:tc>
        <w:tc>
          <w:tcPr>
            <w:tcW w:type="dxa" w:w="1584"/>
            <w:shd w:val="clear" w:color="auto" w:fill="FFFFFF"/>
          </w:tcPr>
          <w:p>
            <w:r/>
            <w:r>
              <w:rPr>
                <w:rFonts w:ascii="Calibri" w:hAnsi="Calibri"/>
                <w:b w:val="0"/>
                <w:sz w:val="18"/>
              </w:rPr>
              <w:t>Pending demo</w:t>
            </w:r>
          </w:p>
        </w:tc>
      </w:tr>
    </w:tbl>
    <w:p>
      <w:pPr>
        <w:spacing w:after="40"/>
      </w:pP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Credit Risk CI/CD Gate   .   Aditya Nariyapara (B009) and Shreya Dutt (B016)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