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Calibri" w:hAnsi="Calibri"/>
          <w:b/>
          <w:i w:val="0"/>
          <w:color w:val="2E8B9A"/>
          <w:sz w:val="20"/>
        </w:rPr>
        <w:t>MLOps LAB  |  PROJECT 1</w:t>
      </w:r>
    </w:p>
    <w:p>
      <w:pPr>
        <w:spacing w:after="60" w:before="0"/>
      </w:pPr>
      <w:r>
        <w:rPr>
          <w:rFonts w:ascii="Calibri" w:hAnsi="Calibri"/>
          <w:b/>
          <w:i w:val="0"/>
          <w:color w:val="1F3A5F"/>
          <w:sz w:val="44"/>
        </w:rPr>
        <w:t>Credit Risk Model with a CI/CD Quality Gate</w:t>
      </w:r>
    </w:p>
    <w:p>
      <w:pPr>
        <w:spacing w:after="240" w:before="0"/>
      </w:pPr>
      <w:r>
        <w:rPr>
          <w:rFonts w:ascii="Calibri" w:hAnsi="Calibri"/>
          <w:b w:val="0"/>
          <w:i/>
          <w:color w:val="555555"/>
          <w:sz w:val="22"/>
        </w:rPr>
        <w:t>Every change to code, configuration, features or data is tested, tracked and accepted only if it does not make the model worse, and the gate itself is justified with evidence from our own runs.</w:t>
      </w:r>
    </w:p>
    <w:tbl>
      <w:tblPr>
        <w:tblW w:type="auto" w:w="0"/>
        <w:jc w:val="center"/>
        <w:tblLook w:firstColumn="1" w:firstRow="1" w:lastColumn="0" w:lastRow="0" w:noHBand="0" w:noVBand="1" w:val="04A0"/>
      </w:tblPr>
      <w:tblGrid>
        <w:gridCol w:w="2484"/>
        <w:gridCol w:w="2484"/>
        <w:gridCol w:w="2484"/>
        <w:gridCol w:w="2484"/>
      </w:tblGrid>
      <w:tr>
        <w:tc>
          <w:tcPr>
            <w:tcW w:type="dxa" w:w="2448"/>
            <w:shd w:val="clear" w:color="auto" w:fill="EEF2F6"/>
          </w:tcPr>
          <w:p>
            <w:pPr>
              <w:jc w:val="center"/>
            </w:pPr>
            <w:r/>
            <w:r>
              <w:rPr>
                <w:rFonts w:ascii="Calibri" w:hAnsi="Calibri"/>
                <w:b/>
                <w:color w:val="1F3A5F"/>
                <w:sz w:val="30"/>
              </w:rPr>
              <w:t>21</w:t>
            </w:r>
          </w:p>
          <w:p>
            <w:pPr>
              <w:jc w:val="center"/>
            </w:pPr>
            <w:r>
              <w:rPr>
                <w:rFonts w:ascii="Calibri" w:hAnsi="Calibri"/>
                <w:color w:val="555555"/>
                <w:sz w:val="16"/>
              </w:rPr>
              <w:t>tracked runs</w:t>
            </w:r>
          </w:p>
        </w:tc>
        <w:tc>
          <w:tcPr>
            <w:tcW w:type="dxa" w:w="2448"/>
            <w:shd w:val="clear" w:color="auto" w:fill="EEF2F6"/>
          </w:tcPr>
          <w:p>
            <w:pPr>
              <w:jc w:val="center"/>
            </w:pPr>
            <w:r/>
            <w:r>
              <w:rPr>
                <w:rFonts w:ascii="Calibri" w:hAnsi="Calibri"/>
                <w:b/>
                <w:color w:val="1F3A5F"/>
                <w:sz w:val="30"/>
              </w:rPr>
              <w:t>0.7948</w:t>
            </w:r>
          </w:p>
          <w:p>
            <w:pPr>
              <w:jc w:val="center"/>
            </w:pPr>
            <w:r>
              <w:rPr>
                <w:rFonts w:ascii="Calibri" w:hAnsi="Calibri"/>
                <w:color w:val="555555"/>
                <w:sz w:val="16"/>
              </w:rPr>
              <w:t>baseline PR-AUC</w:t>
            </w:r>
          </w:p>
        </w:tc>
        <w:tc>
          <w:tcPr>
            <w:tcW w:type="dxa" w:w="2448"/>
            <w:shd w:val="clear" w:color="auto" w:fill="EEF2F6"/>
          </w:tcPr>
          <w:p>
            <w:pPr>
              <w:jc w:val="center"/>
            </w:pPr>
            <w:r/>
            <w:r>
              <w:rPr>
                <w:rFonts w:ascii="Calibri" w:hAnsi="Calibri"/>
                <w:b/>
                <w:color w:val="1F3A5F"/>
                <w:sz w:val="30"/>
              </w:rPr>
              <w:t>3</w:t>
            </w:r>
          </w:p>
          <w:p>
            <w:pPr>
              <w:jc w:val="center"/>
            </w:pPr>
            <w:r>
              <w:rPr>
                <w:rFonts w:ascii="Calibri" w:hAnsi="Calibri"/>
                <w:color w:val="555555"/>
                <w:sz w:val="16"/>
              </w:rPr>
              <w:t>pull requests</w:t>
            </w:r>
          </w:p>
        </w:tc>
        <w:tc>
          <w:tcPr>
            <w:tcW w:type="dxa" w:w="2448"/>
            <w:shd w:val="clear" w:color="auto" w:fill="EEF2F6"/>
          </w:tcPr>
          <w:p>
            <w:pPr>
              <w:jc w:val="center"/>
            </w:pPr>
            <w:r/>
            <w:r>
              <w:rPr>
                <w:rFonts w:ascii="Calibri" w:hAnsi="Calibri"/>
                <w:b/>
                <w:color w:val="1F3A5F"/>
                <w:sz w:val="30"/>
              </w:rPr>
              <w:t>8 / 8</w:t>
            </w:r>
          </w:p>
          <w:p>
            <w:pPr>
              <w:jc w:val="center"/>
            </w:pPr>
            <w:r>
              <w:rPr>
                <w:rFonts w:ascii="Calibri" w:hAnsi="Calibri"/>
                <w:color w:val="555555"/>
                <w:sz w:val="16"/>
              </w:rPr>
              <w:t>tasks complete</w:t>
            </w:r>
          </w:p>
        </w:tc>
      </w:tr>
    </w:tbl>
    <w:p>
      <w:pPr>
        <w:spacing w:after="40"/>
      </w:pPr>
    </w:p>
    <w:p>
      <w:pPr>
        <w:spacing w:after="80" w:before="200"/>
      </w:pPr>
      <w:r>
        <w:rPr>
          <w:rFonts w:ascii="Calibri" w:hAnsi="Calibri"/>
          <w:b/>
          <w:i w:val="0"/>
          <w:color w:val="2E8B9A"/>
          <w:sz w:val="20"/>
        </w:rPr>
        <w:t>REPORT DETAILS</w:t>
      </w:r>
    </w:p>
    <w:tbl>
      <w:tblPr>
        <w:tblStyle w:val="TableGrid"/>
        <w:tblW w:type="auto" w:w="0"/>
        <w:jc w:val="center"/>
        <w:tblLook w:firstColumn="1" w:firstRow="1" w:lastColumn="0" w:lastRow="0" w:noHBand="0" w:noVBand="1" w:val="04A0"/>
      </w:tblPr>
      <w:tblGrid>
        <w:gridCol w:w="4968"/>
        <w:gridCol w:w="4968"/>
      </w:tblGrid>
      <w:tr>
        <w:tc>
          <w:tcPr>
            <w:tcW w:type="dxa" w:w="2448"/>
            <w:shd w:val="clear" w:color="auto" w:fill="1F3A5F"/>
          </w:tcPr>
          <w:p>
            <w:r/>
            <w:r>
              <w:rPr>
                <w:rFonts w:ascii="Calibri" w:hAnsi="Calibri"/>
                <w:b/>
                <w:color w:val="FFFFFF"/>
                <w:sz w:val="19"/>
              </w:rPr>
              <w:t>Field</w:t>
            </w:r>
          </w:p>
        </w:tc>
        <w:tc>
          <w:tcPr>
            <w:tcW w:type="dxa" w:w="7344"/>
            <w:shd w:val="clear" w:color="auto" w:fill="1F3A5F"/>
          </w:tcPr>
          <w:p>
            <w:r/>
            <w:r>
              <w:rPr>
                <w:rFonts w:ascii="Calibri" w:hAnsi="Calibri"/>
                <w:b/>
                <w:color w:val="FFFFFF"/>
                <w:sz w:val="19"/>
              </w:rPr>
              <w:t>Detail</w:t>
            </w:r>
          </w:p>
        </w:tc>
      </w:tr>
      <w:tr>
        <w:tc>
          <w:tcPr>
            <w:tcW w:type="dxa" w:w="2448"/>
            <w:shd w:val="clear" w:color="auto" w:fill="FFFFFF"/>
          </w:tcPr>
          <w:p>
            <w:r/>
            <w:r>
              <w:rPr>
                <w:rFonts w:ascii="Calibri" w:hAnsi="Calibri"/>
                <w:b w:val="0"/>
                <w:sz w:val="19"/>
              </w:rPr>
              <w:t>Course</w:t>
            </w:r>
          </w:p>
        </w:tc>
        <w:tc>
          <w:tcPr>
            <w:tcW w:type="dxa" w:w="7344"/>
            <w:shd w:val="clear" w:color="auto" w:fill="FFFFFF"/>
          </w:tcPr>
          <w:p>
            <w:r/>
            <w:r>
              <w:rPr>
                <w:rFonts w:ascii="Calibri" w:hAnsi="Calibri"/>
                <w:b w:val="0"/>
                <w:sz w:val="19"/>
              </w:rPr>
              <w:t>Elective II, Machine Learning Operations (MLOps Lab)</w:t>
            </w:r>
          </w:p>
        </w:tc>
      </w:tr>
      <w:tr>
        <w:tc>
          <w:tcPr>
            <w:tcW w:type="dxa" w:w="2448"/>
            <w:shd w:val="clear" w:color="auto" w:fill="F4F7FA"/>
          </w:tcPr>
          <w:p>
            <w:r/>
            <w:r>
              <w:rPr>
                <w:rFonts w:ascii="Calibri" w:hAnsi="Calibri"/>
                <w:b w:val="0"/>
                <w:sz w:val="19"/>
              </w:rPr>
              <w:t>Project</w:t>
            </w:r>
          </w:p>
        </w:tc>
        <w:tc>
          <w:tcPr>
            <w:tcW w:type="dxa" w:w="7344"/>
            <w:shd w:val="clear" w:color="auto" w:fill="F4F7FA"/>
          </w:tcPr>
          <w:p>
            <w:r/>
            <w:r>
              <w:rPr>
                <w:rFonts w:ascii="Calibri" w:hAnsi="Calibri"/>
                <w:b w:val="0"/>
                <w:sz w:val="19"/>
              </w:rPr>
              <w:t>Project 1, Credit Risk Model with a CI/CD Quality Gate</w:t>
            </w:r>
          </w:p>
        </w:tc>
      </w:tr>
      <w:tr>
        <w:tc>
          <w:tcPr>
            <w:tcW w:type="dxa" w:w="2448"/>
            <w:shd w:val="clear" w:color="auto" w:fill="FFFFFF"/>
          </w:tcPr>
          <w:p>
            <w:r/>
            <w:r>
              <w:rPr>
                <w:rFonts w:ascii="Calibri" w:hAnsi="Calibri"/>
                <w:b w:val="0"/>
                <w:sz w:val="19"/>
              </w:rPr>
              <w:t>Submitted to</w:t>
            </w:r>
          </w:p>
        </w:tc>
        <w:tc>
          <w:tcPr>
            <w:tcW w:type="dxa" w:w="7344"/>
            <w:shd w:val="clear" w:color="auto" w:fill="FFFFFF"/>
          </w:tcPr>
          <w:p>
            <w:r/>
            <w:r>
              <w:rPr>
                <w:rFonts w:ascii="Calibri" w:hAnsi="Calibri"/>
                <w:b w:val="0"/>
                <w:sz w:val="19"/>
              </w:rPr>
              <w:t>Dr. Santosh Kumar</w:t>
            </w:r>
          </w:p>
        </w:tc>
      </w:tr>
      <w:tr>
        <w:tc>
          <w:tcPr>
            <w:tcW w:type="dxa" w:w="2448"/>
            <w:shd w:val="clear" w:color="auto" w:fill="F4F7FA"/>
          </w:tcPr>
          <w:p>
            <w:r/>
            <w:r>
              <w:rPr>
                <w:rFonts w:ascii="Calibri" w:hAnsi="Calibri"/>
                <w:b w:val="0"/>
                <w:sz w:val="19"/>
              </w:rPr>
              <w:t>Submitted by</w:t>
            </w:r>
          </w:p>
        </w:tc>
        <w:tc>
          <w:tcPr>
            <w:tcW w:type="dxa" w:w="7344"/>
            <w:shd w:val="clear" w:color="auto" w:fill="F4F7FA"/>
          </w:tcPr>
          <w:p>
            <w:r/>
            <w:r>
              <w:rPr>
                <w:rFonts w:ascii="Calibri" w:hAnsi="Calibri"/>
                <w:b w:val="0"/>
                <w:sz w:val="19"/>
              </w:rPr>
              <w:t>Aditya Nariyapara (B009) and Shreya Dutt (B016)</w:t>
            </w:r>
          </w:p>
        </w:tc>
      </w:tr>
      <w:tr>
        <w:tc>
          <w:tcPr>
            <w:tcW w:type="dxa" w:w="2448"/>
            <w:shd w:val="clear" w:color="auto" w:fill="FFFFFF"/>
          </w:tcPr>
          <w:p>
            <w:r/>
            <w:r>
              <w:rPr>
                <w:rFonts w:ascii="Calibri" w:hAnsi="Calibri"/>
                <w:b w:val="0"/>
                <w:sz w:val="19"/>
              </w:rPr>
              <w:t>Dataset</w:t>
            </w:r>
          </w:p>
        </w:tc>
        <w:tc>
          <w:tcPr>
            <w:tcW w:type="dxa" w:w="7344"/>
            <w:shd w:val="clear" w:color="auto" w:fill="FFFFFF"/>
          </w:tcPr>
          <w:p>
            <w:r/>
            <w:r>
              <w:rPr>
                <w:rFonts w:ascii="Calibri" w:hAnsi="Calibri"/>
                <w:b w:val="0"/>
                <w:sz w:val="19"/>
              </w:rPr>
              <w:t>credit_card_customers v1 (800 rows) and v2 (1,100 rows)</w:t>
            </w:r>
          </w:p>
        </w:tc>
      </w:tr>
      <w:tr>
        <w:tc>
          <w:tcPr>
            <w:tcW w:type="dxa" w:w="2448"/>
            <w:shd w:val="clear" w:color="auto" w:fill="F4F7FA"/>
          </w:tcPr>
          <w:p>
            <w:r/>
            <w:r>
              <w:rPr>
                <w:rFonts w:ascii="Calibri" w:hAnsi="Calibri"/>
                <w:b w:val="0"/>
                <w:sz w:val="19"/>
              </w:rPr>
              <w:t>Tools</w:t>
            </w:r>
          </w:p>
        </w:tc>
        <w:tc>
          <w:tcPr>
            <w:tcW w:type="dxa" w:w="7344"/>
            <w:shd w:val="clear" w:color="auto" w:fill="F4F7FA"/>
          </w:tcPr>
          <w:p>
            <w:r/>
            <w:r>
              <w:rPr>
                <w:rFonts w:ascii="Calibri" w:hAnsi="Calibri"/>
                <w:b w:val="0"/>
                <w:sz w:val="19"/>
              </w:rPr>
              <w:t>Python, Git and GitHub, DVC, MLflow, GitHub Actions, pytest</w:t>
            </w:r>
          </w:p>
        </w:tc>
      </w:tr>
      <w:tr>
        <w:tc>
          <w:tcPr>
            <w:tcW w:type="dxa" w:w="2448"/>
            <w:shd w:val="clear" w:color="auto" w:fill="FFFFFF"/>
          </w:tcPr>
          <w:p>
            <w:r/>
            <w:r>
              <w:rPr>
                <w:rFonts w:ascii="Calibri" w:hAnsi="Calibri"/>
                <w:b w:val="0"/>
                <w:sz w:val="19"/>
              </w:rPr>
              <w:t>Repository</w:t>
            </w:r>
          </w:p>
        </w:tc>
        <w:tc>
          <w:tcPr>
            <w:tcW w:type="dxa" w:w="7344"/>
            <w:shd w:val="clear" w:color="auto" w:fill="FFFFFF"/>
          </w:tcPr>
          <w:p>
            <w:r/>
            <w:r>
              <w:rPr>
                <w:rFonts w:ascii="Calibri" w:hAnsi="Calibri"/>
                <w:b w:val="0"/>
                <w:sz w:val="19"/>
              </w:rPr>
              <w:t>github.com/AdityaNariyapara/credit-risk-cicd-gate</w:t>
            </w:r>
          </w:p>
        </w:tc>
      </w:tr>
      <w:tr>
        <w:tc>
          <w:tcPr>
            <w:tcW w:type="dxa" w:w="2448"/>
            <w:shd w:val="clear" w:color="auto" w:fill="F4F7FA"/>
          </w:tcPr>
          <w:p>
            <w:r/>
            <w:r>
              <w:rPr>
                <w:rFonts w:ascii="Calibri" w:hAnsi="Calibri"/>
                <w:b w:val="0"/>
                <w:sz w:val="19"/>
              </w:rPr>
              <w:t>Date</w:t>
            </w:r>
          </w:p>
        </w:tc>
        <w:tc>
          <w:tcPr>
            <w:tcW w:type="dxa" w:w="7344"/>
            <w:shd w:val="clear" w:color="auto" w:fill="F4F7FA"/>
          </w:tcPr>
          <w:p>
            <w:r/>
            <w:r>
              <w:rPr>
                <w:rFonts w:ascii="Calibri" w:hAnsi="Calibri"/>
                <w:b w:val="0"/>
                <w:sz w:val="19"/>
              </w:rPr>
              <w:t>October 2026</w:t>
            </w:r>
          </w:p>
        </w:tc>
      </w:tr>
    </w:tbl>
    <w:p>
      <w:pPr>
        <w:spacing w:after="40"/>
      </w:pPr>
    </w:p>
    <w:p>
      <w:pPr>
        <w:spacing w:after="60" w:before="200"/>
      </w:pPr>
      <w:r>
        <w:rPr>
          <w:rFonts w:ascii="Calibri" w:hAnsi="Calibri"/>
          <w:b/>
          <w:i w:val="0"/>
          <w:color w:val="2E8B9A"/>
          <w:sz w:val="20"/>
        </w:rPr>
        <w:t>PROJECT WORKFLOW</w:t>
      </w:r>
    </w:p>
    <w:p>
      <w:pPr>
        <w:spacing w:after="120" w:before="0"/>
      </w:pPr>
      <w:r>
        <w:rPr>
          <w:rFonts w:ascii="Calibri" w:hAnsi="Calibri"/>
          <w:b/>
          <w:i w:val="0"/>
          <w:color w:val="1F3A5F"/>
          <w:sz w:val="20"/>
        </w:rPr>
        <w:t>Version data  &gt;  Configure  &gt;  Engineer features  &gt;  Train and track  &gt;  Gate on every PR  &gt;  Data-change drill  &gt;  Threshold and fairness defense</w:t>
      </w:r>
    </w:p>
    <w:p>
      <w:r>
        <w:br w:type="page"/>
      </w:r>
    </w:p>
    <w:p>
      <w:pPr>
        <w:spacing w:before="280" w:after="120"/>
        <w:pBdr>
          <w:bottom w:val="single" w:sz="6" w:space="2" w:color="2E8B9A"/>
        </w:pBdr>
      </w:pPr>
      <w:r>
        <w:rPr>
          <w:rFonts w:ascii="Calibri" w:hAnsi="Calibri"/>
          <w:b/>
          <w:color w:val="1F3A5F"/>
          <w:sz w:val="30"/>
        </w:rPr>
        <w:t>Executive Summary</w:t>
      </w:r>
    </w:p>
    <w:p>
      <w:pPr>
        <w:spacing w:after="120" w:before="0"/>
      </w:pPr>
      <w:r>
        <w:rPr>
          <w:rFonts w:ascii="Calibri" w:hAnsi="Calibri"/>
          <w:b w:val="0"/>
          <w:i w:val="0"/>
          <w:sz w:val="21"/>
        </w:rPr>
        <w:t>A retail bank retrains its credit-card default model every month. At one point an untested change lowered model quality and nobody noticed for two weeks, and afterwards nobody could say which code, configuration or data version had produced the faulty model. This project builds the workflow the risk team asked for, so that every change is versioned, tested automatically, logged, and accepted only when the model is at least as good as the current baseline.</w:t>
      </w:r>
    </w:p>
    <w:p>
      <w:pPr>
        <w:spacing w:after="120" w:before="0"/>
      </w:pPr>
      <w:r>
        <w:rPr>
          <w:rFonts w:ascii="Calibri" w:hAnsi="Calibri"/>
          <w:b w:val="0"/>
          <w:i w:val="0"/>
          <w:sz w:val="21"/>
        </w:rPr>
        <w:t>The dataset has about one high-risk customer in five, so plain accuracy is misleading. We select and gate on average precision (PR-AUC), which measures how well the model ranks the high-risk minority. A quality gate runs on every pull request, trains the model with a fixed CI configuration, compares the result to a baseline stored in the repository, and blocks the merge when a test fails or the model gets worse. We did not accept the first metric we tried: three candidate gate rules were compared against our own 21-run history, and the error of the final model was checked across income groups.</w:t>
      </w:r>
    </w:p>
    <w:tbl>
      <w:tblPr>
        <w:tblW w:type="auto" w:w="0"/>
        <w:jc w:val="center"/>
        <w:tblLook w:firstColumn="1" w:firstRow="1" w:lastColumn="0" w:lastRow="0" w:noHBand="0" w:noVBand="1" w:val="04A0"/>
      </w:tblPr>
      <w:tblGrid>
        <w:gridCol w:w="3312"/>
        <w:gridCol w:w="3312"/>
        <w:gridCol w:w="3312"/>
      </w:tblGrid>
      <w:tr>
        <w:tc>
          <w:tcPr>
            <w:tcW w:type="dxa" w:w="3264"/>
            <w:shd w:val="clear" w:color="auto" w:fill="EEF2F6"/>
          </w:tcPr>
          <w:p>
            <w:pPr>
              <w:jc w:val="center"/>
            </w:pPr>
            <w:r/>
            <w:r>
              <w:rPr>
                <w:rFonts w:ascii="Calibri" w:hAnsi="Calibri"/>
                <w:b/>
                <w:color w:val="1F3A5F"/>
                <w:sz w:val="30"/>
              </w:rPr>
              <w:t>0.690 to 0.869</w:t>
            </w:r>
          </w:p>
          <w:p>
            <w:pPr>
              <w:jc w:val="center"/>
            </w:pPr>
            <w:r>
              <w:rPr>
                <w:rFonts w:ascii="Calibri" w:hAnsi="Calibri"/>
                <w:color w:val="555555"/>
                <w:sz w:val="16"/>
              </w:rPr>
              <w:t>PR-AUC range over 21 runs</w:t>
            </w:r>
          </w:p>
        </w:tc>
        <w:tc>
          <w:tcPr>
            <w:tcW w:type="dxa" w:w="3264"/>
            <w:shd w:val="clear" w:color="auto" w:fill="EEF2F6"/>
          </w:tcPr>
          <w:p>
            <w:pPr>
              <w:jc w:val="center"/>
            </w:pPr>
            <w:r/>
            <w:r>
              <w:rPr>
                <w:rFonts w:ascii="Calibri" w:hAnsi="Calibri"/>
                <w:b/>
                <w:color w:val="1F3A5F"/>
                <w:sz w:val="30"/>
              </w:rPr>
              <w:t>+0.055</w:t>
            </w:r>
          </w:p>
          <w:p>
            <w:pPr>
              <w:jc w:val="center"/>
            </w:pPr>
            <w:r>
              <w:rPr>
                <w:rFonts w:ascii="Calibri" w:hAnsi="Calibri"/>
                <w:color w:val="555555"/>
                <w:sz w:val="16"/>
              </w:rPr>
              <w:t>v2 vs v1 PR-AUC, within noise</w:t>
            </w:r>
          </w:p>
        </w:tc>
        <w:tc>
          <w:tcPr>
            <w:tcW w:type="dxa" w:w="3264"/>
            <w:shd w:val="clear" w:color="auto" w:fill="EEF2F6"/>
          </w:tcPr>
          <w:p>
            <w:pPr>
              <w:jc w:val="center"/>
            </w:pPr>
            <w:r/>
            <w:r>
              <w:rPr>
                <w:rFonts w:ascii="Calibri" w:hAnsi="Calibri"/>
                <w:b/>
                <w:color w:val="1F3A5F"/>
                <w:sz w:val="30"/>
              </w:rPr>
              <w:t>0.35 vs 0.20</w:t>
            </w:r>
          </w:p>
          <w:p>
            <w:pPr>
              <w:jc w:val="center"/>
            </w:pPr>
            <w:r>
              <w:rPr>
                <w:rFonts w:ascii="Calibri" w:hAnsi="Calibri"/>
                <w:color w:val="555555"/>
                <w:sz w:val="16"/>
              </w:rPr>
              <w:t>Low vs High false-negative rate</w:t>
            </w:r>
          </w:p>
        </w:tc>
      </w:tr>
    </w:tbl>
    <w:p>
      <w:pPr>
        <w:spacing w:after="40"/>
      </w:pPr>
    </w:p>
    <w:p>
      <w:pPr>
        <w:spacing w:after="120" w:before="80"/>
      </w:pPr>
      <w:r>
        <w:rPr>
          <w:rFonts w:ascii="Calibri" w:hAnsi="Calibri"/>
          <w:b w:val="0"/>
          <w:i w:val="0"/>
          <w:sz w:val="21"/>
        </w:rPr>
        <w:t>In short, the gate reliably blocks worse models and failing tests, the registered model is traceable to its exact code, data and configuration, and the harder findings (the v2 improvement is not yet proven, and the model is weaker for low-income customers) are reported honestly rather than hidden behind a high accuracy number.</w:t>
      </w:r>
    </w:p>
    <w:p>
      <w:r>
        <w:br w:type="page"/>
      </w:r>
    </w:p>
    <w:p>
      <w:pPr>
        <w:spacing w:before="280" w:after="120"/>
        <w:pBdr>
          <w:bottom w:val="single" w:sz="6" w:space="2" w:color="2E8B9A"/>
        </w:pBdr>
      </w:pPr>
      <w:r>
        <w:rPr>
          <w:rFonts w:ascii="Calibri" w:hAnsi="Calibri"/>
          <w:b/>
          <w:color w:val="1F3A5F"/>
          <w:sz w:val="30"/>
        </w:rPr>
        <w:t>01  Problem and Objectives</w:t>
      </w:r>
    </w:p>
    <w:p>
      <w:pPr>
        <w:spacing w:after="120" w:before="0"/>
      </w:pPr>
      <w:r>
        <w:rPr>
          <w:rFonts w:ascii="Calibri" w:hAnsi="Calibri"/>
          <w:b w:val="0"/>
          <w:i w:val="0"/>
          <w:sz w:val="21"/>
        </w:rPr>
        <w:t>The risk team wants four things that ordinary software delivery does not provide on its own:</w:t>
      </w:r>
    </w:p>
    <w:p>
      <w:pPr>
        <w:pStyle w:val="ListBullet"/>
        <w:spacing w:after="60"/>
      </w:pPr>
      <w:r>
        <w:rPr>
          <w:rFonts w:ascii="Calibri" w:hAnsi="Calibri"/>
          <w:sz w:val="21"/>
        </w:rPr>
        <w:t>Code, configuration and data versioned together, so any past result can be rebuilt exactly.</w:t>
      </w:r>
    </w:p>
    <w:p>
      <w:pPr>
        <w:pStyle w:val="ListBullet"/>
        <w:spacing w:after="60"/>
      </w:pPr>
      <w:r>
        <w:rPr>
          <w:rFonts w:ascii="Calibri" w:hAnsi="Calibri"/>
          <w:sz w:val="21"/>
        </w:rPr>
        <w:t>Every training run logged with its parameters, metrics, data version and configuration.</w:t>
      </w:r>
    </w:p>
    <w:p>
      <w:pPr>
        <w:pStyle w:val="ListBullet"/>
        <w:spacing w:after="60"/>
      </w:pPr>
      <w:r>
        <w:rPr>
          <w:rFonts w:ascii="Calibri" w:hAnsi="Calibri"/>
          <w:sz w:val="21"/>
        </w:rPr>
        <w:t>A gate that compares each candidate to a baseline and stops anything worse from merging.</w:t>
      </w:r>
    </w:p>
    <w:p>
      <w:pPr>
        <w:pStyle w:val="ListBullet"/>
        <w:spacing w:after="60"/>
      </w:pPr>
      <w:r>
        <w:rPr>
          <w:rFonts w:ascii="Calibri" w:hAnsi="Calibri"/>
          <w:sz w:val="21"/>
        </w:rPr>
        <w:t>A defensible choice of gate metric and threshold, plus a fairness check across income groups.</w:t>
      </w:r>
    </w:p>
    <w:p>
      <w:pPr>
        <w:spacing w:after="120" w:before="80"/>
      </w:pPr>
      <w:r>
        <w:rPr>
          <w:rFonts w:ascii="Calibri" w:hAnsi="Calibri"/>
          <w:b w:val="0"/>
          <w:i w:val="0"/>
          <w:sz w:val="21"/>
        </w:rPr>
        <w:t>Our role is to design and demonstrate this workflow end to end and to defend the design choices, not just to show that a gate exists.</w:t>
      </w:r>
    </w:p>
    <w:p>
      <w:pPr>
        <w:spacing w:before="280" w:after="120"/>
        <w:pBdr>
          <w:bottom w:val="single" w:sz="6" w:space="2" w:color="2E8B9A"/>
        </w:pBdr>
      </w:pPr>
      <w:r>
        <w:rPr>
          <w:rFonts w:ascii="Calibri" w:hAnsi="Calibri"/>
          <w:b/>
          <w:color w:val="1F3A5F"/>
          <w:sz w:val="30"/>
        </w:rPr>
        <w:t>02  Tools and Why We Chose Them</w:t>
      </w:r>
    </w:p>
    <w:tbl>
      <w:tblPr>
        <w:tblStyle w:val="TableGrid"/>
        <w:tblW w:type="auto" w:w="0"/>
        <w:jc w:val="center"/>
        <w:tblLook w:firstColumn="1" w:firstRow="1" w:lastColumn="0" w:lastRow="0" w:noHBand="0" w:noVBand="1" w:val="04A0"/>
      </w:tblPr>
      <w:tblGrid>
        <w:gridCol w:w="3312"/>
        <w:gridCol w:w="3312"/>
        <w:gridCol w:w="3312"/>
      </w:tblGrid>
      <w:tr>
        <w:tc>
          <w:tcPr>
            <w:tcW w:type="dxa" w:w="2232"/>
            <w:shd w:val="clear" w:color="auto" w:fill="1F3A5F"/>
          </w:tcPr>
          <w:p>
            <w:r/>
            <w:r>
              <w:rPr>
                <w:rFonts w:ascii="Calibri" w:hAnsi="Calibri"/>
                <w:b/>
                <w:color w:val="FFFFFF"/>
                <w:sz w:val="19"/>
              </w:rPr>
              <w:t>Purpose</w:t>
            </w:r>
          </w:p>
        </w:tc>
        <w:tc>
          <w:tcPr>
            <w:tcW w:type="dxa" w:w="2448"/>
            <w:shd w:val="clear" w:color="auto" w:fill="1F3A5F"/>
          </w:tcPr>
          <w:p>
            <w:r/>
            <w:r>
              <w:rPr>
                <w:rFonts w:ascii="Calibri" w:hAnsi="Calibri"/>
                <w:b/>
                <w:color w:val="FFFFFF"/>
                <w:sz w:val="19"/>
              </w:rPr>
              <w:t>Tool</w:t>
            </w:r>
          </w:p>
        </w:tc>
        <w:tc>
          <w:tcPr>
            <w:tcW w:type="dxa" w:w="5112"/>
            <w:shd w:val="clear" w:color="auto" w:fill="1F3A5F"/>
          </w:tcPr>
          <w:p>
            <w:r/>
            <w:r>
              <w:rPr>
                <w:rFonts w:ascii="Calibri" w:hAnsi="Calibri"/>
                <w:b/>
                <w:color w:val="FFFFFF"/>
                <w:sz w:val="19"/>
              </w:rPr>
              <w:t>Reason</w:t>
            </w:r>
          </w:p>
        </w:tc>
      </w:tr>
      <w:tr>
        <w:tc>
          <w:tcPr>
            <w:tcW w:type="dxa" w:w="2232"/>
            <w:shd w:val="clear" w:color="auto" w:fill="FFFFFF"/>
          </w:tcPr>
          <w:p>
            <w:r/>
            <w:r>
              <w:rPr>
                <w:rFonts w:ascii="Calibri" w:hAnsi="Calibri"/>
                <w:b w:val="0"/>
                <w:sz w:val="19"/>
              </w:rPr>
              <w:t>Source versioning</w:t>
            </w:r>
          </w:p>
        </w:tc>
        <w:tc>
          <w:tcPr>
            <w:tcW w:type="dxa" w:w="2448"/>
            <w:shd w:val="clear" w:color="auto" w:fill="FFFFFF"/>
          </w:tcPr>
          <w:p>
            <w:r/>
            <w:r>
              <w:rPr>
                <w:rFonts w:ascii="Calibri" w:hAnsi="Calibri"/>
                <w:b w:val="0"/>
                <w:sz w:val="19"/>
              </w:rPr>
              <w:t>Git and GitHub</w:t>
            </w:r>
          </w:p>
        </w:tc>
        <w:tc>
          <w:tcPr>
            <w:tcW w:type="dxa" w:w="5112"/>
            <w:shd w:val="clear" w:color="auto" w:fill="FFFFFF"/>
          </w:tcPr>
          <w:p>
            <w:r/>
            <w:r>
              <w:rPr>
                <w:rFonts w:ascii="Calibri" w:hAnsi="Calibri"/>
                <w:b w:val="0"/>
                <w:sz w:val="19"/>
              </w:rPr>
              <w:t>Standard and free, integrates with Actions.</w:t>
            </w:r>
          </w:p>
        </w:tc>
      </w:tr>
      <w:tr>
        <w:tc>
          <w:tcPr>
            <w:tcW w:type="dxa" w:w="2232"/>
            <w:shd w:val="clear" w:color="auto" w:fill="F4F7FA"/>
          </w:tcPr>
          <w:p>
            <w:r/>
            <w:r>
              <w:rPr>
                <w:rFonts w:ascii="Calibri" w:hAnsi="Calibri"/>
                <w:b w:val="0"/>
                <w:sz w:val="19"/>
              </w:rPr>
              <w:t>Data versioning</w:t>
            </w:r>
          </w:p>
        </w:tc>
        <w:tc>
          <w:tcPr>
            <w:tcW w:type="dxa" w:w="2448"/>
            <w:shd w:val="clear" w:color="auto" w:fill="F4F7FA"/>
          </w:tcPr>
          <w:p>
            <w:r/>
            <w:r>
              <w:rPr>
                <w:rFonts w:ascii="Calibri" w:hAnsi="Calibri"/>
                <w:b w:val="0"/>
                <w:sz w:val="19"/>
              </w:rPr>
              <w:t>DVC</w:t>
            </w:r>
          </w:p>
        </w:tc>
        <w:tc>
          <w:tcPr>
            <w:tcW w:type="dxa" w:w="5112"/>
            <w:shd w:val="clear" w:color="auto" w:fill="F4F7FA"/>
          </w:tcPr>
          <w:p>
            <w:r/>
            <w:r>
              <w:rPr>
                <w:rFonts w:ascii="Calibri" w:hAnsi="Calibri"/>
                <w:b w:val="0"/>
                <w:sz w:val="19"/>
              </w:rPr>
              <w:t>Keeps large CSVs out of ordinary git history while any commit can still restore its exact data.</w:t>
            </w:r>
          </w:p>
        </w:tc>
      </w:tr>
      <w:tr>
        <w:tc>
          <w:tcPr>
            <w:tcW w:type="dxa" w:w="2232"/>
            <w:shd w:val="clear" w:color="auto" w:fill="FFFFFF"/>
          </w:tcPr>
          <w:p>
            <w:r/>
            <w:r>
              <w:rPr>
                <w:rFonts w:ascii="Calibri" w:hAnsi="Calibri"/>
                <w:b w:val="0"/>
                <w:sz w:val="19"/>
              </w:rPr>
              <w:t>Configuration</w:t>
            </w:r>
          </w:p>
        </w:tc>
        <w:tc>
          <w:tcPr>
            <w:tcW w:type="dxa" w:w="2448"/>
            <w:shd w:val="clear" w:color="auto" w:fill="FFFFFF"/>
          </w:tcPr>
          <w:p>
            <w:r/>
            <w:r>
              <w:rPr>
                <w:rFonts w:ascii="Calibri" w:hAnsi="Calibri"/>
                <w:b w:val="0"/>
                <w:sz w:val="19"/>
              </w:rPr>
              <w:t>YAML with Pydantic</w:t>
            </w:r>
          </w:p>
        </w:tc>
        <w:tc>
          <w:tcPr>
            <w:tcW w:type="dxa" w:w="5112"/>
            <w:shd w:val="clear" w:color="auto" w:fill="FFFFFF"/>
          </w:tcPr>
          <w:p>
            <w:r/>
            <w:r>
              <w:rPr>
                <w:rFonts w:ascii="Calibri" w:hAnsi="Calibri"/>
                <w:b w:val="0"/>
                <w:sz w:val="19"/>
              </w:rPr>
              <w:t>Readable settings, validated on load so a broken config fails fast.</w:t>
            </w:r>
          </w:p>
        </w:tc>
      </w:tr>
      <w:tr>
        <w:tc>
          <w:tcPr>
            <w:tcW w:type="dxa" w:w="2232"/>
            <w:shd w:val="clear" w:color="auto" w:fill="F4F7FA"/>
          </w:tcPr>
          <w:p>
            <w:r/>
            <w:r>
              <w:rPr>
                <w:rFonts w:ascii="Calibri" w:hAnsi="Calibri"/>
                <w:b w:val="0"/>
                <w:sz w:val="19"/>
              </w:rPr>
              <w:t>Modelling</w:t>
            </w:r>
          </w:p>
        </w:tc>
        <w:tc>
          <w:tcPr>
            <w:tcW w:type="dxa" w:w="2448"/>
            <w:shd w:val="clear" w:color="auto" w:fill="F4F7FA"/>
          </w:tcPr>
          <w:p>
            <w:r/>
            <w:r>
              <w:rPr>
                <w:rFonts w:ascii="Calibri" w:hAnsi="Calibri"/>
                <w:b w:val="0"/>
                <w:sz w:val="19"/>
              </w:rPr>
              <w:t>pandas, scikit-learn</w:t>
            </w:r>
          </w:p>
        </w:tc>
        <w:tc>
          <w:tcPr>
            <w:tcW w:type="dxa" w:w="5112"/>
            <w:shd w:val="clear" w:color="auto" w:fill="F4F7FA"/>
          </w:tcPr>
          <w:p>
            <w:r/>
            <w:r>
              <w:rPr>
                <w:rFonts w:ascii="Calibri" w:hAnsi="Calibri"/>
                <w:b w:val="0"/>
                <w:sz w:val="19"/>
              </w:rPr>
              <w:t>Free, well understood, fast enough for CI.</w:t>
            </w:r>
          </w:p>
        </w:tc>
      </w:tr>
      <w:tr>
        <w:tc>
          <w:tcPr>
            <w:tcW w:type="dxa" w:w="2232"/>
            <w:shd w:val="clear" w:color="auto" w:fill="FFFFFF"/>
          </w:tcPr>
          <w:p>
            <w:r/>
            <w:r>
              <w:rPr>
                <w:rFonts w:ascii="Calibri" w:hAnsi="Calibri"/>
                <w:b w:val="0"/>
                <w:sz w:val="19"/>
              </w:rPr>
              <w:t>Tracking and registry</w:t>
            </w:r>
          </w:p>
        </w:tc>
        <w:tc>
          <w:tcPr>
            <w:tcW w:type="dxa" w:w="2448"/>
            <w:shd w:val="clear" w:color="auto" w:fill="FFFFFF"/>
          </w:tcPr>
          <w:p>
            <w:r/>
            <w:r>
              <w:rPr>
                <w:rFonts w:ascii="Calibri" w:hAnsi="Calibri"/>
                <w:b w:val="0"/>
                <w:sz w:val="19"/>
              </w:rPr>
              <w:t>MLflow</w:t>
            </w:r>
          </w:p>
        </w:tc>
        <w:tc>
          <w:tcPr>
            <w:tcW w:type="dxa" w:w="5112"/>
            <w:shd w:val="clear" w:color="auto" w:fill="FFFFFF"/>
          </w:tcPr>
          <w:p>
            <w:r/>
            <w:r>
              <w:rPr>
                <w:rFonts w:ascii="Calibri" w:hAnsi="Calibri"/>
                <w:b w:val="0"/>
                <w:sz w:val="19"/>
              </w:rPr>
              <w:t>Logs runs and holds a model registry locally with no paid account.</w:t>
            </w:r>
          </w:p>
        </w:tc>
      </w:tr>
      <w:tr>
        <w:tc>
          <w:tcPr>
            <w:tcW w:type="dxa" w:w="2232"/>
            <w:shd w:val="clear" w:color="auto" w:fill="F4F7FA"/>
          </w:tcPr>
          <w:p>
            <w:r/>
            <w:r>
              <w:rPr>
                <w:rFonts w:ascii="Calibri" w:hAnsi="Calibri"/>
                <w:b w:val="0"/>
                <w:sz w:val="19"/>
              </w:rPr>
              <w:t>CI and testing</w:t>
            </w:r>
          </w:p>
        </w:tc>
        <w:tc>
          <w:tcPr>
            <w:tcW w:type="dxa" w:w="2448"/>
            <w:shd w:val="clear" w:color="auto" w:fill="F4F7FA"/>
          </w:tcPr>
          <w:p>
            <w:r/>
            <w:r>
              <w:rPr>
                <w:rFonts w:ascii="Calibri" w:hAnsi="Calibri"/>
                <w:b w:val="0"/>
                <w:sz w:val="19"/>
              </w:rPr>
              <w:t>GitHub Actions, pytest</w:t>
            </w:r>
          </w:p>
        </w:tc>
        <w:tc>
          <w:tcPr>
            <w:tcW w:type="dxa" w:w="5112"/>
            <w:shd w:val="clear" w:color="auto" w:fill="F4F7FA"/>
          </w:tcPr>
          <w:p>
            <w:r/>
            <w:r>
              <w:rPr>
                <w:rFonts w:ascii="Calibri" w:hAnsi="Calibri"/>
                <w:b w:val="0"/>
                <w:sz w:val="19"/>
              </w:rPr>
              <w:t>Runs the gate on every pull request.</w:t>
            </w:r>
          </w:p>
        </w:tc>
      </w:tr>
    </w:tbl>
    <w:p>
      <w:pPr>
        <w:spacing w:after="40"/>
      </w:pPr>
    </w:p>
    <w:p>
      <w:pPr>
        <w:spacing w:after="120" w:before="80"/>
      </w:pPr>
      <w:r>
        <w:rPr>
          <w:rFonts w:ascii="Calibri" w:hAnsi="Calibri"/>
          <w:b w:val="0"/>
          <w:i w:val="0"/>
          <w:sz w:val="21"/>
        </w:rPr>
        <w:t>All tools are free and open source. No paid cloud account is used and no secrets are stored in the repository.</w:t>
      </w:r>
    </w:p>
    <w:p>
      <w:pPr>
        <w:spacing w:before="280" w:after="120"/>
        <w:pBdr>
          <w:bottom w:val="single" w:sz="6" w:space="2" w:color="2E8B9A"/>
        </w:pBdr>
      </w:pPr>
      <w:r>
        <w:rPr>
          <w:rFonts w:ascii="Calibri" w:hAnsi="Calibri"/>
          <w:b/>
          <w:color w:val="1F3A5F"/>
          <w:sz w:val="30"/>
        </w:rPr>
        <w:t>03  Repository and Data Versioning (Task 2)</w:t>
      </w:r>
    </w:p>
    <w:p>
      <w:pPr>
        <w:spacing w:after="120" w:before="0"/>
      </w:pPr>
      <w:r>
        <w:rPr>
          <w:rFonts w:ascii="Calibri" w:hAnsi="Calibri"/>
          <w:b w:val="0"/>
          <w:i w:val="0"/>
          <w:sz w:val="21"/>
        </w:rPr>
        <w:t>Datasets are tracked with DVC. The root .gitignore keeps the CSV files out of git, so only the small .dvc pointer files are committed. The DVC remote is a folder named dvcstore that lives inside the repository and holds the data as content-addressed blobs, so a fresh clone and the CI runner both restore the data with dvc pull and need no cloud account or secret. Dataset v2 entered later as a tracked DVC change, which is visible as its own commit in the history.</w:t>
      </w:r>
    </w:p>
    <w:p>
      <w:pPr>
        <w:spacing w:before="180" w:after="60"/>
      </w:pPr>
      <w:r>
        <w:rPr>
          <w:rFonts w:ascii="Calibri" w:hAnsi="Calibri"/>
          <w:b/>
          <w:color w:val="2E8B9A"/>
          <w:sz w:val="24"/>
        </w:rPr>
        <w:t>Restoring code and data together</w:t>
      </w:r>
    </w:p>
    <w:p>
      <w:pPr>
        <w:spacing w:after="120" w:before="0"/>
      </w:pPr>
      <w:r>
        <w:rPr>
          <w:rFonts w:ascii="Calibri" w:hAnsi="Calibri"/>
          <w:b w:val="0"/>
          <w:i w:val="0"/>
          <w:sz w:val="21"/>
        </w:rPr>
        <w:t>Running git checkout &lt;old-commit&gt; restores the code and the .dvc pointers, then dvc checkout restores the exact CSV that commit used. This proves an earlier result can be rebuilt with the same data.</w:t>
      </w:r>
    </w:p>
    <w:tbl>
      <w:tblPr>
        <w:tblW w:type="auto" w:w="0"/>
        <w:jc w:val="center"/>
        <w:tblLook w:firstColumn="1" w:firstRow="1" w:lastColumn="0" w:lastRow="0" w:noHBand="0" w:noVBand="1" w:val="04A0"/>
      </w:tblPr>
      <w:tblGrid>
        <w:gridCol w:w="9936"/>
      </w:tblGrid>
      <w:tr>
        <w:tc>
          <w:tcPr>
            <w:tcW w:type="dxa" w:w="9792"/>
            <w:shd w:val="clear" w:color="auto" w:fill="EEF2F6"/>
            <w:tcBorders>
              <w:top w:val="dashed" w:sz="6" w:space="0" w:color="2E8B9A"/>
              <w:left w:val="dashed" w:sz="6" w:space="0" w:color="2E8B9A"/>
              <w:bottom w:val="dashed" w:sz="6" w:space="0" w:color="2E8B9A"/>
              <w:right w:val="dashed" w:sz="6" w:space="0" w:color="2E8B9A"/>
            </w:tcBorders>
          </w:tcPr>
          <w:p>
            <w:pPr>
              <w:spacing w:before="320"/>
              <w:jc w:val="center"/>
            </w:pPr>
            <w:r/>
            <w:r>
              <w:rPr>
                <w:rFonts w:ascii="Calibri" w:hAnsi="Calibri"/>
                <w:b/>
                <w:color w:val="2E8B9A"/>
                <w:sz w:val="22"/>
              </w:rPr>
              <w:t>[ Insert screenshot here ]</w:t>
            </w:r>
          </w:p>
          <w:p>
            <w:pPr>
              <w:spacing w:after="320"/>
              <w:jc w:val="center"/>
            </w:pPr>
            <w:r>
              <w:rPr>
                <w:rFonts w:ascii="Calibri" w:hAnsi="Calibri"/>
                <w:i/>
                <w:color w:val="555555"/>
                <w:sz w:val="17"/>
              </w:rPr>
              <w:t>How to capture: In the repo folder run git log --oneline, then dvc status and dvc remote list. Screenshot the terminal showing the small commits and the two tracked datasets.</w:t>
            </w:r>
          </w:p>
        </w:tc>
      </w:tr>
    </w:tbl>
    <w:p>
      <w:pPr>
        <w:spacing w:before="60" w:after="200"/>
      </w:pPr>
      <w:r>
        <w:rPr>
          <w:rFonts w:ascii="Calibri" w:hAnsi="Calibri"/>
          <w:i/>
          <w:color w:val="555555"/>
          <w:sz w:val="18"/>
        </w:rPr>
        <w:t>Figure 1. Commit history and the DVC-tracked datasets.</w:t>
      </w:r>
    </w:p>
    <w:p>
      <w:pPr>
        <w:spacing w:before="280" w:after="120"/>
        <w:pBdr>
          <w:bottom w:val="single" w:sz="6" w:space="2" w:color="2E8B9A"/>
        </w:pBdr>
      </w:pPr>
      <w:r>
        <w:rPr>
          <w:rFonts w:ascii="Calibri" w:hAnsi="Calibri"/>
          <w:b/>
          <w:color w:val="1F3A5F"/>
          <w:sz w:val="30"/>
        </w:rPr>
        <w:t>04  Configuration Management (Task 3)</w:t>
      </w:r>
    </w:p>
    <w:p>
      <w:pPr>
        <w:spacing w:after="120" w:before="0"/>
      </w:pPr>
      <w:r>
        <w:rPr>
          <w:rFonts w:ascii="Calibri" w:hAnsi="Calibri"/>
          <w:b w:val="0"/>
          <w:i w:val="0"/>
          <w:sz w:val="21"/>
        </w:rPr>
        <w:t>No values are hard coded in the modelling code. File paths, the utilisation risk cut-off, the hyperparameter search space, the random seed, the MLflow settings and the quality-gate threshold are all set in YAML. Three environments are provided: dev for fast local work, ci for the gate, and full for the wide sweep. Configs are validated by Pydantic on load, so a broken config fails at once with a clear message and unknown keys are rejected. The exact config is stored as an artefact with every run.</w:t>
      </w:r>
    </w:p>
    <w:tbl>
      <w:tblPr>
        <w:tblW w:type="auto" w:w="0"/>
        <w:jc w:val="center"/>
        <w:tblLook w:firstColumn="1" w:firstRow="1" w:lastColumn="0" w:lastRow="0" w:noHBand="0" w:noVBand="1" w:val="04A0"/>
      </w:tblPr>
      <w:tblGrid>
        <w:gridCol w:w="9936"/>
      </w:tblGrid>
      <w:tr>
        <w:tc>
          <w:tcPr>
            <w:tcW w:type="dxa" w:w="9792"/>
            <w:shd w:val="clear" w:color="auto" w:fill="EEF2F6"/>
            <w:tcBorders>
              <w:top w:val="dashed" w:sz="6" w:space="0" w:color="2E8B9A"/>
              <w:left w:val="dashed" w:sz="6" w:space="0" w:color="2E8B9A"/>
              <w:bottom w:val="dashed" w:sz="6" w:space="0" w:color="2E8B9A"/>
              <w:right w:val="dashed" w:sz="6" w:space="0" w:color="2E8B9A"/>
            </w:tcBorders>
          </w:tcPr>
          <w:p>
            <w:pPr>
              <w:spacing w:before="320"/>
              <w:jc w:val="center"/>
            </w:pPr>
            <w:r/>
            <w:r>
              <w:rPr>
                <w:rFonts w:ascii="Calibri" w:hAnsi="Calibri"/>
                <w:b/>
                <w:color w:val="2E8B9A"/>
                <w:sz w:val="22"/>
              </w:rPr>
              <w:t>[ Insert screenshot here ]</w:t>
            </w:r>
          </w:p>
          <w:p>
            <w:pPr>
              <w:spacing w:after="320"/>
              <w:jc w:val="center"/>
            </w:pPr>
            <w:r>
              <w:rPr>
                <w:rFonts w:ascii="Calibri" w:hAnsi="Calibri"/>
                <w:i/>
                <w:color w:val="555555"/>
                <w:sz w:val="17"/>
              </w:rPr>
              <w:t>How to capture: Edit a copy of configs/dev.yaml to set test_size: 5.0, then run the loader. Screenshot the validation error. The repo already tests this in tests/test_config.py.</w:t>
            </w:r>
          </w:p>
        </w:tc>
      </w:tr>
    </w:tbl>
    <w:p>
      <w:pPr>
        <w:spacing w:before="60" w:after="200"/>
      </w:pPr>
      <w:r>
        <w:rPr>
          <w:rFonts w:ascii="Calibri" w:hAnsi="Calibri"/>
          <w:i/>
          <w:color w:val="555555"/>
          <w:sz w:val="18"/>
        </w:rPr>
        <w:t>Figure 2. A deliberately broken config fails immediately with a clear message.</w:t>
      </w:r>
    </w:p>
    <w:p>
      <w:pPr>
        <w:spacing w:before="280" w:after="120"/>
        <w:pBdr>
          <w:bottom w:val="single" w:sz="6" w:space="2" w:color="2E8B9A"/>
        </w:pBdr>
      </w:pPr>
      <w:r>
        <w:rPr>
          <w:rFonts w:ascii="Calibri" w:hAnsi="Calibri"/>
          <w:b/>
          <w:color w:val="1F3A5F"/>
          <w:sz w:val="30"/>
        </w:rPr>
        <w:t>05  Cleaning and Feature Engineering (Task 4)</w:t>
      </w:r>
    </w:p>
    <w:p>
      <w:pPr>
        <w:spacing w:after="120" w:before="0"/>
      </w:pPr>
      <w:r>
        <w:rPr>
          <w:rFonts w:ascii="Calibri" w:hAnsi="Calibri"/>
          <w:b w:val="0"/>
          <w:i w:val="0"/>
          <w:sz w:val="21"/>
        </w:rPr>
        <w:t>All transformations live in one fit and transform component. Whatever it needs for new data (the imputation medians and the output columns) is learned on the training split and reapplied unchanged, so training and later inference use identical logic and there is no train and serve skew. Missing values in Credit_Limit, Current_Balance and Payment_Delay_Days are filled with the training median, which is robust to the skew in these money columns and cannot be influenced by the test set. Customer_ID is dropped and the target is never read during feature building, so there is no leakage.</w:t>
      </w:r>
    </w:p>
    <w:p>
      <w:pPr>
        <w:spacing w:before="180" w:after="60"/>
      </w:pPr>
      <w:r>
        <w:rPr>
          <w:rFonts w:ascii="Calibri" w:hAnsi="Calibri"/>
          <w:b/>
          <w:color w:val="2E8B9A"/>
          <w:sz w:val="24"/>
        </w:rPr>
        <w:t>Engineered features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304"/>
            <w:shd w:val="clear" w:color="auto" w:fill="1F3A5F"/>
          </w:tcPr>
          <w:p>
            <w:r/>
            <w:r>
              <w:rPr>
                <w:rFonts w:ascii="Calibri" w:hAnsi="Calibri"/>
                <w:b/>
                <w:color w:val="FFFFFF"/>
                <w:sz w:val="19"/>
              </w:rPr>
              <w:t>Feature</w:t>
            </w:r>
          </w:p>
        </w:tc>
        <w:tc>
          <w:tcPr>
            <w:tcW w:type="dxa" w:w="1296"/>
            <w:shd w:val="clear" w:color="auto" w:fill="1F3A5F"/>
          </w:tcPr>
          <w:p>
            <w:r/>
            <w:r>
              <w:rPr>
                <w:rFonts w:ascii="Calibri" w:hAnsi="Calibri"/>
                <w:b/>
                <w:color w:val="FFFFFF"/>
                <w:sz w:val="19"/>
              </w:rPr>
              <w:t>Type</w:t>
            </w:r>
          </w:p>
        </w:tc>
        <w:tc>
          <w:tcPr>
            <w:tcW w:type="dxa" w:w="3024"/>
            <w:shd w:val="clear" w:color="auto" w:fill="1F3A5F"/>
          </w:tcPr>
          <w:p>
            <w:r/>
            <w:r>
              <w:rPr>
                <w:rFonts w:ascii="Calibri" w:hAnsi="Calibri"/>
                <w:b/>
                <w:color w:val="FFFFFF"/>
                <w:sz w:val="19"/>
              </w:rPr>
              <w:t>Formula</w:t>
            </w:r>
          </w:p>
        </w:tc>
        <w:tc>
          <w:tcPr>
            <w:tcW w:type="dxa" w:w="3168"/>
            <w:shd w:val="clear" w:color="auto" w:fill="1F3A5F"/>
          </w:tcPr>
          <w:p>
            <w:r/>
            <w:r>
              <w:rPr>
                <w:rFonts w:ascii="Calibri" w:hAnsi="Calibri"/>
                <w:b/>
                <w:color w:val="FFFFFF"/>
                <w:sz w:val="19"/>
              </w:rPr>
              <w:t>Reason</w:t>
            </w:r>
          </w:p>
        </w:tc>
      </w:tr>
      <w:tr>
        <w:tc>
          <w:tcPr>
            <w:tcW w:type="dxa" w:w="2304"/>
            <w:shd w:val="clear" w:color="auto" w:fill="FFFFFF"/>
          </w:tcPr>
          <w:p>
            <w:r/>
            <w:r>
              <w:rPr>
                <w:rFonts w:ascii="Calibri" w:hAnsi="Calibri"/>
                <w:b w:val="0"/>
                <w:sz w:val="19"/>
              </w:rPr>
              <w:t>credit_utilisation</w:t>
            </w:r>
          </w:p>
        </w:tc>
        <w:tc>
          <w:tcPr>
            <w:tcW w:type="dxa" w:w="1296"/>
            <w:shd w:val="clear" w:color="auto" w:fill="FFFFFF"/>
          </w:tcPr>
          <w:p>
            <w:r/>
            <w:r>
              <w:rPr>
                <w:rFonts w:ascii="Calibri" w:hAnsi="Calibri"/>
                <w:b w:val="0"/>
                <w:sz w:val="19"/>
              </w:rPr>
              <w:t>ratio</w:t>
            </w:r>
          </w:p>
        </w:tc>
        <w:tc>
          <w:tcPr>
            <w:tcW w:type="dxa" w:w="3024"/>
            <w:shd w:val="clear" w:color="auto" w:fill="FFFFFF"/>
          </w:tcPr>
          <w:p>
            <w:r/>
            <w:r>
              <w:rPr>
                <w:rFonts w:ascii="Calibri" w:hAnsi="Calibri"/>
                <w:b w:val="0"/>
                <w:sz w:val="19"/>
              </w:rPr>
              <w:t>Current_Balance / Credit_Limit</w:t>
            </w:r>
          </w:p>
        </w:tc>
        <w:tc>
          <w:tcPr>
            <w:tcW w:type="dxa" w:w="3168"/>
            <w:shd w:val="clear" w:color="auto" w:fill="FFFFFF"/>
          </w:tcPr>
          <w:p>
            <w:r/>
            <w:r>
              <w:rPr>
                <w:rFonts w:ascii="Calibri" w:hAnsi="Calibri"/>
                <w:b w:val="0"/>
                <w:sz w:val="19"/>
              </w:rPr>
              <w:t>Utilisation is the strongest consumer-credit risk signal. Zero limit is guarded to 0.</w:t>
            </w:r>
          </w:p>
        </w:tc>
      </w:tr>
      <w:tr>
        <w:tc>
          <w:tcPr>
            <w:tcW w:type="dxa" w:w="2304"/>
            <w:shd w:val="clear" w:color="auto" w:fill="F4F7FA"/>
          </w:tcPr>
          <w:p>
            <w:r/>
            <w:r>
              <w:rPr>
                <w:rFonts w:ascii="Calibri" w:hAnsi="Calibri"/>
                <w:b w:val="0"/>
                <w:sz w:val="19"/>
              </w:rPr>
              <w:t>high_utilisation_flag</w:t>
            </w:r>
          </w:p>
        </w:tc>
        <w:tc>
          <w:tcPr>
            <w:tcW w:type="dxa" w:w="1296"/>
            <w:shd w:val="clear" w:color="auto" w:fill="F4F7FA"/>
          </w:tcPr>
          <w:p>
            <w:r/>
            <w:r>
              <w:rPr>
                <w:rFonts w:ascii="Calibri" w:hAnsi="Calibri"/>
                <w:b w:val="0"/>
                <w:sz w:val="19"/>
              </w:rPr>
              <w:t>binary</w:t>
            </w:r>
          </w:p>
        </w:tc>
        <w:tc>
          <w:tcPr>
            <w:tcW w:type="dxa" w:w="3024"/>
            <w:shd w:val="clear" w:color="auto" w:fill="F4F7FA"/>
          </w:tcPr>
          <w:p>
            <w:r/>
            <w:r>
              <w:rPr>
                <w:rFonts w:ascii="Calibri" w:hAnsi="Calibri"/>
                <w:b w:val="0"/>
                <w:sz w:val="19"/>
              </w:rPr>
              <w:t>utilisation &gt;= cut-off (0.5)</w:t>
            </w:r>
          </w:p>
        </w:tc>
        <w:tc>
          <w:tcPr>
            <w:tcW w:type="dxa" w:w="3168"/>
            <w:shd w:val="clear" w:color="auto" w:fill="F4F7FA"/>
          </w:tcPr>
          <w:p>
            <w:r/>
            <w:r>
              <w:rPr>
                <w:rFonts w:ascii="Calibri" w:hAnsi="Calibri"/>
                <w:b w:val="0"/>
                <w:sz w:val="19"/>
              </w:rPr>
              <w:t>Marks a danger zone above a cut-off the risk team can tune in config.</w:t>
            </w:r>
          </w:p>
        </w:tc>
      </w:tr>
      <w:tr>
        <w:tc>
          <w:tcPr>
            <w:tcW w:type="dxa" w:w="2304"/>
            <w:shd w:val="clear" w:color="auto" w:fill="FFFFFF"/>
          </w:tcPr>
          <w:p>
            <w:r/>
            <w:r>
              <w:rPr>
                <w:rFonts w:ascii="Calibri" w:hAnsi="Calibri"/>
                <w:b w:val="0"/>
                <w:sz w:val="19"/>
              </w:rPr>
              <w:t>late_payer_flag</w:t>
            </w:r>
          </w:p>
        </w:tc>
        <w:tc>
          <w:tcPr>
            <w:tcW w:type="dxa" w:w="1296"/>
            <w:shd w:val="clear" w:color="auto" w:fill="FFFFFF"/>
          </w:tcPr>
          <w:p>
            <w:r/>
            <w:r>
              <w:rPr>
                <w:rFonts w:ascii="Calibri" w:hAnsi="Calibri"/>
                <w:b w:val="0"/>
                <w:sz w:val="19"/>
              </w:rPr>
              <w:t>binary</w:t>
            </w:r>
          </w:p>
        </w:tc>
        <w:tc>
          <w:tcPr>
            <w:tcW w:type="dxa" w:w="3024"/>
            <w:shd w:val="clear" w:color="auto" w:fill="FFFFFF"/>
          </w:tcPr>
          <w:p>
            <w:r/>
            <w:r>
              <w:rPr>
                <w:rFonts w:ascii="Calibri" w:hAnsi="Calibri"/>
                <w:b w:val="0"/>
                <w:sz w:val="19"/>
              </w:rPr>
              <w:t>Payment_Delay_Days &gt;= 5</w:t>
            </w:r>
          </w:p>
        </w:tc>
        <w:tc>
          <w:tcPr>
            <w:tcW w:type="dxa" w:w="3168"/>
            <w:shd w:val="clear" w:color="auto" w:fill="FFFFFF"/>
          </w:tcPr>
          <w:p>
            <w:r/>
            <w:r>
              <w:rPr>
                <w:rFonts w:ascii="Calibri" w:hAnsi="Calibri"/>
                <w:b w:val="0"/>
                <w:sz w:val="19"/>
              </w:rPr>
              <w:t>Consistent lateness is a known default precursor.</w:t>
            </w:r>
          </w:p>
        </w:tc>
      </w:tr>
      <w:tr>
        <w:tc>
          <w:tcPr>
            <w:tcW w:type="dxa" w:w="2304"/>
            <w:shd w:val="clear" w:color="auto" w:fill="F4F7FA"/>
          </w:tcPr>
          <w:p>
            <w:r/>
            <w:r>
              <w:rPr>
                <w:rFonts w:ascii="Calibri" w:hAnsi="Calibri"/>
                <w:b w:val="0"/>
                <w:sz w:val="19"/>
              </w:rPr>
              <w:t>age_band</w:t>
            </w:r>
          </w:p>
        </w:tc>
        <w:tc>
          <w:tcPr>
            <w:tcW w:type="dxa" w:w="1296"/>
            <w:shd w:val="clear" w:color="auto" w:fill="F4F7FA"/>
          </w:tcPr>
          <w:p>
            <w:r/>
            <w:r>
              <w:rPr>
                <w:rFonts w:ascii="Calibri" w:hAnsi="Calibri"/>
                <w:b w:val="0"/>
                <w:sz w:val="19"/>
              </w:rPr>
              <w:t>binned</w:t>
            </w:r>
          </w:p>
        </w:tc>
        <w:tc>
          <w:tcPr>
            <w:tcW w:type="dxa" w:w="3024"/>
            <w:shd w:val="clear" w:color="auto" w:fill="F4F7FA"/>
          </w:tcPr>
          <w:p>
            <w:r/>
            <w:r>
              <w:rPr>
                <w:rFonts w:ascii="Calibri" w:hAnsi="Calibri"/>
                <w:b w:val="0"/>
                <w:sz w:val="19"/>
              </w:rPr>
              <w:t>Age cut into 4 bands, one-hot</w:t>
            </w:r>
          </w:p>
        </w:tc>
        <w:tc>
          <w:tcPr>
            <w:tcW w:type="dxa" w:w="3168"/>
            <w:shd w:val="clear" w:color="auto" w:fill="F4F7FA"/>
          </w:tcPr>
          <w:p>
            <w:r/>
            <w:r>
              <w:rPr>
                <w:rFonts w:ascii="Calibri" w:hAnsi="Calibri"/>
                <w:b w:val="0"/>
                <w:sz w:val="19"/>
              </w:rPr>
              <w:t>Risk is not linear in age, so bands fit each life stage.</w:t>
            </w:r>
          </w:p>
        </w:tc>
      </w:tr>
      <w:tr>
        <w:tc>
          <w:tcPr>
            <w:tcW w:type="dxa" w:w="2304"/>
            <w:shd w:val="clear" w:color="auto" w:fill="FFFFFF"/>
          </w:tcPr>
          <w:p>
            <w:r/>
            <w:r>
              <w:rPr>
                <w:rFonts w:ascii="Calibri" w:hAnsi="Calibri"/>
                <w:b w:val="0"/>
                <w:sz w:val="19"/>
              </w:rPr>
              <w:t>avg_transaction_value</w:t>
            </w:r>
          </w:p>
        </w:tc>
        <w:tc>
          <w:tcPr>
            <w:tcW w:type="dxa" w:w="1296"/>
            <w:shd w:val="clear" w:color="auto" w:fill="FFFFFF"/>
          </w:tcPr>
          <w:p>
            <w:r/>
            <w:r>
              <w:rPr>
                <w:rFonts w:ascii="Calibri" w:hAnsi="Calibri"/>
                <w:b w:val="0"/>
                <w:sz w:val="19"/>
              </w:rPr>
              <w:t>own design</w:t>
            </w:r>
          </w:p>
        </w:tc>
        <w:tc>
          <w:tcPr>
            <w:tcW w:type="dxa" w:w="3024"/>
            <w:shd w:val="clear" w:color="auto" w:fill="FFFFFF"/>
          </w:tcPr>
          <w:p>
            <w:r/>
            <w:r>
              <w:rPr>
                <w:rFonts w:ascii="Calibri" w:hAnsi="Calibri"/>
                <w:b w:val="0"/>
                <w:sz w:val="19"/>
              </w:rPr>
              <w:t>Monthly_Spend / Num_Transactions</w:t>
            </w:r>
          </w:p>
        </w:tc>
        <w:tc>
          <w:tcPr>
            <w:tcW w:type="dxa" w:w="3168"/>
            <w:shd w:val="clear" w:color="auto" w:fill="FFFFFF"/>
          </w:tcPr>
          <w:p>
            <w:r/>
            <w:r>
              <w:rPr>
                <w:rFonts w:ascii="Calibri" w:hAnsi="Calibri"/>
                <w:b w:val="0"/>
                <w:sz w:val="19"/>
              </w:rPr>
              <w:t>Many tiny transactions can signal cash-flow stress. Zero transactions guarded to 0.</w:t>
            </w:r>
          </w:p>
        </w:tc>
      </w:tr>
    </w:tbl>
    <w:p>
      <w:pPr>
        <w:spacing w:after="40"/>
      </w:pPr>
    </w:p>
    <w:p>
      <w:pPr>
        <w:spacing w:after="120" w:before="80"/>
      </w:pPr>
      <w:r>
        <w:rPr>
          <w:rFonts w:ascii="Calibri" w:hAnsi="Calibri"/>
          <w:b w:val="0"/>
          <w:i w:val="0"/>
          <w:sz w:val="21"/>
        </w:rPr>
        <w:t>Income_Bracket is ordinal, so it is encoded as Low 0, Medium 1, High 2 rather than one-hot. Unit tests cover the feature logic including the zero credit limit and zero transaction edge cases.</w:t>
      </w:r>
    </w:p>
    <w:p>
      <w:pPr>
        <w:spacing w:before="280" w:after="120"/>
        <w:pBdr>
          <w:bottom w:val="single" w:sz="6" w:space="2" w:color="2E8B9A"/>
        </w:pBdr>
      </w:pPr>
      <w:r>
        <w:rPr>
          <w:rFonts w:ascii="Calibri" w:hAnsi="Calibri"/>
          <w:b/>
          <w:color w:val="1F3A5F"/>
          <w:sz w:val="30"/>
        </w:rPr>
        <w:t>06  Training, Tuning and Tracking (Task 5)</w:t>
      </w:r>
    </w:p>
    <w:p>
      <w:pPr>
        <w:spacing w:after="120" w:before="0"/>
      </w:pPr>
      <w:r>
        <w:rPr>
          <w:rFonts w:ascii="Calibri" w:hAnsi="Calibri"/>
          <w:b w:val="0"/>
          <w:i w:val="0"/>
          <w:sz w:val="21"/>
        </w:rPr>
        <w:t>We establish a baseline and tune two model families, Logistic Regression and Random Forest, over several hyperparameters and three random seeds. This produces 21 tracked runs, above the ten required. Each run logs its parameters, metrics, dataset version, full configuration and model artefact to MLflow. The final model is selected by PR-AUC and registered as credit_risk_gate_model, traceable to its git commit and data version through run tags.</w:t>
      </w:r>
    </w:p>
    <w:p>
      <w:pPr>
        <w:spacing w:before="180" w:after="60"/>
      </w:pPr>
      <w:r>
        <w:rPr>
          <w:rFonts w:ascii="Calibri" w:hAnsi="Calibri"/>
          <w:b/>
          <w:color w:val="2E8B9A"/>
          <w:sz w:val="24"/>
        </w:rPr>
        <w:t>Why plain accuracy is not enough</w:t>
      </w:r>
    </w:p>
    <w:p>
      <w:pPr>
        <w:spacing w:after="120" w:before="0"/>
      </w:pPr>
      <w:r>
        <w:rPr>
          <w:rFonts w:ascii="Calibri" w:hAnsi="Calibri"/>
          <w:b w:val="0"/>
          <w:i w:val="0"/>
          <w:sz w:val="21"/>
        </w:rPr>
        <w:t>With about 18.9 percent high-risk customers, a model that predicts not high risk for everyone already scores about 81 percent accuracy while catching zero defaulters. Across our 21 runs accuracy stays between 0.80 and 0.92 for every model, so it cannot tell a strong model from a weak one. The costly error here is a false negative, a high-risk customer approved as safe, and accuracy weights that the same as a harmless false positive. PR-AUC measures how well the model ranks the high-risk minority and does not depend on a fixed 0.5 threshold, so it is the gate metric.</w:t>
      </w:r>
    </w:p>
    <w:p>
      <w:pPr>
        <w:spacing w:before="180" w:after="60"/>
      </w:pPr>
      <w:r>
        <w:rPr>
          <w:rFonts w:ascii="Calibri" w:hAnsi="Calibri"/>
          <w:b/>
          <w:color w:val="2E8B9A"/>
          <w:sz w:val="24"/>
        </w:rPr>
        <w:t>Top tracked runs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2808"/>
            <w:shd w:val="clear" w:color="auto" w:fill="1F3A5F"/>
          </w:tcPr>
          <w:p>
            <w:r/>
            <w:r>
              <w:rPr>
                <w:rFonts w:ascii="Calibri" w:hAnsi="Calibri"/>
                <w:b/>
                <w:color w:val="FFFFFF"/>
                <w:sz w:val="19"/>
              </w:rPr>
              <w:t>Run</w:t>
            </w:r>
          </w:p>
        </w:tc>
        <w:tc>
          <w:tcPr>
            <w:tcW w:type="dxa" w:w="2088"/>
            <w:shd w:val="clear" w:color="auto" w:fill="1F3A5F"/>
          </w:tcPr>
          <w:p>
            <w:r/>
            <w:r>
              <w:rPr>
                <w:rFonts w:ascii="Calibri" w:hAnsi="Calibri"/>
                <w:b/>
                <w:color w:val="FFFFFF"/>
                <w:sz w:val="19"/>
              </w:rPr>
              <w:t>Family</w:t>
            </w:r>
          </w:p>
        </w:tc>
        <w:tc>
          <w:tcPr>
            <w:tcW w:type="dxa" w:w="936"/>
            <w:shd w:val="clear" w:color="auto" w:fill="1F3A5F"/>
          </w:tcPr>
          <w:p>
            <w:r/>
            <w:r>
              <w:rPr>
                <w:rFonts w:ascii="Calibri" w:hAnsi="Calibri"/>
                <w:b/>
                <w:color w:val="FFFFFF"/>
                <w:sz w:val="19"/>
              </w:rPr>
              <w:t>Seed</w:t>
            </w:r>
          </w:p>
        </w:tc>
        <w:tc>
          <w:tcPr>
            <w:tcW w:type="dxa" w:w="1368"/>
            <w:shd w:val="clear" w:color="auto" w:fill="1F3A5F"/>
          </w:tcPr>
          <w:p>
            <w:r/>
            <w:r>
              <w:rPr>
                <w:rFonts w:ascii="Calibri" w:hAnsi="Calibri"/>
                <w:b/>
                <w:color w:val="FFFFFF"/>
                <w:sz w:val="19"/>
              </w:rPr>
              <w:t>PR-AUC</w:t>
            </w:r>
          </w:p>
        </w:tc>
        <w:tc>
          <w:tcPr>
            <w:tcW w:type="dxa" w:w="1368"/>
            <w:shd w:val="clear" w:color="auto" w:fill="1F3A5F"/>
          </w:tcPr>
          <w:p>
            <w:r/>
            <w:r>
              <w:rPr>
                <w:rFonts w:ascii="Calibri" w:hAnsi="Calibri"/>
                <w:b/>
                <w:color w:val="FFFFFF"/>
                <w:sz w:val="19"/>
              </w:rPr>
              <w:t>ROC-AUC</w:t>
            </w:r>
          </w:p>
        </w:tc>
        <w:tc>
          <w:tcPr>
            <w:tcW w:type="dxa" w:w="1224"/>
            <w:shd w:val="clear" w:color="auto" w:fill="1F3A5F"/>
          </w:tcPr>
          <w:p>
            <w:r/>
            <w:r>
              <w:rPr>
                <w:rFonts w:ascii="Calibri" w:hAnsi="Calibri"/>
                <w:b/>
                <w:color w:val="FFFFFF"/>
                <w:sz w:val="19"/>
              </w:rPr>
              <w:t>Accuracy</w:t>
            </w:r>
          </w:p>
        </w:tc>
      </w:tr>
      <w:tr>
        <w:tc>
          <w:tcPr>
            <w:tcW w:type="dxa" w:w="2808"/>
            <w:shd w:val="clear" w:color="auto" w:fill="FFFFFF"/>
          </w:tcPr>
          <w:p>
            <w:r/>
            <w:r>
              <w:rPr>
                <w:rFonts w:ascii="Calibri" w:hAnsi="Calibri"/>
                <w:b w:val="0"/>
                <w:sz w:val="19"/>
              </w:rPr>
              <w:t>rf_n100_depth12</w:t>
            </w:r>
          </w:p>
        </w:tc>
        <w:tc>
          <w:tcPr>
            <w:tcW w:type="dxa" w:w="2088"/>
            <w:shd w:val="clear" w:color="auto" w:fill="FFFFFF"/>
          </w:tcPr>
          <w:p>
            <w:r/>
            <w:r>
              <w:rPr>
                <w:rFonts w:ascii="Calibri" w:hAnsi="Calibri"/>
                <w:b w:val="0"/>
                <w:sz w:val="19"/>
              </w:rPr>
              <w:t>Random Forest</w:t>
            </w:r>
          </w:p>
        </w:tc>
        <w:tc>
          <w:tcPr>
            <w:tcW w:type="dxa" w:w="936"/>
            <w:shd w:val="clear" w:color="auto" w:fill="FFFFFF"/>
          </w:tcPr>
          <w:p>
            <w:r/>
            <w:r>
              <w:rPr>
                <w:rFonts w:ascii="Calibri" w:hAnsi="Calibri"/>
                <w:b w:val="0"/>
                <w:sz w:val="19"/>
              </w:rPr>
              <w:t>123</w:t>
            </w:r>
          </w:p>
        </w:tc>
        <w:tc>
          <w:tcPr>
            <w:tcW w:type="dxa" w:w="1368"/>
            <w:shd w:val="clear" w:color="auto" w:fill="FFFFFF"/>
          </w:tcPr>
          <w:p>
            <w:r/>
            <w:r>
              <w:rPr>
                <w:rFonts w:ascii="Calibri" w:hAnsi="Calibri"/>
                <w:b w:val="0"/>
                <w:sz w:val="19"/>
              </w:rPr>
              <w:t>0.8688</w:t>
            </w:r>
          </w:p>
        </w:tc>
        <w:tc>
          <w:tcPr>
            <w:tcW w:type="dxa" w:w="1368"/>
            <w:shd w:val="clear" w:color="auto" w:fill="FFFFFF"/>
          </w:tcPr>
          <w:p>
            <w:r/>
            <w:r>
              <w:rPr>
                <w:rFonts w:ascii="Calibri" w:hAnsi="Calibri"/>
                <w:b w:val="0"/>
                <w:sz w:val="19"/>
              </w:rPr>
              <w:t>0.9570</w:t>
            </w:r>
          </w:p>
        </w:tc>
        <w:tc>
          <w:tcPr>
            <w:tcW w:type="dxa" w:w="1224"/>
            <w:shd w:val="clear" w:color="auto" w:fill="FFFFFF"/>
          </w:tcPr>
          <w:p>
            <w:r/>
            <w:r>
              <w:rPr>
                <w:rFonts w:ascii="Calibri" w:hAnsi="Calibri"/>
                <w:b w:val="0"/>
                <w:sz w:val="19"/>
              </w:rPr>
              <w:t>0.910</w:t>
            </w:r>
          </w:p>
        </w:tc>
      </w:tr>
      <w:tr>
        <w:tc>
          <w:tcPr>
            <w:tcW w:type="dxa" w:w="2808"/>
            <w:shd w:val="clear" w:color="auto" w:fill="F4F7FA"/>
          </w:tcPr>
          <w:p>
            <w:r/>
            <w:r>
              <w:rPr>
                <w:rFonts w:ascii="Calibri" w:hAnsi="Calibri"/>
                <w:b w:val="0"/>
                <w:sz w:val="19"/>
              </w:rPr>
              <w:t>logreg_C0.1</w:t>
            </w:r>
          </w:p>
        </w:tc>
        <w:tc>
          <w:tcPr>
            <w:tcW w:type="dxa" w:w="2088"/>
            <w:shd w:val="clear" w:color="auto" w:fill="F4F7FA"/>
          </w:tcPr>
          <w:p>
            <w:r/>
            <w:r>
              <w:rPr>
                <w:rFonts w:ascii="Calibri" w:hAnsi="Calibri"/>
                <w:b w:val="0"/>
                <w:sz w:val="19"/>
              </w:rPr>
              <w:t>Logistic Reg.</w:t>
            </w:r>
          </w:p>
        </w:tc>
        <w:tc>
          <w:tcPr>
            <w:tcW w:type="dxa" w:w="936"/>
            <w:shd w:val="clear" w:color="auto" w:fill="F4F7FA"/>
          </w:tcPr>
          <w:p>
            <w:r/>
            <w:r>
              <w:rPr>
                <w:rFonts w:ascii="Calibri" w:hAnsi="Calibri"/>
                <w:b w:val="0"/>
                <w:sz w:val="19"/>
              </w:rPr>
              <w:t>123</w:t>
            </w:r>
          </w:p>
        </w:tc>
        <w:tc>
          <w:tcPr>
            <w:tcW w:type="dxa" w:w="1368"/>
            <w:shd w:val="clear" w:color="auto" w:fill="F4F7FA"/>
          </w:tcPr>
          <w:p>
            <w:r/>
            <w:r>
              <w:rPr>
                <w:rFonts w:ascii="Calibri" w:hAnsi="Calibri"/>
                <w:b w:val="0"/>
                <w:sz w:val="19"/>
              </w:rPr>
              <w:t>0.8633</w:t>
            </w:r>
          </w:p>
        </w:tc>
        <w:tc>
          <w:tcPr>
            <w:tcW w:type="dxa" w:w="1368"/>
            <w:shd w:val="clear" w:color="auto" w:fill="F4F7FA"/>
          </w:tcPr>
          <w:p>
            <w:r/>
            <w:r>
              <w:rPr>
                <w:rFonts w:ascii="Calibri" w:hAnsi="Calibri"/>
                <w:b w:val="0"/>
                <w:sz w:val="19"/>
              </w:rPr>
              <w:t>0.9599</w:t>
            </w:r>
          </w:p>
        </w:tc>
        <w:tc>
          <w:tcPr>
            <w:tcW w:type="dxa" w:w="1224"/>
            <w:shd w:val="clear" w:color="auto" w:fill="F4F7FA"/>
          </w:tcPr>
          <w:p>
            <w:r/>
            <w:r>
              <w:rPr>
                <w:rFonts w:ascii="Calibri" w:hAnsi="Calibri"/>
                <w:b w:val="0"/>
                <w:sz w:val="19"/>
              </w:rPr>
              <w:t>0.895</w:t>
            </w:r>
          </w:p>
        </w:tc>
      </w:tr>
      <w:tr>
        <w:tc>
          <w:tcPr>
            <w:tcW w:type="dxa" w:w="2808"/>
            <w:shd w:val="clear" w:color="auto" w:fill="FFFFFF"/>
          </w:tcPr>
          <w:p>
            <w:r/>
            <w:r>
              <w:rPr>
                <w:rFonts w:ascii="Calibri" w:hAnsi="Calibri"/>
                <w:b w:val="0"/>
                <w:sz w:val="19"/>
              </w:rPr>
              <w:t>logreg_C1.0</w:t>
            </w:r>
          </w:p>
        </w:tc>
        <w:tc>
          <w:tcPr>
            <w:tcW w:type="dxa" w:w="2088"/>
            <w:shd w:val="clear" w:color="auto" w:fill="FFFFFF"/>
          </w:tcPr>
          <w:p>
            <w:r/>
            <w:r>
              <w:rPr>
                <w:rFonts w:ascii="Calibri" w:hAnsi="Calibri"/>
                <w:b w:val="0"/>
                <w:sz w:val="19"/>
              </w:rPr>
              <w:t>Logistic Reg.</w:t>
            </w:r>
          </w:p>
        </w:tc>
        <w:tc>
          <w:tcPr>
            <w:tcW w:type="dxa" w:w="936"/>
            <w:shd w:val="clear" w:color="auto" w:fill="FFFFFF"/>
          </w:tcPr>
          <w:p>
            <w:r/>
            <w:r>
              <w:rPr>
                <w:rFonts w:ascii="Calibri" w:hAnsi="Calibri"/>
                <w:b w:val="0"/>
                <w:sz w:val="19"/>
              </w:rPr>
              <w:t>42</w:t>
            </w:r>
          </w:p>
        </w:tc>
        <w:tc>
          <w:tcPr>
            <w:tcW w:type="dxa" w:w="1368"/>
            <w:shd w:val="clear" w:color="auto" w:fill="FFFFFF"/>
          </w:tcPr>
          <w:p>
            <w:r/>
            <w:r>
              <w:rPr>
                <w:rFonts w:ascii="Calibri" w:hAnsi="Calibri"/>
                <w:b w:val="0"/>
                <w:sz w:val="19"/>
              </w:rPr>
              <w:t>0.7948</w:t>
            </w:r>
          </w:p>
        </w:tc>
        <w:tc>
          <w:tcPr>
            <w:tcW w:type="dxa" w:w="1368"/>
            <w:shd w:val="clear" w:color="auto" w:fill="FFFFFF"/>
          </w:tcPr>
          <w:p>
            <w:r/>
            <w:r>
              <w:rPr>
                <w:rFonts w:ascii="Calibri" w:hAnsi="Calibri"/>
                <w:b w:val="0"/>
                <w:sz w:val="19"/>
              </w:rPr>
              <w:t>0.9189</w:t>
            </w:r>
          </w:p>
        </w:tc>
        <w:tc>
          <w:tcPr>
            <w:tcW w:type="dxa" w:w="1224"/>
            <w:shd w:val="clear" w:color="auto" w:fill="FFFFFF"/>
          </w:tcPr>
          <w:p>
            <w:r/>
            <w:r>
              <w:rPr>
                <w:rFonts w:ascii="Calibri" w:hAnsi="Calibri"/>
                <w:b w:val="0"/>
                <w:sz w:val="19"/>
              </w:rPr>
              <w:t>0.825</w:t>
            </w:r>
          </w:p>
        </w:tc>
      </w:tr>
      <w:tr>
        <w:tc>
          <w:tcPr>
            <w:tcW w:type="dxa" w:w="2808"/>
            <w:shd w:val="clear" w:color="auto" w:fill="F4F7FA"/>
          </w:tcPr>
          <w:p>
            <w:r/>
            <w:r>
              <w:rPr>
                <w:rFonts w:ascii="Calibri" w:hAnsi="Calibri"/>
                <w:b w:val="0"/>
                <w:sz w:val="19"/>
              </w:rPr>
              <w:t>rf_n100_depth12</w:t>
            </w:r>
          </w:p>
        </w:tc>
        <w:tc>
          <w:tcPr>
            <w:tcW w:type="dxa" w:w="2088"/>
            <w:shd w:val="clear" w:color="auto" w:fill="F4F7FA"/>
          </w:tcPr>
          <w:p>
            <w:r/>
            <w:r>
              <w:rPr>
                <w:rFonts w:ascii="Calibri" w:hAnsi="Calibri"/>
                <w:b w:val="0"/>
                <w:sz w:val="19"/>
              </w:rPr>
              <w:t>Random Forest</w:t>
            </w:r>
          </w:p>
        </w:tc>
        <w:tc>
          <w:tcPr>
            <w:tcW w:type="dxa" w:w="936"/>
            <w:shd w:val="clear" w:color="auto" w:fill="F4F7FA"/>
          </w:tcPr>
          <w:p>
            <w:r/>
            <w:r>
              <w:rPr>
                <w:rFonts w:ascii="Calibri" w:hAnsi="Calibri"/>
                <w:b w:val="0"/>
                <w:sz w:val="19"/>
              </w:rPr>
              <w:t>42</w:t>
            </w:r>
          </w:p>
        </w:tc>
        <w:tc>
          <w:tcPr>
            <w:tcW w:type="dxa" w:w="1368"/>
            <w:shd w:val="clear" w:color="auto" w:fill="F4F7FA"/>
          </w:tcPr>
          <w:p>
            <w:r/>
            <w:r>
              <w:rPr>
                <w:rFonts w:ascii="Calibri" w:hAnsi="Calibri"/>
                <w:b w:val="0"/>
                <w:sz w:val="19"/>
              </w:rPr>
              <w:t>0.6898</w:t>
            </w:r>
          </w:p>
        </w:tc>
        <w:tc>
          <w:tcPr>
            <w:tcW w:type="dxa" w:w="1368"/>
            <w:shd w:val="clear" w:color="auto" w:fill="F4F7FA"/>
          </w:tcPr>
          <w:p>
            <w:r/>
            <w:r>
              <w:rPr>
                <w:rFonts w:ascii="Calibri" w:hAnsi="Calibri"/>
                <w:b w:val="0"/>
                <w:sz w:val="19"/>
              </w:rPr>
              <w:t>0.9232</w:t>
            </w:r>
          </w:p>
        </w:tc>
        <w:tc>
          <w:tcPr>
            <w:tcW w:type="dxa" w:w="1224"/>
            <w:shd w:val="clear" w:color="auto" w:fill="F4F7FA"/>
          </w:tcPr>
          <w:p>
            <w:r/>
            <w:r>
              <w:rPr>
                <w:rFonts w:ascii="Calibri" w:hAnsi="Calibri"/>
                <w:b w:val="0"/>
                <w:sz w:val="19"/>
              </w:rPr>
              <w:t>0.875</w:t>
            </w:r>
          </w:p>
        </w:tc>
      </w:tr>
    </w:tbl>
    <w:p>
      <w:pPr>
        <w:spacing w:after="40"/>
      </w:pPr>
    </w:p>
    <w:p>
      <w:pPr>
        <w:spacing w:after="120" w:before="80"/>
      </w:pPr>
      <w:r>
        <w:rPr>
          <w:rFonts w:ascii="Calibri" w:hAnsi="Calibri"/>
          <w:b w:val="0"/>
          <w:i w:val="0"/>
          <w:sz w:val="21"/>
        </w:rPr>
        <w:t>The full 21-row table is in docs/runs_comparison.md. PR-AUC ranges from 0.690 to 0.869 and is driven mostly by the random seed, which is the single biggest source of variation and the reason the gate uses a tolerance band.</w:t>
      </w:r>
    </w:p>
    <w:tbl>
      <w:tblPr>
        <w:tblW w:type="auto" w:w="0"/>
        <w:jc w:val="center"/>
        <w:tblLook w:firstColumn="1" w:firstRow="1" w:lastColumn="0" w:lastRow="0" w:noHBand="0" w:noVBand="1" w:val="04A0"/>
      </w:tblPr>
      <w:tblGrid>
        <w:gridCol w:w="9936"/>
      </w:tblGrid>
      <w:tr>
        <w:tc>
          <w:tcPr>
            <w:tcW w:type="dxa" w:w="9792"/>
            <w:shd w:val="clear" w:color="auto" w:fill="EEF2F6"/>
            <w:tcBorders>
              <w:top w:val="dashed" w:sz="6" w:space="0" w:color="2E8B9A"/>
              <w:left w:val="dashed" w:sz="6" w:space="0" w:color="2E8B9A"/>
              <w:bottom w:val="dashed" w:sz="6" w:space="0" w:color="2E8B9A"/>
              <w:right w:val="dashed" w:sz="6" w:space="0" w:color="2E8B9A"/>
            </w:tcBorders>
          </w:tcPr>
          <w:p>
            <w:pPr>
              <w:spacing w:before="320"/>
              <w:jc w:val="center"/>
            </w:pPr>
            <w:r/>
            <w:r>
              <w:rPr>
                <w:rFonts w:ascii="Calibri" w:hAnsi="Calibri"/>
                <w:b/>
                <w:color w:val="2E8B9A"/>
                <w:sz w:val="22"/>
              </w:rPr>
              <w:t>[ Insert screenshot here ]</w:t>
            </w:r>
          </w:p>
          <w:p>
            <w:pPr>
              <w:spacing w:after="320"/>
              <w:jc w:val="center"/>
            </w:pPr>
            <w:r>
              <w:rPr>
                <w:rFonts w:ascii="Calibri" w:hAnsi="Calibri"/>
                <w:i/>
                <w:color w:val="555555"/>
                <w:sz w:val="17"/>
              </w:rPr>
              <w:t>How to capture: Run mlflow ui --backend-store-uri sqlite:///mlflow.db and open http://127.0.0.1:5000. Screenshot the experiment table sorted by average_precision (at least ten runs visible), then the Models page for credit_risk_gate_model.</w:t>
            </w:r>
          </w:p>
        </w:tc>
      </w:tr>
    </w:tbl>
    <w:p>
      <w:pPr>
        <w:spacing w:before="60" w:after="200"/>
      </w:pPr>
      <w:r>
        <w:rPr>
          <w:rFonts w:ascii="Calibri" w:hAnsi="Calibri"/>
          <w:i/>
          <w:color w:val="555555"/>
          <w:sz w:val="18"/>
        </w:rPr>
        <w:t>Figure 3. MLflow run history and the registered model.</w:t>
      </w:r>
    </w:p>
    <w:p>
      <w:pPr>
        <w:spacing w:before="280" w:after="120"/>
        <w:pBdr>
          <w:bottom w:val="single" w:sz="6" w:space="2" w:color="2E8B9A"/>
        </w:pBdr>
      </w:pPr>
      <w:r>
        <w:rPr>
          <w:rFonts w:ascii="Calibri" w:hAnsi="Calibri"/>
          <w:b/>
          <w:color w:val="1F3A5F"/>
          <w:sz w:val="30"/>
        </w:rPr>
        <w:t>07  The Quality Gate and CI (Task 6)</w:t>
      </w:r>
    </w:p>
    <w:p>
      <w:pPr>
        <w:spacing w:after="120" w:before="0"/>
      </w:pPr>
      <w:r>
        <w:rPr>
          <w:rFonts w:ascii="Calibri" w:hAnsi="Calibri"/>
          <w:b w:val="0"/>
          <w:i w:val="0"/>
          <w:sz w:val="21"/>
        </w:rPr>
        <w:t>A GitHub Actions workflow runs on every pull request into main. It installs dependencies, runs dvc pull, runs pytest, trains with the CI configuration, compares the best model PR-AUC to the baseline stored in the repository, and blocks the merge if a test fails or the model is worse. It writes a short Markdown summary that a reviewer can read without opening logs. The baseline is never changed by CI. It is updated only by a reviewed manual step, and the baseline file plus the gate config are marked review-protected through CODEOWNERS. Branch protection on main requires the quality-gate check to pass before any merge.</w:t>
      </w:r>
    </w:p>
    <w:p>
      <w:pPr>
        <w:spacing w:before="180" w:after="60"/>
      </w:pPr>
      <w:r>
        <w:rPr>
          <w:rFonts w:ascii="Calibri" w:hAnsi="Calibri"/>
          <w:b/>
          <w:color w:val="2E8B9A"/>
          <w:sz w:val="24"/>
        </w:rPr>
        <w:t>The three required pull requests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944"/>
            <w:shd w:val="clear" w:color="auto" w:fill="1F3A5F"/>
          </w:tcPr>
          <w:p>
            <w:r/>
            <w:r>
              <w:rPr>
                <w:rFonts w:ascii="Calibri" w:hAnsi="Calibri"/>
                <w:b/>
                <w:color w:val="FFFFFF"/>
                <w:sz w:val="19"/>
              </w:rPr>
              <w:t>Pull request</w:t>
            </w:r>
          </w:p>
        </w:tc>
        <w:tc>
          <w:tcPr>
            <w:tcW w:type="dxa" w:w="2808"/>
            <w:shd w:val="clear" w:color="auto" w:fill="1F3A5F"/>
          </w:tcPr>
          <w:p>
            <w:r/>
            <w:r>
              <w:rPr>
                <w:rFonts w:ascii="Calibri" w:hAnsi="Calibri"/>
                <w:b/>
                <w:color w:val="FFFFFF"/>
                <w:sz w:val="19"/>
              </w:rPr>
              <w:t>Change</w:t>
            </w:r>
          </w:p>
        </w:tc>
        <w:tc>
          <w:tcPr>
            <w:tcW w:type="dxa" w:w="2016"/>
            <w:shd w:val="clear" w:color="auto" w:fill="1F3A5F"/>
          </w:tcPr>
          <w:p>
            <w:r/>
            <w:r>
              <w:rPr>
                <w:rFonts w:ascii="Calibri" w:hAnsi="Calibri"/>
                <w:b/>
                <w:color w:val="FFFFFF"/>
                <w:sz w:val="19"/>
              </w:rPr>
              <w:t>CI result</w:t>
            </w:r>
          </w:p>
        </w:tc>
        <w:tc>
          <w:tcPr>
            <w:tcW w:type="dxa" w:w="3024"/>
            <w:shd w:val="clear" w:color="auto" w:fill="1F3A5F"/>
          </w:tcPr>
          <w:p>
            <w:r/>
            <w:r>
              <w:rPr>
                <w:rFonts w:ascii="Calibri" w:hAnsi="Calibri"/>
                <w:b/>
                <w:color w:val="FFFFFF"/>
                <w:sz w:val="19"/>
              </w:rPr>
              <w:t>Why</w:t>
            </w:r>
          </w:p>
        </w:tc>
      </w:tr>
      <w:tr>
        <w:tc>
          <w:tcPr>
            <w:tcW w:type="dxa" w:w="1944"/>
            <w:shd w:val="clear" w:color="auto" w:fill="FFFFFF"/>
          </w:tcPr>
          <w:p>
            <w:r/>
            <w:r>
              <w:rPr>
                <w:rFonts w:ascii="Calibri" w:hAnsi="Calibri"/>
                <w:b w:val="0"/>
                <w:sz w:val="19"/>
              </w:rPr>
              <w:t>Passes</w:t>
            </w:r>
          </w:p>
        </w:tc>
        <w:tc>
          <w:tcPr>
            <w:tcW w:type="dxa" w:w="2808"/>
            <w:shd w:val="clear" w:color="auto" w:fill="FFFFFF"/>
          </w:tcPr>
          <w:p>
            <w:r/>
            <w:r>
              <w:rPr>
                <w:rFonts w:ascii="Calibri" w:hAnsi="Calibri"/>
                <w:b w:val="0"/>
                <w:sz w:val="19"/>
              </w:rPr>
              <w:t>Adds reports and docs</w:t>
            </w:r>
          </w:p>
        </w:tc>
        <w:tc>
          <w:tcPr>
            <w:tcW w:type="dxa" w:w="2016"/>
            <w:shd w:val="clear" w:color="auto" w:fill="FFFFFF"/>
          </w:tcPr>
          <w:p>
            <w:r/>
            <w:r>
              <w:rPr>
                <w:rFonts w:ascii="Calibri" w:hAnsi="Calibri"/>
                <w:b w:val="0"/>
                <w:sz w:val="19"/>
              </w:rPr>
              <w:t>Green</w:t>
            </w:r>
          </w:p>
        </w:tc>
        <w:tc>
          <w:tcPr>
            <w:tcW w:type="dxa" w:w="3024"/>
            <w:shd w:val="clear" w:color="auto" w:fill="FFFFFF"/>
          </w:tcPr>
          <w:p>
            <w:r/>
            <w:r>
              <w:rPr>
                <w:rFonts w:ascii="Calibri" w:hAnsi="Calibri"/>
                <w:b w:val="0"/>
                <w:sz w:val="19"/>
              </w:rPr>
              <w:t>Tests pass and the gate model equals the baseline.</w:t>
            </w:r>
          </w:p>
        </w:tc>
      </w:tr>
      <w:tr>
        <w:tc>
          <w:tcPr>
            <w:tcW w:type="dxa" w:w="1944"/>
            <w:shd w:val="clear" w:color="auto" w:fill="F4F7FA"/>
          </w:tcPr>
          <w:p>
            <w:r/>
            <w:r>
              <w:rPr>
                <w:rFonts w:ascii="Calibri" w:hAnsi="Calibri"/>
                <w:b w:val="0"/>
                <w:sz w:val="19"/>
              </w:rPr>
              <w:t>Fails, model worse</w:t>
            </w:r>
          </w:p>
        </w:tc>
        <w:tc>
          <w:tcPr>
            <w:tcW w:type="dxa" w:w="2808"/>
            <w:shd w:val="clear" w:color="auto" w:fill="F4F7FA"/>
          </w:tcPr>
          <w:p>
            <w:r/>
            <w:r>
              <w:rPr>
                <w:rFonts w:ascii="Calibri" w:hAnsi="Calibri"/>
                <w:b w:val="0"/>
                <w:sz w:val="19"/>
              </w:rPr>
              <w:t>Shallow unweighted forest in CI</w:t>
            </w:r>
          </w:p>
        </w:tc>
        <w:tc>
          <w:tcPr>
            <w:tcW w:type="dxa" w:w="2016"/>
            <w:shd w:val="clear" w:color="auto" w:fill="F4F7FA"/>
          </w:tcPr>
          <w:p>
            <w:r/>
            <w:r>
              <w:rPr>
                <w:rFonts w:ascii="Calibri" w:hAnsi="Calibri"/>
                <w:b w:val="0"/>
                <w:sz w:val="19"/>
              </w:rPr>
              <w:t>Red at gate step</w:t>
            </w:r>
          </w:p>
        </w:tc>
        <w:tc>
          <w:tcPr>
            <w:tcW w:type="dxa" w:w="3024"/>
            <w:shd w:val="clear" w:color="auto" w:fill="F4F7FA"/>
          </w:tcPr>
          <w:p>
            <w:r/>
            <w:r>
              <w:rPr>
                <w:rFonts w:ascii="Calibri" w:hAnsi="Calibri"/>
                <w:b w:val="0"/>
                <w:sz w:val="19"/>
              </w:rPr>
              <w:t>PR-AUC drops below baseline minus 0.01.</w:t>
            </w:r>
          </w:p>
        </w:tc>
      </w:tr>
      <w:tr>
        <w:tc>
          <w:tcPr>
            <w:tcW w:type="dxa" w:w="1944"/>
            <w:shd w:val="clear" w:color="auto" w:fill="FFFFFF"/>
          </w:tcPr>
          <w:p>
            <w:r/>
            <w:r>
              <w:rPr>
                <w:rFonts w:ascii="Calibri" w:hAnsi="Calibri"/>
                <w:b w:val="0"/>
                <w:sz w:val="19"/>
              </w:rPr>
              <w:t>Fails, test fails</w:t>
            </w:r>
          </w:p>
        </w:tc>
        <w:tc>
          <w:tcPr>
            <w:tcW w:type="dxa" w:w="2808"/>
            <w:shd w:val="clear" w:color="auto" w:fill="FFFFFF"/>
          </w:tcPr>
          <w:p>
            <w:r/>
            <w:r>
              <w:rPr>
                <w:rFonts w:ascii="Calibri" w:hAnsi="Calibri"/>
                <w:b w:val="0"/>
                <w:sz w:val="19"/>
              </w:rPr>
              <w:t>Drops the zero-limit guard</w:t>
            </w:r>
          </w:p>
        </w:tc>
        <w:tc>
          <w:tcPr>
            <w:tcW w:type="dxa" w:w="2016"/>
            <w:shd w:val="clear" w:color="auto" w:fill="FFFFFF"/>
          </w:tcPr>
          <w:p>
            <w:r/>
            <w:r>
              <w:rPr>
                <w:rFonts w:ascii="Calibri" w:hAnsi="Calibri"/>
                <w:b w:val="0"/>
                <w:sz w:val="19"/>
              </w:rPr>
              <w:t>Red at test step</w:t>
            </w:r>
          </w:p>
        </w:tc>
        <w:tc>
          <w:tcPr>
            <w:tcW w:type="dxa" w:w="3024"/>
            <w:shd w:val="clear" w:color="auto" w:fill="FFFFFF"/>
          </w:tcPr>
          <w:p>
            <w:r/>
            <w:r>
              <w:rPr>
                <w:rFonts w:ascii="Calibri" w:hAnsi="Calibri"/>
                <w:b w:val="0"/>
                <w:sz w:val="19"/>
              </w:rPr>
              <w:t>A unit test fails before the gate runs.</w:t>
            </w:r>
          </w:p>
        </w:tc>
      </w:tr>
    </w:tbl>
    <w:p>
      <w:pPr>
        <w:spacing w:after="40"/>
      </w:pPr>
    </w:p>
    <w:tbl>
      <w:tblPr>
        <w:tblW w:type="auto" w:w="0"/>
        <w:jc w:val="center"/>
        <w:tblLook w:firstColumn="1" w:firstRow="1" w:lastColumn="0" w:lastRow="0" w:noHBand="0" w:noVBand="1" w:val="04A0"/>
      </w:tblPr>
      <w:tblGrid>
        <w:gridCol w:w="9936"/>
      </w:tblGrid>
      <w:tr>
        <w:tc>
          <w:tcPr>
            <w:tcW w:type="dxa" w:w="9792"/>
            <w:shd w:val="clear" w:color="auto" w:fill="EEF2F6"/>
            <w:tcBorders>
              <w:top w:val="dashed" w:sz="6" w:space="0" w:color="2E8B9A"/>
              <w:left w:val="dashed" w:sz="6" w:space="0" w:color="2E8B9A"/>
              <w:bottom w:val="dashed" w:sz="6" w:space="0" w:color="2E8B9A"/>
              <w:right w:val="dashed" w:sz="6" w:space="0" w:color="2E8B9A"/>
            </w:tcBorders>
          </w:tcPr>
          <w:p>
            <w:pPr>
              <w:spacing w:before="320"/>
              <w:jc w:val="center"/>
            </w:pPr>
            <w:r/>
            <w:r>
              <w:rPr>
                <w:rFonts w:ascii="Calibri" w:hAnsi="Calibri"/>
                <w:b/>
                <w:color w:val="2E8B9A"/>
                <w:sz w:val="22"/>
              </w:rPr>
              <w:t>[ Insert screenshot here ]</w:t>
            </w:r>
          </w:p>
          <w:p>
            <w:pPr>
              <w:spacing w:after="320"/>
              <w:jc w:val="center"/>
            </w:pPr>
            <w:r>
              <w:rPr>
                <w:rFonts w:ascii="Calibri" w:hAnsi="Calibri"/>
                <w:i/>
                <w:color w:val="555555"/>
                <w:sz w:val="17"/>
              </w:rPr>
              <w:t>How to capture: On GitHub open the Pull requests tab and screenshot the list (one green, two red). Then open the model-worse PR, open its CI run under Actions, and screenshot the gate summary that shows the candidate PR-AUC below the baseline.</w:t>
            </w:r>
          </w:p>
        </w:tc>
      </w:tr>
    </w:tbl>
    <w:p>
      <w:pPr>
        <w:spacing w:before="60" w:after="200"/>
      </w:pPr>
      <w:r>
        <w:rPr>
          <w:rFonts w:ascii="Calibri" w:hAnsi="Calibri"/>
          <w:i/>
          <w:color w:val="555555"/>
          <w:sz w:val="18"/>
        </w:rPr>
        <w:t>Figure 4. The three pull requests with their checks, and a gate summary.</w:t>
      </w:r>
    </w:p>
    <w:p>
      <w:pPr>
        <w:spacing w:before="280" w:after="120"/>
        <w:pBdr>
          <w:bottom w:val="single" w:sz="6" w:space="2" w:color="2E8B9A"/>
        </w:pBdr>
      </w:pPr>
      <w:r>
        <w:rPr>
          <w:rFonts w:ascii="Calibri" w:hAnsi="Calibri"/>
          <w:b/>
          <w:color w:val="1F3A5F"/>
          <w:sz w:val="30"/>
        </w:rPr>
        <w:t>08  Data-Change Drill, v1 versus v2 (Task 7)</w:t>
      </w:r>
    </w:p>
    <w:p>
      <w:pPr>
        <w:spacing w:after="120" w:before="0"/>
      </w:pPr>
      <w:r>
        <w:rPr>
          <w:rFonts w:ascii="Calibri" w:hAnsi="Calibri"/>
          <w:b w:val="0"/>
          <w:i w:val="0"/>
          <w:sz w:val="21"/>
        </w:rPr>
        <w:t>When dataset v2 arrived (1,100 rows, the 800 v1 rows plus 300 new customers), we retrained through the same pipeline on both versions across three seeds each and logged every run with a data version tag.</w:t>
      </w:r>
    </w:p>
    <w:tbl>
      <w:tblPr>
        <w:tblStyle w:val="TableGrid"/>
        <w:tblW w:type="auto" w:w="0"/>
        <w:jc w:val="center"/>
        <w:tblLook w:firstColumn="1" w:firstRow="1" w:lastColumn="0" w:lastRow="0" w:noHBand="0" w:noVBand="1" w:val="04A0"/>
      </w:tblPr>
      <w:tblGrid>
        <w:gridCol w:w="3312"/>
        <w:gridCol w:w="3312"/>
        <w:gridCol w:w="3312"/>
      </w:tblGrid>
      <w:tr>
        <w:tc>
          <w:tcPr>
            <w:tcW w:type="dxa" w:w="3254"/>
            <w:shd w:val="clear" w:color="auto" w:fill="1F3A5F"/>
          </w:tcPr>
          <w:p>
            <w:r/>
            <w:r>
              <w:rPr>
                <w:rFonts w:ascii="Calibri" w:hAnsi="Calibri"/>
                <w:b/>
                <w:color w:val="FFFFFF"/>
                <w:sz w:val="19"/>
              </w:rPr>
              <w:t>Data version</w:t>
            </w:r>
          </w:p>
        </w:tc>
        <w:tc>
          <w:tcPr>
            <w:tcW w:type="dxa" w:w="3269"/>
            <w:shd w:val="clear" w:color="auto" w:fill="1F3A5F"/>
          </w:tcPr>
          <w:p>
            <w:r/>
            <w:r>
              <w:rPr>
                <w:rFonts w:ascii="Calibri" w:hAnsi="Calibri"/>
                <w:b/>
                <w:color w:val="FFFFFF"/>
                <w:sz w:val="19"/>
              </w:rPr>
              <w:t>Mean PR-AUC</w:t>
            </w:r>
          </w:p>
        </w:tc>
        <w:tc>
          <w:tcPr>
            <w:tcW w:type="dxa" w:w="3269"/>
            <w:shd w:val="clear" w:color="auto" w:fill="1F3A5F"/>
          </w:tcPr>
          <w:p>
            <w:r/>
            <w:r>
              <w:rPr>
                <w:rFonts w:ascii="Calibri" w:hAnsi="Calibri"/>
                <w:b/>
                <w:color w:val="FFFFFF"/>
                <w:sz w:val="19"/>
              </w:rPr>
              <w:t>Std over 3 seeds</w:t>
            </w:r>
          </w:p>
        </w:tc>
      </w:tr>
      <w:tr>
        <w:tc>
          <w:tcPr>
            <w:tcW w:type="dxa" w:w="3254"/>
            <w:shd w:val="clear" w:color="auto" w:fill="FFFFFF"/>
          </w:tcPr>
          <w:p>
            <w:r/>
            <w:r>
              <w:rPr>
                <w:rFonts w:ascii="Calibri" w:hAnsi="Calibri"/>
                <w:b w:val="0"/>
                <w:sz w:val="19"/>
              </w:rPr>
              <w:t>v1</w:t>
            </w:r>
          </w:p>
        </w:tc>
        <w:tc>
          <w:tcPr>
            <w:tcW w:type="dxa" w:w="3269"/>
            <w:shd w:val="clear" w:color="auto" w:fill="FFFFFF"/>
          </w:tcPr>
          <w:p>
            <w:r/>
            <w:r>
              <w:rPr>
                <w:rFonts w:ascii="Calibri" w:hAnsi="Calibri"/>
                <w:b w:val="0"/>
                <w:sz w:val="19"/>
              </w:rPr>
              <w:t>0.7878</w:t>
            </w:r>
          </w:p>
        </w:tc>
        <w:tc>
          <w:tcPr>
            <w:tcW w:type="dxa" w:w="3269"/>
            <w:shd w:val="clear" w:color="auto" w:fill="FFFFFF"/>
          </w:tcPr>
          <w:p>
            <w:r/>
            <w:r>
              <w:rPr>
                <w:rFonts w:ascii="Calibri" w:hAnsi="Calibri"/>
                <w:b w:val="0"/>
                <w:sz w:val="19"/>
              </w:rPr>
              <w:t>0.0769</w:t>
            </w:r>
          </w:p>
        </w:tc>
      </w:tr>
      <w:tr>
        <w:tc>
          <w:tcPr>
            <w:tcW w:type="dxa" w:w="3254"/>
            <w:shd w:val="clear" w:color="auto" w:fill="F4F7FA"/>
          </w:tcPr>
          <w:p>
            <w:r/>
            <w:r>
              <w:rPr>
                <w:rFonts w:ascii="Calibri" w:hAnsi="Calibri"/>
                <w:b w:val="0"/>
                <w:sz w:val="19"/>
              </w:rPr>
              <w:t>v2</w:t>
            </w:r>
          </w:p>
        </w:tc>
        <w:tc>
          <w:tcPr>
            <w:tcW w:type="dxa" w:w="3269"/>
            <w:shd w:val="clear" w:color="auto" w:fill="F4F7FA"/>
          </w:tcPr>
          <w:p>
            <w:r/>
            <w:r>
              <w:rPr>
                <w:rFonts w:ascii="Calibri" w:hAnsi="Calibri"/>
                <w:b w:val="0"/>
                <w:sz w:val="19"/>
              </w:rPr>
              <w:t>0.8427</w:t>
            </w:r>
          </w:p>
        </w:tc>
        <w:tc>
          <w:tcPr>
            <w:tcW w:type="dxa" w:w="3269"/>
            <w:shd w:val="clear" w:color="auto" w:fill="F4F7FA"/>
          </w:tcPr>
          <w:p>
            <w:r/>
            <w:r>
              <w:rPr>
                <w:rFonts w:ascii="Calibri" w:hAnsi="Calibri"/>
                <w:b w:val="0"/>
                <w:sz w:val="19"/>
              </w:rPr>
              <w:t>0.0432</w:t>
            </w:r>
          </w:p>
        </w:tc>
      </w:tr>
    </w:tbl>
    <w:p>
      <w:pPr>
        <w:spacing w:after="40"/>
      </w:pPr>
    </w:p>
    <w:p>
      <w:pPr>
        <w:spacing w:after="120" w:before="80"/>
      </w:pPr>
      <w:r>
        <w:rPr>
          <w:rFonts w:ascii="Calibri" w:hAnsi="Calibri"/>
          <w:b w:val="0"/>
          <w:i w:val="0"/>
          <w:sz w:val="21"/>
        </w:rPr>
        <w:t>The v2 gain of 0.055 is within about two times the seed noise, so it is not a proven improvement. v2 is still accepted because it does not regress and its variance is lower, which is what more data should give. The honest reading is more data, equal or slightly better, lower variance, not a confirmed jump in quality. This is exactly why the gate uses a tolerance band rather than trusting a single number.</w:t>
      </w:r>
    </w:p>
    <w:p>
      <w:pPr>
        <w:spacing w:before="280" w:after="120"/>
        <w:pBdr>
          <w:bottom w:val="single" w:sz="6" w:space="2" w:color="2E8B9A"/>
        </w:pBdr>
      </w:pPr>
      <w:r>
        <w:rPr>
          <w:rFonts w:ascii="Calibri" w:hAnsi="Calibri"/>
          <w:b/>
          <w:color w:val="1F3A5F"/>
          <w:sz w:val="30"/>
        </w:rPr>
        <w:t>09  Threshold Comparison and Fairness Defense (Task 8)</w:t>
      </w:r>
    </w:p>
    <w:p>
      <w:pPr>
        <w:spacing w:after="120" w:before="0"/>
      </w:pPr>
      <w:r>
        <w:rPr>
          <w:rFonts w:ascii="Calibri" w:hAnsi="Calibri"/>
          <w:b w:val="0"/>
          <w:i w:val="0"/>
          <w:sz w:val="21"/>
        </w:rPr>
        <w:t>We compared three candidate gate rules against our real 21-run history, using the CI model as the baseline, and counted how many runs each rule would accept.</w:t>
      </w:r>
    </w:p>
    <w:tbl>
      <w:tblPr>
        <w:tblStyle w:val="TableGrid"/>
        <w:tblW w:type="auto" w:w="0"/>
        <w:jc w:val="center"/>
        <w:tblLook w:firstColumn="1" w:firstRow="1" w:lastColumn="0" w:lastRow="0" w:noHBand="0" w:noVBand="1" w:val="04A0"/>
      </w:tblPr>
      <w:tblGrid>
        <w:gridCol w:w="3312"/>
        <w:gridCol w:w="3312"/>
        <w:gridCol w:w="3312"/>
      </w:tblGrid>
      <w:tr>
        <w:tc>
          <w:tcPr>
            <w:tcW w:type="dxa" w:w="3600"/>
            <w:shd w:val="clear" w:color="auto" w:fill="1F3A5F"/>
          </w:tcPr>
          <w:p>
            <w:r/>
            <w:r>
              <w:rPr>
                <w:rFonts w:ascii="Calibri" w:hAnsi="Calibri"/>
                <w:b/>
                <w:color w:val="FFFFFF"/>
                <w:sz w:val="19"/>
              </w:rPr>
              <w:t>Candidate gate rule</w:t>
            </w:r>
          </w:p>
        </w:tc>
        <w:tc>
          <w:tcPr>
            <w:tcW w:type="dxa" w:w="2160"/>
            <w:shd w:val="clear" w:color="auto" w:fill="1F3A5F"/>
          </w:tcPr>
          <w:p>
            <w:r/>
            <w:r>
              <w:rPr>
                <w:rFonts w:ascii="Calibri" w:hAnsi="Calibri"/>
                <w:b/>
                <w:color w:val="FFFFFF"/>
                <w:sz w:val="19"/>
              </w:rPr>
              <w:t>Runs accepted</w:t>
            </w:r>
          </w:p>
        </w:tc>
        <w:tc>
          <w:tcPr>
            <w:tcW w:type="dxa" w:w="4032"/>
            <w:shd w:val="clear" w:color="auto" w:fill="1F3A5F"/>
          </w:tcPr>
          <w:p>
            <w:r/>
            <w:r>
              <w:rPr>
                <w:rFonts w:ascii="Calibri" w:hAnsi="Calibri"/>
                <w:b/>
                <w:color w:val="FFFFFF"/>
                <w:sz w:val="19"/>
              </w:rPr>
              <w:t>Behaviour</w:t>
            </w:r>
          </w:p>
        </w:tc>
      </w:tr>
      <w:tr>
        <w:tc>
          <w:tcPr>
            <w:tcW w:type="dxa" w:w="3600"/>
            <w:shd w:val="clear" w:color="auto" w:fill="FFFFFF"/>
          </w:tcPr>
          <w:p>
            <w:r/>
            <w:r>
              <w:rPr>
                <w:rFonts w:ascii="Calibri" w:hAnsi="Calibri"/>
                <w:b w:val="0"/>
                <w:sz w:val="19"/>
              </w:rPr>
              <w:t>PR-AUC &gt;= baseline - 0.01</w:t>
            </w:r>
          </w:p>
        </w:tc>
        <w:tc>
          <w:tcPr>
            <w:tcW w:type="dxa" w:w="2160"/>
            <w:shd w:val="clear" w:color="auto" w:fill="FFFFFF"/>
          </w:tcPr>
          <w:p>
            <w:r/>
            <w:r>
              <w:rPr>
                <w:rFonts w:ascii="Calibri" w:hAnsi="Calibri"/>
                <w:b w:val="0"/>
                <w:sz w:val="19"/>
              </w:rPr>
              <w:t>13 of 21</w:t>
            </w:r>
          </w:p>
        </w:tc>
        <w:tc>
          <w:tcPr>
            <w:tcW w:type="dxa" w:w="4032"/>
            <w:shd w:val="clear" w:color="auto" w:fill="FFFFFF"/>
          </w:tcPr>
          <w:p>
            <w:r/>
            <w:r>
              <w:rPr>
                <w:rFonts w:ascii="Calibri" w:hAnsi="Calibri"/>
                <w:b w:val="0"/>
                <w:sz w:val="19"/>
              </w:rPr>
              <w:t>Discriminating, rejects the weaker models.</w:t>
            </w:r>
          </w:p>
        </w:tc>
      </w:tr>
      <w:tr>
        <w:tc>
          <w:tcPr>
            <w:tcW w:type="dxa" w:w="3600"/>
            <w:shd w:val="clear" w:color="auto" w:fill="F4F7FA"/>
          </w:tcPr>
          <w:p>
            <w:r/>
            <w:r>
              <w:rPr>
                <w:rFonts w:ascii="Calibri" w:hAnsi="Calibri"/>
                <w:b w:val="0"/>
                <w:sz w:val="19"/>
              </w:rPr>
              <w:t>ROC-AUC &gt;= baseline - 0.01</w:t>
            </w:r>
          </w:p>
        </w:tc>
        <w:tc>
          <w:tcPr>
            <w:tcW w:type="dxa" w:w="2160"/>
            <w:shd w:val="clear" w:color="auto" w:fill="F4F7FA"/>
          </w:tcPr>
          <w:p>
            <w:r/>
            <w:r>
              <w:rPr>
                <w:rFonts w:ascii="Calibri" w:hAnsi="Calibri"/>
                <w:b w:val="0"/>
                <w:sz w:val="19"/>
              </w:rPr>
              <w:t>20 of 21</w:t>
            </w:r>
          </w:p>
        </w:tc>
        <w:tc>
          <w:tcPr>
            <w:tcW w:type="dxa" w:w="4032"/>
            <w:shd w:val="clear" w:color="auto" w:fill="F4F7FA"/>
          </w:tcPr>
          <w:p>
            <w:r/>
            <w:r>
              <w:rPr>
                <w:rFonts w:ascii="Calibri" w:hAnsi="Calibri"/>
                <w:b w:val="0"/>
                <w:sz w:val="19"/>
              </w:rPr>
              <w:t>Too lenient, stays high even when ranking drops.</w:t>
            </w:r>
          </w:p>
        </w:tc>
      </w:tr>
      <w:tr>
        <w:tc>
          <w:tcPr>
            <w:tcW w:type="dxa" w:w="3600"/>
            <w:shd w:val="clear" w:color="auto" w:fill="FFFFFF"/>
          </w:tcPr>
          <w:p>
            <w:r/>
            <w:r>
              <w:rPr>
                <w:rFonts w:ascii="Calibri" w:hAnsi="Calibri"/>
                <w:b w:val="0"/>
                <w:sz w:val="19"/>
              </w:rPr>
              <w:t>F1 &gt;= baseline - 0.01</w:t>
            </w:r>
          </w:p>
        </w:tc>
        <w:tc>
          <w:tcPr>
            <w:tcW w:type="dxa" w:w="2160"/>
            <w:shd w:val="clear" w:color="auto" w:fill="FFFFFF"/>
          </w:tcPr>
          <w:p>
            <w:r/>
            <w:r>
              <w:rPr>
                <w:rFonts w:ascii="Calibri" w:hAnsi="Calibri"/>
                <w:b w:val="0"/>
                <w:sz w:val="19"/>
              </w:rPr>
              <w:t>20 of 21</w:t>
            </w:r>
          </w:p>
        </w:tc>
        <w:tc>
          <w:tcPr>
            <w:tcW w:type="dxa" w:w="4032"/>
            <w:shd w:val="clear" w:color="auto" w:fill="FFFFFF"/>
          </w:tcPr>
          <w:p>
            <w:r/>
            <w:r>
              <w:rPr>
                <w:rFonts w:ascii="Calibri" w:hAnsi="Calibri"/>
                <w:b w:val="0"/>
                <w:sz w:val="19"/>
              </w:rPr>
              <w:t>Lenient and tied to the 0.5 threshold.</w:t>
            </w:r>
          </w:p>
        </w:tc>
      </w:tr>
    </w:tbl>
    <w:p>
      <w:pPr>
        <w:spacing w:after="40"/>
      </w:pPr>
    </w:p>
    <w:p>
      <w:pPr>
        <w:spacing w:after="120" w:before="80"/>
      </w:pPr>
      <w:r>
        <w:rPr>
          <w:rFonts w:ascii="Calibri" w:hAnsi="Calibri"/>
          <w:b w:val="0"/>
          <w:i w:val="0"/>
          <w:sz w:val="21"/>
        </w:rPr>
        <w:t>Seven runs that the ROC-AUC and F1 rules would accept are rejected by the PR-AUC rule. These are random forests whose PR-AUC falls as low as 0.690 while their ROC-AUC still reads about 0.92. Gating on ROC-AUC or F1 would let a model that is clearly worse at ranking high-risk customers merge unnoticed, which is the exact failure in the scenario. We therefore adopt PR-AUC at or above baseline minus 0.01. The 0.01 band absorbs the seed noise measured in Task 7 while still rejecting the real drops.</w:t>
      </w:r>
    </w:p>
    <w:p>
      <w:pPr>
        <w:spacing w:before="180" w:after="60"/>
      </w:pPr>
      <w:r>
        <w:rPr>
          <w:rFonts w:ascii="Calibri" w:hAnsi="Calibri"/>
          <w:b/>
          <w:color w:val="2E8B9A"/>
          <w:sz w:val="24"/>
        </w:rPr>
        <w:t>Error by income group for the registered model</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2448"/>
            <w:shd w:val="clear" w:color="auto" w:fill="1F3A5F"/>
          </w:tcPr>
          <w:p>
            <w:r/>
            <w:r>
              <w:rPr>
                <w:rFonts w:ascii="Calibri" w:hAnsi="Calibri"/>
                <w:b/>
                <w:color w:val="FFFFFF"/>
                <w:sz w:val="19"/>
              </w:rPr>
              <w:t>Income_Bracket</w:t>
            </w:r>
          </w:p>
        </w:tc>
        <w:tc>
          <w:tcPr>
            <w:tcW w:type="dxa" w:w="1656"/>
            <w:shd w:val="clear" w:color="auto" w:fill="1F3A5F"/>
          </w:tcPr>
          <w:p>
            <w:r/>
            <w:r>
              <w:rPr>
                <w:rFonts w:ascii="Calibri" w:hAnsi="Calibri"/>
                <w:b/>
                <w:color w:val="FFFFFF"/>
                <w:sz w:val="19"/>
              </w:rPr>
              <w:t>Customers</w:t>
            </w:r>
          </w:p>
        </w:tc>
        <w:tc>
          <w:tcPr>
            <w:tcW w:type="dxa" w:w="1440"/>
            <w:shd w:val="clear" w:color="auto" w:fill="1F3A5F"/>
          </w:tcPr>
          <w:p>
            <w:r/>
            <w:r>
              <w:rPr>
                <w:rFonts w:ascii="Calibri" w:hAnsi="Calibri"/>
                <w:b/>
                <w:color w:val="FFFFFF"/>
                <w:sz w:val="19"/>
              </w:rPr>
              <w:t>High risk</w:t>
            </w:r>
          </w:p>
        </w:tc>
        <w:tc>
          <w:tcPr>
            <w:tcW w:type="dxa" w:w="1368"/>
            <w:shd w:val="clear" w:color="auto" w:fill="1F3A5F"/>
          </w:tcPr>
          <w:p>
            <w:r/>
            <w:r>
              <w:rPr>
                <w:rFonts w:ascii="Calibri" w:hAnsi="Calibri"/>
                <w:b/>
                <w:color w:val="FFFFFF"/>
                <w:sz w:val="19"/>
              </w:rPr>
              <w:t>False neg</w:t>
            </w:r>
          </w:p>
        </w:tc>
        <w:tc>
          <w:tcPr>
            <w:tcW w:type="dxa" w:w="1584"/>
            <w:shd w:val="clear" w:color="auto" w:fill="1F3A5F"/>
          </w:tcPr>
          <w:p>
            <w:r/>
            <w:r>
              <w:rPr>
                <w:rFonts w:ascii="Calibri" w:hAnsi="Calibri"/>
                <w:b/>
                <w:color w:val="FFFFFF"/>
                <w:sz w:val="19"/>
              </w:rPr>
              <w:t>False-neg rate</w:t>
            </w:r>
          </w:p>
        </w:tc>
        <w:tc>
          <w:tcPr>
            <w:tcW w:type="dxa" w:w="1296"/>
            <w:shd w:val="clear" w:color="auto" w:fill="1F3A5F"/>
          </w:tcPr>
          <w:p>
            <w:r/>
            <w:r>
              <w:rPr>
                <w:rFonts w:ascii="Calibri" w:hAnsi="Calibri"/>
                <w:b/>
                <w:color w:val="FFFFFF"/>
                <w:sz w:val="19"/>
              </w:rPr>
              <w:t>Accuracy</w:t>
            </w:r>
          </w:p>
        </w:tc>
      </w:tr>
      <w:tr>
        <w:tc>
          <w:tcPr>
            <w:tcW w:type="dxa" w:w="2448"/>
            <w:shd w:val="clear" w:color="auto" w:fill="FFFFFF"/>
          </w:tcPr>
          <w:p>
            <w:r/>
            <w:r>
              <w:rPr>
                <w:rFonts w:ascii="Calibri" w:hAnsi="Calibri"/>
                <w:b w:val="0"/>
                <w:sz w:val="19"/>
              </w:rPr>
              <w:t>High</w:t>
            </w:r>
          </w:p>
        </w:tc>
        <w:tc>
          <w:tcPr>
            <w:tcW w:type="dxa" w:w="1656"/>
            <w:shd w:val="clear" w:color="auto" w:fill="FFFFFF"/>
          </w:tcPr>
          <w:p>
            <w:r/>
            <w:r>
              <w:rPr>
                <w:rFonts w:ascii="Calibri" w:hAnsi="Calibri"/>
                <w:b w:val="0"/>
                <w:sz w:val="19"/>
              </w:rPr>
              <w:t>42</w:t>
            </w:r>
          </w:p>
        </w:tc>
        <w:tc>
          <w:tcPr>
            <w:tcW w:type="dxa" w:w="1440"/>
            <w:shd w:val="clear" w:color="auto" w:fill="FFFFFF"/>
          </w:tcPr>
          <w:p>
            <w:r/>
            <w:r>
              <w:rPr>
                <w:rFonts w:ascii="Calibri" w:hAnsi="Calibri"/>
                <w:b w:val="0"/>
                <w:sz w:val="19"/>
              </w:rPr>
              <w:t>5</w:t>
            </w:r>
          </w:p>
        </w:tc>
        <w:tc>
          <w:tcPr>
            <w:tcW w:type="dxa" w:w="1368"/>
            <w:shd w:val="clear" w:color="auto" w:fill="FFFFFF"/>
          </w:tcPr>
          <w:p>
            <w:r/>
            <w:r>
              <w:rPr>
                <w:rFonts w:ascii="Calibri" w:hAnsi="Calibri"/>
                <w:b w:val="0"/>
                <w:sz w:val="19"/>
              </w:rPr>
              <w:t>1</w:t>
            </w:r>
          </w:p>
        </w:tc>
        <w:tc>
          <w:tcPr>
            <w:tcW w:type="dxa" w:w="1584"/>
            <w:shd w:val="clear" w:color="auto" w:fill="FFFFFF"/>
          </w:tcPr>
          <w:p>
            <w:r/>
            <w:r>
              <w:rPr>
                <w:rFonts w:ascii="Calibri" w:hAnsi="Calibri"/>
                <w:b w:val="0"/>
                <w:sz w:val="19"/>
              </w:rPr>
              <w:t>0.200</w:t>
            </w:r>
          </w:p>
        </w:tc>
        <w:tc>
          <w:tcPr>
            <w:tcW w:type="dxa" w:w="1296"/>
            <w:shd w:val="clear" w:color="auto" w:fill="FFFFFF"/>
          </w:tcPr>
          <w:p>
            <w:r/>
            <w:r>
              <w:rPr>
                <w:rFonts w:ascii="Calibri" w:hAnsi="Calibri"/>
                <w:b w:val="0"/>
                <w:sz w:val="19"/>
              </w:rPr>
              <w:t>0.929</w:t>
            </w:r>
          </w:p>
        </w:tc>
      </w:tr>
      <w:tr>
        <w:tc>
          <w:tcPr>
            <w:tcW w:type="dxa" w:w="2448"/>
            <w:shd w:val="clear" w:color="auto" w:fill="F4F7FA"/>
          </w:tcPr>
          <w:p>
            <w:r/>
            <w:r>
              <w:rPr>
                <w:rFonts w:ascii="Calibri" w:hAnsi="Calibri"/>
                <w:b w:val="0"/>
                <w:sz w:val="19"/>
              </w:rPr>
              <w:t>Medium</w:t>
            </w:r>
          </w:p>
        </w:tc>
        <w:tc>
          <w:tcPr>
            <w:tcW w:type="dxa" w:w="1656"/>
            <w:shd w:val="clear" w:color="auto" w:fill="F4F7FA"/>
          </w:tcPr>
          <w:p>
            <w:r/>
            <w:r>
              <w:rPr>
                <w:rFonts w:ascii="Calibri" w:hAnsi="Calibri"/>
                <w:b w:val="0"/>
                <w:sz w:val="19"/>
              </w:rPr>
              <w:t>75</w:t>
            </w:r>
          </w:p>
        </w:tc>
        <w:tc>
          <w:tcPr>
            <w:tcW w:type="dxa" w:w="1440"/>
            <w:shd w:val="clear" w:color="auto" w:fill="F4F7FA"/>
          </w:tcPr>
          <w:p>
            <w:r/>
            <w:r>
              <w:rPr>
                <w:rFonts w:ascii="Calibri" w:hAnsi="Calibri"/>
                <w:b w:val="0"/>
                <w:sz w:val="19"/>
              </w:rPr>
              <w:t>16</w:t>
            </w:r>
          </w:p>
        </w:tc>
        <w:tc>
          <w:tcPr>
            <w:tcW w:type="dxa" w:w="1368"/>
            <w:shd w:val="clear" w:color="auto" w:fill="F4F7FA"/>
          </w:tcPr>
          <w:p>
            <w:r/>
            <w:r>
              <w:rPr>
                <w:rFonts w:ascii="Calibri" w:hAnsi="Calibri"/>
                <w:b w:val="0"/>
                <w:sz w:val="19"/>
              </w:rPr>
              <w:t>3</w:t>
            </w:r>
          </w:p>
        </w:tc>
        <w:tc>
          <w:tcPr>
            <w:tcW w:type="dxa" w:w="1584"/>
            <w:shd w:val="clear" w:color="auto" w:fill="F4F7FA"/>
          </w:tcPr>
          <w:p>
            <w:r/>
            <w:r>
              <w:rPr>
                <w:rFonts w:ascii="Calibri" w:hAnsi="Calibri"/>
                <w:b w:val="0"/>
                <w:sz w:val="19"/>
              </w:rPr>
              <w:t>0.188</w:t>
            </w:r>
          </w:p>
        </w:tc>
        <w:tc>
          <w:tcPr>
            <w:tcW w:type="dxa" w:w="1296"/>
            <w:shd w:val="clear" w:color="auto" w:fill="F4F7FA"/>
          </w:tcPr>
          <w:p>
            <w:r/>
            <w:r>
              <w:rPr>
                <w:rFonts w:ascii="Calibri" w:hAnsi="Calibri"/>
                <w:b w:val="0"/>
                <w:sz w:val="19"/>
              </w:rPr>
              <w:t>0.853</w:t>
            </w:r>
          </w:p>
        </w:tc>
      </w:tr>
      <w:tr>
        <w:tc>
          <w:tcPr>
            <w:tcW w:type="dxa" w:w="2448"/>
            <w:shd w:val="clear" w:color="auto" w:fill="FFFFFF"/>
          </w:tcPr>
          <w:p>
            <w:r/>
            <w:r>
              <w:rPr>
                <w:rFonts w:ascii="Calibri" w:hAnsi="Calibri"/>
                <w:b w:val="0"/>
                <w:sz w:val="19"/>
              </w:rPr>
              <w:t>Low</w:t>
            </w:r>
          </w:p>
        </w:tc>
        <w:tc>
          <w:tcPr>
            <w:tcW w:type="dxa" w:w="1656"/>
            <w:shd w:val="clear" w:color="auto" w:fill="FFFFFF"/>
          </w:tcPr>
          <w:p>
            <w:r/>
            <w:r>
              <w:rPr>
                <w:rFonts w:ascii="Calibri" w:hAnsi="Calibri"/>
                <w:b w:val="0"/>
                <w:sz w:val="19"/>
              </w:rPr>
              <w:t>83</w:t>
            </w:r>
          </w:p>
        </w:tc>
        <w:tc>
          <w:tcPr>
            <w:tcW w:type="dxa" w:w="1440"/>
            <w:shd w:val="clear" w:color="auto" w:fill="FFFFFF"/>
          </w:tcPr>
          <w:p>
            <w:r/>
            <w:r>
              <w:rPr>
                <w:rFonts w:ascii="Calibri" w:hAnsi="Calibri"/>
                <w:b w:val="0"/>
                <w:sz w:val="19"/>
              </w:rPr>
              <w:t>17</w:t>
            </w:r>
          </w:p>
        </w:tc>
        <w:tc>
          <w:tcPr>
            <w:tcW w:type="dxa" w:w="1368"/>
            <w:shd w:val="clear" w:color="auto" w:fill="FFFFFF"/>
          </w:tcPr>
          <w:p>
            <w:r/>
            <w:r>
              <w:rPr>
                <w:rFonts w:ascii="Calibri" w:hAnsi="Calibri"/>
                <w:b w:val="0"/>
                <w:sz w:val="19"/>
              </w:rPr>
              <w:t>6</w:t>
            </w:r>
          </w:p>
        </w:tc>
        <w:tc>
          <w:tcPr>
            <w:tcW w:type="dxa" w:w="1584"/>
            <w:shd w:val="clear" w:color="auto" w:fill="FFFFFF"/>
          </w:tcPr>
          <w:p>
            <w:r/>
            <w:r>
              <w:rPr>
                <w:rFonts w:ascii="Calibri" w:hAnsi="Calibri"/>
                <w:b w:val="0"/>
                <w:sz w:val="19"/>
              </w:rPr>
              <w:t>0.353</w:t>
            </w:r>
          </w:p>
        </w:tc>
        <w:tc>
          <w:tcPr>
            <w:tcW w:type="dxa" w:w="1296"/>
            <w:shd w:val="clear" w:color="auto" w:fill="FFFFFF"/>
          </w:tcPr>
          <w:p>
            <w:r/>
            <w:r>
              <w:rPr>
                <w:rFonts w:ascii="Calibri" w:hAnsi="Calibri"/>
                <w:b w:val="0"/>
                <w:sz w:val="19"/>
              </w:rPr>
              <w:t>0.880</w:t>
            </w:r>
          </w:p>
        </w:tc>
      </w:tr>
    </w:tbl>
    <w:p>
      <w:pPr>
        <w:spacing w:after="40"/>
      </w:pPr>
    </w:p>
    <w:p>
      <w:pPr>
        <w:spacing w:after="120" w:before="80"/>
      </w:pPr>
      <w:r>
        <w:rPr>
          <w:rFonts w:ascii="Calibri" w:hAnsi="Calibri"/>
          <w:b w:val="0"/>
          <w:i w:val="0"/>
          <w:sz w:val="21"/>
        </w:rPr>
        <w:t>The model misses a high-risk Low-income customer almost twice as often as a Medium or High-income one. Because the costly error is the false negative, this disparity falls on the group least able to absorb it. We report it as a known limitation rather than hide it behind the high overall accuracy, and we recommend a subgroup-aware threshold before the model drives real decisions. Our recommendation would change if the seed noise were shown to exceed 0.01, or if a subgroup-aware threshold closed the gap without lowering overall PR-AUC.</w:t>
      </w:r>
    </w:p>
    <w:p>
      <w:pPr>
        <w:spacing w:before="280" w:after="120"/>
        <w:pBdr>
          <w:bottom w:val="single" w:sz="6" w:space="2" w:color="2E8B9A"/>
        </w:pBdr>
      </w:pPr>
      <w:r>
        <w:rPr>
          <w:rFonts w:ascii="Calibri" w:hAnsi="Calibri"/>
          <w:b/>
          <w:color w:val="1F3A5F"/>
          <w:sz w:val="30"/>
        </w:rPr>
        <w:t>10  Lifecycle Mapping (Task 1)</w:t>
      </w:r>
    </w:p>
    <w:tbl>
      <w:tblPr>
        <w:tblStyle w:val="TableGrid"/>
        <w:tblW w:type="auto" w:w="0"/>
        <w:jc w:val="center"/>
        <w:tblLook w:firstColumn="1" w:firstRow="1" w:lastColumn="0" w:lastRow="0" w:noHBand="0" w:noVBand="1" w:val="04A0"/>
      </w:tblPr>
      <w:tblGrid>
        <w:gridCol w:w="4968"/>
        <w:gridCol w:w="4968"/>
      </w:tblGrid>
      <w:tr>
        <w:tc>
          <w:tcPr>
            <w:tcW w:type="dxa" w:w="2736"/>
            <w:shd w:val="clear" w:color="auto" w:fill="1F3A5F"/>
          </w:tcPr>
          <w:p>
            <w:r/>
            <w:r>
              <w:rPr>
                <w:rFonts w:ascii="Calibri" w:hAnsi="Calibri"/>
                <w:b/>
                <w:color w:val="FFFFFF"/>
                <w:sz w:val="19"/>
              </w:rPr>
              <w:t>DevOps stage</w:t>
            </w:r>
          </w:p>
        </w:tc>
        <w:tc>
          <w:tcPr>
            <w:tcW w:type="dxa" w:w="7056"/>
            <w:shd w:val="clear" w:color="auto" w:fill="1F3A5F"/>
          </w:tcPr>
          <w:p>
            <w:r/>
            <w:r>
              <w:rPr>
                <w:rFonts w:ascii="Calibri" w:hAnsi="Calibri"/>
                <w:b/>
                <w:color w:val="FFFFFF"/>
                <w:sz w:val="19"/>
              </w:rPr>
              <w:t>In this project</w:t>
            </w:r>
          </w:p>
        </w:tc>
      </w:tr>
      <w:tr>
        <w:tc>
          <w:tcPr>
            <w:tcW w:type="dxa" w:w="2736"/>
            <w:shd w:val="clear" w:color="auto" w:fill="FFFFFF"/>
          </w:tcPr>
          <w:p>
            <w:r/>
            <w:r>
              <w:rPr>
                <w:rFonts w:ascii="Calibri" w:hAnsi="Calibri"/>
                <w:b w:val="0"/>
                <w:sz w:val="19"/>
              </w:rPr>
              <w:t>Plan</w:t>
            </w:r>
          </w:p>
        </w:tc>
        <w:tc>
          <w:tcPr>
            <w:tcW w:type="dxa" w:w="7056"/>
            <w:shd w:val="clear" w:color="auto" w:fill="FFFFFF"/>
          </w:tcPr>
          <w:p>
            <w:r/>
            <w:r>
              <w:rPr>
                <w:rFonts w:ascii="Calibri" w:hAnsi="Calibri"/>
                <w:b w:val="0"/>
                <w:sz w:val="19"/>
              </w:rPr>
              <w:t>Metric choice and gate design, this report.</w:t>
            </w:r>
          </w:p>
        </w:tc>
      </w:tr>
      <w:tr>
        <w:tc>
          <w:tcPr>
            <w:tcW w:type="dxa" w:w="2736"/>
            <w:shd w:val="clear" w:color="auto" w:fill="F4F7FA"/>
          </w:tcPr>
          <w:p>
            <w:r/>
            <w:r>
              <w:rPr>
                <w:rFonts w:ascii="Calibri" w:hAnsi="Calibri"/>
                <w:b w:val="0"/>
                <w:sz w:val="19"/>
              </w:rPr>
              <w:t>Code</w:t>
            </w:r>
          </w:p>
        </w:tc>
        <w:tc>
          <w:tcPr>
            <w:tcW w:type="dxa" w:w="7056"/>
            <w:shd w:val="clear" w:color="auto" w:fill="F4F7FA"/>
          </w:tcPr>
          <w:p>
            <w:r/>
            <w:r>
              <w:rPr>
                <w:rFonts w:ascii="Calibri" w:hAnsi="Calibri"/>
                <w:b w:val="0"/>
                <w:sz w:val="19"/>
              </w:rPr>
              <w:t>The credit_risk package.</w:t>
            </w:r>
          </w:p>
        </w:tc>
      </w:tr>
      <w:tr>
        <w:tc>
          <w:tcPr>
            <w:tcW w:type="dxa" w:w="2736"/>
            <w:shd w:val="clear" w:color="auto" w:fill="FFFFFF"/>
          </w:tcPr>
          <w:p>
            <w:r/>
            <w:r>
              <w:rPr>
                <w:rFonts w:ascii="Calibri" w:hAnsi="Calibri"/>
                <w:b w:val="0"/>
                <w:sz w:val="19"/>
              </w:rPr>
              <w:t>Build</w:t>
            </w:r>
          </w:p>
        </w:tc>
        <w:tc>
          <w:tcPr>
            <w:tcW w:type="dxa" w:w="7056"/>
            <w:shd w:val="clear" w:color="auto" w:fill="FFFFFF"/>
          </w:tcPr>
          <w:p>
            <w:r/>
            <w:r>
              <w:rPr>
                <w:rFonts w:ascii="Calibri" w:hAnsi="Calibri"/>
                <w:b w:val="0"/>
                <w:sz w:val="19"/>
              </w:rPr>
              <w:t>requirements.txt and dvc pull.</w:t>
            </w:r>
          </w:p>
        </w:tc>
      </w:tr>
      <w:tr>
        <w:tc>
          <w:tcPr>
            <w:tcW w:type="dxa" w:w="2736"/>
            <w:shd w:val="clear" w:color="auto" w:fill="F4F7FA"/>
          </w:tcPr>
          <w:p>
            <w:r/>
            <w:r>
              <w:rPr>
                <w:rFonts w:ascii="Calibri" w:hAnsi="Calibri"/>
                <w:b w:val="0"/>
                <w:sz w:val="19"/>
              </w:rPr>
              <w:t>Test</w:t>
            </w:r>
          </w:p>
        </w:tc>
        <w:tc>
          <w:tcPr>
            <w:tcW w:type="dxa" w:w="7056"/>
            <w:shd w:val="clear" w:color="auto" w:fill="F4F7FA"/>
          </w:tcPr>
          <w:p>
            <w:r/>
            <w:r>
              <w:rPr>
                <w:rFonts w:ascii="Calibri" w:hAnsi="Calibri"/>
                <w:b w:val="0"/>
                <w:sz w:val="19"/>
              </w:rPr>
              <w:t>pytest plus the quality gate.</w:t>
            </w:r>
          </w:p>
        </w:tc>
      </w:tr>
      <w:tr>
        <w:tc>
          <w:tcPr>
            <w:tcW w:type="dxa" w:w="2736"/>
            <w:shd w:val="clear" w:color="auto" w:fill="FFFFFF"/>
          </w:tcPr>
          <w:p>
            <w:r/>
            <w:r>
              <w:rPr>
                <w:rFonts w:ascii="Calibri" w:hAnsi="Calibri"/>
                <w:b w:val="0"/>
                <w:sz w:val="19"/>
              </w:rPr>
              <w:t>Release</w:t>
            </w:r>
          </w:p>
        </w:tc>
        <w:tc>
          <w:tcPr>
            <w:tcW w:type="dxa" w:w="7056"/>
            <w:shd w:val="clear" w:color="auto" w:fill="FFFFFF"/>
          </w:tcPr>
          <w:p>
            <w:r/>
            <w:r>
              <w:rPr>
                <w:rFonts w:ascii="Calibri" w:hAnsi="Calibri"/>
                <w:b w:val="0"/>
                <w:sz w:val="19"/>
              </w:rPr>
              <w:t>Model selection and the MLflow registry.</w:t>
            </w:r>
          </w:p>
        </w:tc>
      </w:tr>
      <w:tr>
        <w:tc>
          <w:tcPr>
            <w:tcW w:type="dxa" w:w="2736"/>
            <w:shd w:val="clear" w:color="auto" w:fill="F4F7FA"/>
          </w:tcPr>
          <w:p>
            <w:r/>
            <w:r>
              <w:rPr>
                <w:rFonts w:ascii="Calibri" w:hAnsi="Calibri"/>
                <w:b w:val="0"/>
                <w:sz w:val="19"/>
              </w:rPr>
              <w:t>Deploy</w:t>
            </w:r>
          </w:p>
        </w:tc>
        <w:tc>
          <w:tcPr>
            <w:tcW w:type="dxa" w:w="7056"/>
            <w:shd w:val="clear" w:color="auto" w:fill="F4F7FA"/>
          </w:tcPr>
          <w:p>
            <w:r/>
            <w:r>
              <w:rPr>
                <w:rFonts w:ascii="Calibri" w:hAnsi="Calibri"/>
                <w:b w:val="0"/>
                <w:sz w:val="19"/>
              </w:rPr>
              <w:t>Accepting a model past the gate on merge.</w:t>
            </w:r>
          </w:p>
        </w:tc>
      </w:tr>
      <w:tr>
        <w:tc>
          <w:tcPr>
            <w:tcW w:type="dxa" w:w="2736"/>
            <w:shd w:val="clear" w:color="auto" w:fill="FFFFFF"/>
          </w:tcPr>
          <w:p>
            <w:r/>
            <w:r>
              <w:rPr>
                <w:rFonts w:ascii="Calibri" w:hAnsi="Calibri"/>
                <w:b w:val="0"/>
                <w:sz w:val="19"/>
              </w:rPr>
              <w:t>Operate</w:t>
            </w:r>
          </w:p>
        </w:tc>
        <w:tc>
          <w:tcPr>
            <w:tcW w:type="dxa" w:w="7056"/>
            <w:shd w:val="clear" w:color="auto" w:fill="FFFFFF"/>
          </w:tcPr>
          <w:p>
            <w:r/>
            <w:r>
              <w:rPr>
                <w:rFonts w:ascii="Calibri" w:hAnsi="Calibri"/>
                <w:b w:val="0"/>
                <w:sz w:val="19"/>
              </w:rPr>
              <w:t>Retraining on v2 through the same pipeline.</w:t>
            </w:r>
          </w:p>
        </w:tc>
      </w:tr>
      <w:tr>
        <w:tc>
          <w:tcPr>
            <w:tcW w:type="dxa" w:w="2736"/>
            <w:shd w:val="clear" w:color="auto" w:fill="F4F7FA"/>
          </w:tcPr>
          <w:p>
            <w:r/>
            <w:r>
              <w:rPr>
                <w:rFonts w:ascii="Calibri" w:hAnsi="Calibri"/>
                <w:b w:val="0"/>
                <w:sz w:val="19"/>
              </w:rPr>
              <w:t>Monitor</w:t>
            </w:r>
          </w:p>
        </w:tc>
        <w:tc>
          <w:tcPr>
            <w:tcW w:type="dxa" w:w="7056"/>
            <w:shd w:val="clear" w:color="auto" w:fill="F4F7FA"/>
          </w:tcPr>
          <w:p>
            <w:r/>
            <w:r>
              <w:rPr>
                <w:rFonts w:ascii="Calibri" w:hAnsi="Calibri"/>
                <w:b w:val="0"/>
                <w:sz w:val="19"/>
              </w:rPr>
              <w:t>Run history and the income subgroup check.</w:t>
            </w:r>
          </w:p>
        </w:tc>
      </w:tr>
    </w:tbl>
    <w:p>
      <w:pPr>
        <w:spacing w:after="40"/>
      </w:pPr>
    </w:p>
    <w:p>
      <w:pPr>
        <w:spacing w:after="120" w:before="80"/>
      </w:pPr>
      <w:r>
        <w:rPr>
          <w:rFonts w:ascii="Calibri" w:hAnsi="Calibri"/>
          <w:b w:val="0"/>
          <w:i w:val="0"/>
          <w:sz w:val="21"/>
        </w:rPr>
        <w:t>Three ways ML delivery differs from ordinary software delivery: correctness is statistical and judged against a baseline rather than pass or fail, data is a versioned input that changes behaviour so it must be versioned with the code, and experiments are artefacts worth keeping and comparing. We intentionally leave out a live serving endpoint, continuous drift monitoring and cloud provisioning, because the brief forbids paid infrastructure and the deploy stage here is acceptance past the gate.</w:t>
      </w:r>
    </w:p>
    <w:p>
      <w:pPr>
        <w:spacing w:before="280" w:after="120"/>
        <w:pBdr>
          <w:bottom w:val="single" w:sz="6" w:space="2" w:color="2E8B9A"/>
        </w:pBdr>
      </w:pPr>
      <w:r>
        <w:rPr>
          <w:rFonts w:ascii="Calibri" w:hAnsi="Calibri"/>
          <w:b/>
          <w:color w:val="1F3A5F"/>
          <w:sz w:val="30"/>
        </w:rPr>
        <w:t>11  Reproducibility, Limitations and Conclusion</w:t>
      </w:r>
    </w:p>
    <w:p>
      <w:pPr>
        <w:pStyle w:val="ListBullet"/>
        <w:spacing w:after="60"/>
      </w:pPr>
      <w:r>
        <w:rPr>
          <w:rFonts w:ascii="Calibri" w:hAnsi="Calibri"/>
          <w:sz w:val="21"/>
        </w:rPr>
        <w:t>Everything runs from a fresh clone: pip install, dvc pull, pytest, run the training and the gate. The README gives the exact commands.</w:t>
      </w:r>
    </w:p>
    <w:p>
      <w:pPr>
        <w:pStyle w:val="ListBullet"/>
        <w:spacing w:after="60"/>
      </w:pPr>
      <w:r>
        <w:rPr>
          <w:rFonts w:ascii="Calibri" w:hAnsi="Calibri"/>
          <w:sz w:val="21"/>
        </w:rPr>
        <w:t>No secrets are committed, and every number reported traces to a tracked run that records the git commit and data version.</w:t>
      </w:r>
    </w:p>
    <w:p>
      <w:pPr>
        <w:pStyle w:val="ListBullet"/>
        <w:spacing w:after="60"/>
      </w:pPr>
      <w:r>
        <w:rPr>
          <w:rFonts w:ascii="Calibri" w:hAnsi="Calibri"/>
          <w:sz w:val="21"/>
        </w:rPr>
        <w:t>Pinned versions in requirements.txt let the CI runner reproduce the same metrics that produced the baseline.</w:t>
      </w:r>
    </w:p>
    <w:p>
      <w:pPr>
        <w:spacing w:after="120" w:before="80"/>
      </w:pPr>
      <w:r>
        <w:rPr>
          <w:rFonts w:ascii="Calibri" w:hAnsi="Calibri"/>
          <w:b w:val="0"/>
          <w:i w:val="0"/>
          <w:sz w:val="21"/>
        </w:rPr>
        <w:t>Limitations we are honest about: the v2 improvement is not yet proven above noise, and the model is weaker for low-income customers. Both are stated with numbers rather than smoothed over. The workflow does what the risk team asked. It blocks worse models and failing tests, keeps a full and traceable experiment log, and defends its gate rule and threshold with evidence from its own runs.</w:t>
      </w:r>
    </w:p>
    <w:p>
      <w:r>
        <w:br w:type="page"/>
      </w:r>
    </w:p>
    <w:p>
      <w:pPr>
        <w:spacing w:before="280" w:after="120"/>
        <w:pBdr>
          <w:bottom w:val="single" w:sz="6" w:space="2" w:color="2E8B9A"/>
        </w:pBdr>
      </w:pPr>
      <w:r>
        <w:rPr>
          <w:rFonts w:ascii="Calibri" w:hAnsi="Calibri"/>
          <w:b/>
          <w:color w:val="1F3A5F"/>
          <w:sz w:val="30"/>
        </w:rPr>
        <w:t>Appendix: Screenshot Checklist</w:t>
      </w:r>
    </w:p>
    <w:p>
      <w:pPr>
        <w:spacing w:after="120" w:before="0"/>
      </w:pPr>
      <w:r>
        <w:rPr>
          <w:rFonts w:ascii="Calibri" w:hAnsi="Calibri"/>
          <w:b w:val="0"/>
          <w:i w:val="0"/>
          <w:sz w:val="21"/>
        </w:rPr>
        <w:t>Capture these on the submission machine and paste them into the figure boxes above.</w:t>
      </w:r>
    </w:p>
    <w:p>
      <w:pPr>
        <w:pStyle w:val="ListBullet"/>
        <w:spacing w:after="60"/>
      </w:pPr>
      <w:r>
        <w:rPr>
          <w:rFonts w:ascii="Calibri" w:hAnsi="Calibri"/>
          <w:sz w:val="21"/>
        </w:rPr>
        <w:t>Figure 1: terminal with git log --oneline and dvc status in the repo folder.</w:t>
      </w:r>
    </w:p>
    <w:p>
      <w:pPr>
        <w:pStyle w:val="ListBullet"/>
        <w:spacing w:after="60"/>
      </w:pPr>
      <w:r>
        <w:rPr>
          <w:rFonts w:ascii="Calibri" w:hAnsi="Calibri"/>
          <w:sz w:val="21"/>
        </w:rPr>
        <w:t>Figure 2: the validation error from a broken config (test_size: 5.0).</w:t>
      </w:r>
    </w:p>
    <w:p>
      <w:pPr>
        <w:pStyle w:val="ListBullet"/>
        <w:spacing w:after="60"/>
      </w:pPr>
      <w:r>
        <w:rPr>
          <w:rFonts w:ascii="Calibri" w:hAnsi="Calibri"/>
          <w:sz w:val="21"/>
        </w:rPr>
        <w:t>Figure 3: MLflow UI run table sorted by average_precision, and the registered model page.</w:t>
      </w:r>
    </w:p>
    <w:p>
      <w:pPr>
        <w:pStyle w:val="ListBullet"/>
        <w:spacing w:after="60"/>
      </w:pPr>
      <w:r>
        <w:rPr>
          <w:rFonts w:ascii="Calibri" w:hAnsi="Calibri"/>
          <w:sz w:val="21"/>
        </w:rPr>
        <w:t>Figure 4: the GitHub Pull requests tab (one green, two red) and a gate summary from a failing run.</w:t>
      </w:r>
    </w:p>
    <w:p>
      <w:pPr>
        <w:spacing w:after="120" w:before="80"/>
      </w:pPr>
      <w:r>
        <w:rPr>
          <w:rFonts w:ascii="Calibri" w:hAnsi="Calibri"/>
          <w:b w:val="0"/>
          <w:i w:val="0"/>
          <w:sz w:val="21"/>
        </w:rPr>
        <w:t>To add an image in Word: click inside a figure box, delete the placeholder line, then Insert, Pictures, This Device, and pick the screenshot. Export the finished report with File, Save As, PDF.</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