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https://services.austintexas.gov/edims/document.cfm?id=416139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^ Results of an audit conducted on Austin Energy’s practices on maintaining trees. Found Austin Energy has poorly maintained their trees.</w:t>
        <w:br w:type="textWrapping"/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https://communityimpact.com/austin/central-austin/government/2023/09/27/austin-energy-aims-to-ramp-up-tree-trimming-after-years-of-playing-catch-up/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^ New goals and regulations around trees place Austin above the Industry Standard.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ervices.austintexas.gov/edims/document.cfm?id=416139" TargetMode="External"/><Relationship Id="rId7" Type="http://schemas.openxmlformats.org/officeDocument/2006/relationships/hyperlink" Target="https://communityimpact.com/austin/central-austin/government/2023/09/27/austin-energy-aims-to-ramp-up-tree-trimming-after-years-of-playing-catch-u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