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ADITYA PAGARE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4F6B"/>
          <w:sz w:val="18"/>
          <w:szCs w:val="18"/>
        </w:rPr>
        <w:t xml:space="preserve">Edge AI Engineer  |  Embedded Systems  |  On-Device AI  |  Real-Time Systems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Email: adityapaagare619@gmail.com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|  Phone: +91 7875292693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|  GitHub: github.com/AdityaPagare619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|  Portfolio: adihub.framer.website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LinkedIn: linkedin.com/in/aditya-pagare-891606285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|  Location: Pune, India</w:t>
      </w:r>
    </w:p>
    <w:p>
      <w:pPr>
        <w:pBdr>
          <w:bottom w:val="single" w:color="2E4F6B" w:sz="6" w:space="2"/>
        </w:pBdr>
        <w:spacing w:after="40" w:before="90"/>
      </w:pPr>
      <w:r>
        <w:rPr>
          <w:rFonts w:ascii="Arial" w:cs="Arial" w:eastAsia="Arial" w:hAnsi="Arial"/>
          <w:b/>
          <w:bCs/>
          <w:color w:val="2E4F6B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Applied AI and embedded systems engineer with 3+ years of engineering practice spanning independent client delivery, applied research, and on-device AI runtimes — approaching every problem from hardware constraints first: latency budgets, memory bounds, and real-time guarantees as engineering inputs, not limitations to design around. Builds sensor-fusion pipelines, edge-inference systems, and safety-critical embedded architectures across phone-class hardware, wearables, and robotics platforms. Moves fast across unfamiliar embedded domains and translates hardware-level constraints into shippable AI systems.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4F6B"/>
          <w:sz w:val="18"/>
          <w:szCs w:val="18"/>
        </w:rPr>
        <w:t xml:space="preserve">Outcomes: 116K-line Rust/Android on-device AI runtime • 0.93 wearable edge-ML benchmark • 95.0% NHTSA-validated crash detection</w:t>
      </w:r>
    </w:p>
    <w:p>
      <w:pPr>
        <w:pBdr>
          <w:bottom w:val="single" w:color="2E4F6B" w:sz="6" w:space="2"/>
        </w:pBdr>
        <w:spacing w:after="40" w:before="90"/>
      </w:pPr>
      <w:r>
        <w:rPr>
          <w:rFonts w:ascii="Arial" w:cs="Arial" w:eastAsia="Arial" w:hAnsi="Arial"/>
          <w:b/>
          <w:bCs/>
          <w:color w:val="2E4F6B"/>
          <w:sz w:val="20"/>
          <w:szCs w:val="20"/>
        </w:rPr>
        <w:t xml:space="preserve">CORE SKILLS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Edge AI &amp; Embedded Systems: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Edge AI, on-device AI, on-device inference, model quantization, latency/memory profiling; embedded systems, RTOS, real-time systems, microcontrollers, embedded Linux; Android/JNI, Raspberry Pi, Arduino, ESP32; sensor fusion (IMU/ToF/thermal), OBD-II telemetry, signal processing, multimodal data processing.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AI/ML Engineering: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Machine Learning, Deep Learning, Computer Vision, Natural Language Processing (NLP); PyTorch, TensorFlow Lite (TFLite), scikit-learn; model training, transfer learning, model evaluation, benchmark design, ablation studies, error analysis, reproducibility.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Languages &amp; Systems Programming: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Python, C/C++, Rust, Kotlin, TypeScript, SQL, Bash, Linux; systems programming, memory management, concurrency; cryptographic systems (AES-256-GCM, SHA-256/HMAC); Git, GitHub Actions, CI/CD.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AI Systems Architecture &amp; Delivery: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Systems design, AI pipeline architecture, API design, FastAPI, REST APIs; SQLite, vector retrieval (HNSW/FTS5); safety-critical system design, performance optimization, technical documentation; solution scoping, rapid prototyping, stakeholder communication, client delivery.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Generative AI &amp; LLM Systems: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Generative AI, Large Language Models (LLMs), Retrieval-Augmented Generation (RAG), embeddings, semantic search, vector databases, Prompt Engineering, tool calling, function calling, agent workflows (ReAct/BDI), structured outputs, LLM evaluation.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Research &amp; Technical Leadership: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Benchmark design, ablation studies, safety validation, technical writing, manuscript preparation; cross-functional project ownership, research leadership, independent technical decision-making, first-principles problem solving.</w:t>
      </w:r>
    </w:p>
    <w:p>
      <w:pPr>
        <w:pBdr>
          <w:bottom w:val="single" w:color="2E4F6B" w:sz="6" w:space="2"/>
        </w:pBdr>
        <w:spacing w:after="40" w:before="90"/>
      </w:pPr>
      <w:r>
        <w:rPr>
          <w:rFonts w:ascii="Arial" w:cs="Arial" w:eastAsia="Arial" w:hAnsi="Arial"/>
          <w:b/>
          <w:bCs/>
          <w:color w:val="2E4F6B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after="1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Applied AI Research Engineer, Nutan College of Engineering &amp; Research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Jan 2026 – Jun 2026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Pune, India  |  Applied crash intelligence for insurance/fleet evidence trust  |  NHTSA CISS validation  |  IJVSS journal-track manuscript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Defined VISTA applied-AI research requirements for crash-evidence trust, translating sensor, forensic, insurance, and fleet inputs into measurable validation objectives and manuscript-ready system requirements.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Built the validation layer across CrashBench outputs, 100+ vehicle observations, NHTSA CISS crash-pulse data, and simulations; achieved 95.0% crash detection and 11.98 km/h Delta-V MAE.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Designed a tamper-evident evidence architecture linking inertial sensing, OBD-II, audio/visual corroboration, and SHA-256/HMAC verification so crash outputs were reproducible, reviewable, and insurance-ready.</w:t>
      </w:r>
    </w:p>
    <w:p>
      <w:pPr>
        <w:tabs>
          <w:tab w:val="right" w:pos="9026"/>
        </w:tabs>
        <w:spacing w:after="1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AI Systems Engineer, PageAI Systems (Independent Practice)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Feb 2023 – Nov 2025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Pune, India  |  Independent AI engineering practice — voice AI automation, client platforms, and microservice delivery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Developed and implemented voice AI automation for 15+ client workflows, including real estate sales calls, lead qualification, property matching, CRM handoff, and escalation.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Architected and deployed cost-controlled LLM automation strategies across 15+ client systems, standardizing 6 reusable integration layers for voice/LLM wrappers, prompt orchestration, structured extraction, deterministic routing, dashboards, and REST/API handoffs.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Delivered 15+ client-facing AI automation and web systems, including a 6-microservice adaptive assessment platform with FastAPI, Node.js, PostgreSQL, Redis, Docker, and Bayesian Knowledge Tracing.</w:t>
      </w:r>
    </w:p>
    <w:p>
      <w:pPr>
        <w:pBdr>
          <w:bottom w:val="single" w:color="2E4F6B" w:sz="6" w:space="2"/>
        </w:pBdr>
        <w:spacing w:after="40" w:before="90"/>
      </w:pPr>
      <w:r>
        <w:rPr>
          <w:rFonts w:ascii="Arial" w:cs="Arial" w:eastAsia="Arial" w:hAnsi="Arial"/>
          <w:b/>
          <w:bCs/>
          <w:color w:val="2E4F6B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1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AURA — Privacy-Sovereign On-Device AI Agent Runtime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Mar 2026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Rust, Android/Kotlin, local LLM inference, SQLite, vector search, full-text retrieval, JNI, agent workflows  |  Private alpha — architecture docs &amp; demo available on request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2E4F6B"/>
          <w:sz w:val="16"/>
          <w:szCs w:val="16"/>
        </w:rPr>
        <w:t xml:space="preserve">Headline metric: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116K LOC and 2,051 tests; Rust/Android AI runtime built for privacy-preserving execution on phone-class hardware.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Developed an on-device AI agent for reminders, routines, messages, and app actions, keeping personal context local while targeting under 500 MB RAM on phone-class hardware.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Built a hybrid deterministic-plus-LLM execution engine with sub-10 ms deterministic matching for repeat intents, LLM reasoning for novel requests, typed action contracts, rollback paths, and side-effect isolation.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Secured private memory with SQLite, vector/full-text retrieval, AES-256-GCM/Argon2id vaulting, consent gates, and attention-protection policies.</w:t>
      </w:r>
    </w:p>
    <w:p>
      <w:pPr>
        <w:tabs>
          <w:tab w:val="right" w:pos="9026"/>
        </w:tabs>
        <w:spacing w:after="1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BFRB Sense — Wearable Behavior Recognition Edge AI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May 2025 – Sep 2025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Python, PyTorch, Polars, SciPy, IMU/ToF/thermal, CNN-SE-GRU, 3D CNN, TFLite  |  Faculty-guided prototype — Child Mind Institute dataset — 0.93 internal vs 0.88 baseline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Spearheaded ML-system design for a wearable edge-AI prototype targeting early BFRB intervention, converting multimodal IMU/ToF/thermal sensor streams into 18-class behavior recognition on the Child Mind Institute dataset.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Re-engineered the data layer around signal validity (quaternion repair, handedness canonicalization, ToF symmetry, robust scaling) and trained modality-aware CNN-SE-GRU/3D-CNN ensembles, lifting score from 0.88 to 0.93 with TFLite artifacts for edge inference.</w:t>
      </w:r>
    </w:p>
    <w:p>
      <w:pPr>
        <w:tabs>
          <w:tab w:val="right" w:pos="9026"/>
        </w:tabs>
        <w:spacing w:after="1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Bio-Inspired Walking Rover — Edge Robotics &amp; Real-Time Control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Feb 2026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Raspberry Pi, Arduino, browser telemetry, voice-command parsing  |  Cross-functional contribution — Theo Jansen-style walking rover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Engineered and validated the rover’s control stack across Raspberry Pi edge control, Arduino motor/sensor loops, and voice-command parsing, converting rough-terrain behavior into engineering constraints alongside robotics, controls, and software teams.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Validated field readiness across 5 surfaces: sub-100 ms control latency, 4.00 Hz telemetry, 115–132 ms obstacle response, 2.9% ultrasonic error, and voice-parser accuracy lifted from 88.93% to 95.61%.</w:t>
      </w:r>
    </w:p>
    <w:p>
      <w:pPr>
        <w:pBdr>
          <w:bottom w:val="single" w:color="2E4F6B" w:sz="6" w:space="2"/>
        </w:pBdr>
        <w:spacing w:after="40" w:before="90"/>
      </w:pPr>
      <w:r>
        <w:rPr>
          <w:rFonts w:ascii="Arial" w:cs="Arial" w:eastAsia="Arial" w:hAnsi="Arial"/>
          <w:b/>
          <w:bCs/>
          <w:color w:val="2E4F6B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1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Bachelor of Technology, Electronics &amp; Telecommunication Engineering, PCET’s Nutan College of Engineering &amp; Research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Aug 2022 – Jun 2026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Pune, India  |  Focus: edge AI systems, embedded systems, AI/ML frameworks, IoT, signal processing, sensors, and microcontrollers</w:t>
      </w:r>
    </w:p>
    <w:p>
      <w:pPr>
        <w:pBdr>
          <w:bottom w:val="single" w:color="2E4F6B" w:sz="6" w:space="2"/>
        </w:pBdr>
        <w:spacing w:after="40" w:before="90"/>
      </w:pPr>
      <w:r>
        <w:rPr>
          <w:rFonts w:ascii="Arial" w:cs="Arial" w:eastAsia="Arial" w:hAnsi="Arial"/>
          <w:b/>
          <w:bCs/>
          <w:color w:val="2E4F6B"/>
          <w:sz w:val="20"/>
          <w:szCs w:val="20"/>
        </w:rPr>
        <w:t xml:space="preserve">AWARDS, LEADERSHIP AND RECOGNITION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Research leadership: First-author VISTA manuscript submitted to IJVSS; translated crash-safety evidence needs into NHTSA CISS-validated AI results with 95.0% detection and 11.98 km/h Delta-V MAE.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Product innovation: INR 10,000 prize recognition for AI sign language to speech prototype combining computer vision, speech, and LLM-assisted interaction.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Technical leadership: Nutan Incubation Centre participant, technical hackathon host, open-source contributor, developer-community participant, and cross-functional demo/documentation owner.</w:t>
      </w:r>
    </w:p>
    <w:sectPr>
      <w:pgSz w:w="12240" w:h="15840" w:orient="portrait"/>
      <w:pgMar w:top="460" w:right="580" w:bottom="40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2026-06-30T11:11:38.443Z</dcterms:created>
  <dcterms:modified xsi:type="dcterms:W3CDTF">2026-06-30T11:11:38.443Z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