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ResumeIQ</w:t>
      </w:r>
    </w:p>
    <w:p>
      <w:pPr>
        <w:spacing w:after="800" w:before="200"/>
        <w:jc w:val="center"/>
      </w:pPr>
      <w:r>
        <w:rPr>
          <w:color w:val="4F46E5"/>
          <w:sz w:val="32"/>
          <w:szCs w:val="32"/>
        </w:rPr>
        <w:t xml:space="preserve">AI-Powered Resume Analyzer</w:t>
      </w:r>
    </w:p>
    <w:p>
      <w:pPr>
        <w:spacing w:after="120"/>
        <w:jc w:val="center"/>
      </w:pPr>
      <w:r>
        <w:rPr>
          <w:sz w:val="24"/>
          <w:szCs w:val="24"/>
        </w:rPr>
        <w:t xml:space="preserve">Capstone Project Report</w:t>
      </w:r>
    </w:p>
    <w:p>
      <w:pPr>
        <w:spacing w:after="60"/>
        <w:jc w:val="center"/>
      </w:pPr>
      <w:r>
        <w:rPr>
          <w:i/>
          <w:iCs/>
          <w:sz w:val="22"/>
          <w:szCs w:val="22"/>
        </w:rPr>
        <w:t xml:space="preserve">[Your Name]</w:t>
      </w:r>
    </w:p>
    <w:p>
      <w:pPr>
        <w:spacing w:after="60"/>
        <w:jc w:val="center"/>
      </w:pPr>
      <w:r>
        <w:rPr>
          <w:i/>
          <w:iCs/>
          <w:sz w:val="22"/>
          <w:szCs w:val="22"/>
        </w:rPr>
        <w:t xml:space="preserve">[Course / Institution]</w:t>
      </w:r>
    </w:p>
    <w:p>
      <w:pPr>
        <w:spacing w:after="600"/>
        <w:jc w:val="center"/>
      </w:pPr>
      <w:r>
        <w:rPr>
          <w:i/>
          <w:iCs/>
          <w:sz w:val="22"/>
          <w:szCs w:val="22"/>
        </w:rPr>
        <w:t xml:space="preserve">[Submission Date]</w:t>
      </w:r>
    </w:p>
    <w:p>
      <w:pPr>
        <w:spacing w:after="80"/>
        <w:jc w:val="center"/>
      </w:pPr>
      <w:r>
        <w:rPr>
          <w:b/>
          <w:bCs/>
          <w:sz w:val="20"/>
          <w:szCs w:val="20"/>
        </w:rPr>
        <w:t xml:space="preserve">Live app: </w:t>
      </w:r>
      <w:hyperlink w:history="1" r:id="rId9yn3ltmq9awlzhhryiyum">
        <w:r>
          <w:rPr>
            <w:rStyle w:val="Hyperlink"/>
            <w:sz w:val="20"/>
            <w:szCs w:val="20"/>
          </w:rPr>
          <w:t xml:space="preserve">resumeiq-s3xc.onrender.com</w:t>
        </w:r>
      </w:hyperlink>
    </w:p>
    <w:p>
      <w:pPr>
        <w:jc w:val="center"/>
      </w:pPr>
      <w:r>
        <w:rPr>
          <w:b/>
          <w:bCs/>
          <w:sz w:val="20"/>
          <w:szCs w:val="20"/>
        </w:rPr>
        <w:t xml:space="preserve">Repository: </w:t>
      </w:r>
      <w:hyperlink w:history="1" r:id="rId1ekt48p9lgf4f0opcqw0v">
        <w:r>
          <w:rPr>
            <w:rStyle w:val="Hyperlink"/>
            <w:sz w:val="20"/>
            <w:szCs w:val="20"/>
          </w:rPr>
          <w:t xml:space="preserve">github.com/AdityaParthasarathy/resumeiq</w:t>
        </w:r>
      </w:hyperlink>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Abstract</w:t>
      </w:r>
    </w:p>
    <w:p>
      <w:pPr>
        <w:spacing w:after="160"/>
      </w:pPr>
      <w:r>
        <w:t xml:space="preserve">ResumeIQ is a rule-based AI/NLP web application that analyzes resumes and gives job seekers actionable, explainable feedback. A user uploads a PDF or DOCX resume and selects a target role; the system extracts the text, scores the resume out of 100 across six structural categories, checks it against a role-specific ATS keyword bank (with fuzzy and synonym-aware matching), scores the “impact” of each bullet point (action-verb strength, quantified results, passive voice), and synthesizes all three analyses into prioritized, human-readable suggestions -- all on a single dashboard. The system deliberately avoids deep learning, LLM calls, and embeddings, relying instead on classic NLP techniques (regex, spaCy POS/dependency parsing, curated lexicons, and Levenshtein-based fuzzy string matching) so that every scoring decision is traceable to an explicit, inspectable rule.</w:t>
      </w:r>
    </w:p>
    <w:p>
      <w:pPr>
        <w:pStyle w:val="Heading1"/>
        <w:spacing w:after="160" w:before="360"/>
      </w:pPr>
      <w:r>
        <w:t xml:space="preserve">1. Introduction</w:t>
      </w:r>
    </w:p>
    <w:p>
      <w:pPr>
        <w:pStyle w:val="Heading2"/>
        <w:spacing w:after="120" w:before="260"/>
      </w:pPr>
      <w:r>
        <w:t xml:space="preserve">1.1 Problem Statement</w:t>
      </w:r>
    </w:p>
    <w:p>
      <w:pPr>
        <w:spacing w:after="160"/>
      </w:pPr>
      <w:r>
        <w:t xml:space="preserve">Most job seekers have no reliable way to know whether their resume will pass an Applicant Tracking System (ATS) filter, whether their bullet points actually communicate impact, or whether their resume is structurally complete. Generic resume-review tools either give vague, non-actionable feedback or rely on opaque AI models that cannot explain their reasoning. ResumeIQ addresses this by building an analyzer whose every score component is a named, documented rule -- so the feedback is both actionable and defensible.</w:t>
      </w:r>
    </w:p>
    <w:p>
      <w:pPr>
        <w:pStyle w:val="Heading2"/>
        <w:spacing w:after="120" w:before="260"/>
      </w:pPr>
      <w:r>
        <w:t xml:space="preserve">1.2 Objectives</w:t>
      </w:r>
    </w:p>
    <w:p>
      <w:pPr>
        <w:pStyle w:val="ListParagraph"/>
        <w:numPr>
          <w:ilvl w:val="0"/>
          <w:numId w:val="2"/>
        </w:numPr>
        <w:spacing w:after="80"/>
      </w:pPr>
      <w:r>
        <w:t xml:space="preserve">Accept PDF/DOCX resume uploads and reliably extract their text.</w:t>
      </w:r>
    </w:p>
    <w:p>
      <w:pPr>
        <w:pStyle w:val="ListParagraph"/>
        <w:numPr>
          <w:ilvl w:val="0"/>
          <w:numId w:val="2"/>
        </w:numPr>
        <w:spacing w:after="80"/>
      </w:pPr>
      <w:r>
        <w:t xml:space="preserve">Score a resume's completeness out of 100 across structure, skills, education, projects, contact info, and overall completeness.</w:t>
      </w:r>
    </w:p>
    <w:p>
      <w:pPr>
        <w:pStyle w:val="ListParagraph"/>
        <w:numPr>
          <w:ilvl w:val="0"/>
          <w:numId w:val="2"/>
        </w:numPr>
        <w:spacing w:after="80"/>
      </w:pPr>
      <w:r>
        <w:t xml:space="preserve">Compare a resume against a role-specific ATS keyword bank and report gaps, including near-miss matches (synonyms, typos).</w:t>
      </w:r>
    </w:p>
    <w:p>
      <w:pPr>
        <w:pStyle w:val="ListParagraph"/>
        <w:numPr>
          <w:ilvl w:val="0"/>
          <w:numId w:val="2"/>
        </w:numPr>
        <w:spacing w:after="80"/>
      </w:pPr>
      <w:r>
        <w:t xml:space="preserve">Score the “impact” of each resume bullet using action-verb strength, quantified results, and passive-voice detection.</w:t>
      </w:r>
    </w:p>
    <w:p>
      <w:pPr>
        <w:pStyle w:val="ListParagraph"/>
        <w:numPr>
          <w:ilvl w:val="0"/>
          <w:numId w:val="2"/>
        </w:numPr>
        <w:spacing w:after="80"/>
      </w:pPr>
      <w:r>
        <w:t xml:space="preserve">Synthesize all of the above into prioritized, human-readable improvement suggestions.</w:t>
      </w:r>
    </w:p>
    <w:p>
      <w:pPr>
        <w:pStyle w:val="ListParagraph"/>
        <w:numPr>
          <w:ilvl w:val="0"/>
          <w:numId w:val="2"/>
        </w:numPr>
        <w:spacing w:after="80"/>
      </w:pPr>
      <w:r>
        <w:t xml:space="preserve">Present everything on a single interactive dashboard, deployed and publicly accessible.</w:t>
      </w:r>
    </w:p>
    <w:p>
      <w:pPr>
        <w:pStyle w:val="Heading1"/>
        <w:spacing w:after="160" w:before="360"/>
      </w:pPr>
      <w:r>
        <w:t xml:space="preserve">2. System Overview</w:t>
      </w:r>
    </w:p>
    <w:p>
      <w:pPr>
        <w:pStyle w:val="Heading2"/>
        <w:spacing w:after="120" w:before="260"/>
      </w:pPr>
      <w:r>
        <w:t xml:space="preserve">2.1 Architecture</w:t>
      </w:r>
    </w:p>
    <w:p>
      <w:pPr>
        <w:spacing w:after="160"/>
      </w:pPr>
      <w:r>
        <w:t xml:space="preserve">ResumeIQ is a server-rendered Flask application following the app-factory pattern. Routes stay thin -- they validate input, call into a framework-free “services” layer for all NLP/scoring logic, persist results, and render a Jinja2 template. This separation means every scoring algorithm can be unit-tested without a running Flask app or browser.</w:t>
      </w:r>
    </w:p>
    <w:p>
      <w:pPr>
        <w:spacing w:after="160"/>
      </w:pPr>
      <w:r>
        <w:rPr>
          <w:b/>
          <w:bCs/>
        </w:rPr>
        <w:t xml:space="preserve">Request flow:  </w:t>
      </w:r>
      <w:r>
        <w:t xml:space="preserve">Upload form → POST /upload → parser.py (extract text) → Resume row saved → redirect to GET /resume/&lt;id&gt; → scorer.py + ats_matcher.py + impact_score.py run once → feedback.py synthesizes suggestions → Analysis row cached → dashboard rendered.</w:t>
      </w:r>
    </w:p>
    <w:p>
      <w:pPr>
        <w:pStyle w:val="Heading2"/>
        <w:spacing w:after="120" w:before="260"/>
      </w:pPr>
      <w:r>
        <w:t xml:space="preserve">2.2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shd w:fill="EEF2FF" w:val="clear"/>
          </w:tcPr>
          <w:p>
            <w:r>
              <w:rPr>
                <w:b/>
                <w:bCs/>
                <w:sz w:val="20"/>
                <w:szCs w:val="20"/>
              </w:rPr>
              <w:t xml:space="preserve">Layer</w:t>
            </w:r>
          </w:p>
        </w:tc>
        <w:tc>
          <w:tcPr>
            <w:tcW w:type="dxa" w:w="3200"/>
            <w:shd w:fill="EEF2FF" w:val="clear"/>
          </w:tcPr>
          <w:p>
            <w:r>
              <w:rPr>
                <w:b/>
                <w:bCs/>
                <w:sz w:val="20"/>
                <w:szCs w:val="20"/>
              </w:rPr>
              <w:t xml:space="preserve">Choice</w:t>
            </w:r>
          </w:p>
        </w:tc>
        <w:tc>
          <w:tcPr>
            <w:tcW w:type="dxa" w:w="4000"/>
            <w:shd w:fill="EEF2FF" w:val="clear"/>
          </w:tcPr>
          <w:p>
            <w:r>
              <w:rPr>
                <w:b/>
                <w:bCs/>
                <w:sz w:val="20"/>
                <w:szCs w:val="20"/>
              </w:rPr>
              <w:t xml:space="preserve">Why</w:t>
            </w:r>
          </w:p>
        </w:tc>
      </w:tr>
      <w:tr>
        <w:tc>
          <w:tcPr>
            <w:tcW w:type="dxa" w:w="2000"/>
          </w:tcPr>
          <w:p>
            <w:r>
              <w:rPr>
                <w:b w:val="false"/>
                <w:bCs w:val="false"/>
                <w:sz w:val="20"/>
                <w:szCs w:val="20"/>
              </w:rPr>
              <w:t xml:space="preserve">Backend</w:t>
            </w:r>
          </w:p>
        </w:tc>
        <w:tc>
          <w:tcPr>
            <w:tcW w:type="dxa" w:w="3200"/>
          </w:tcPr>
          <w:p>
            <w:r>
              <w:rPr>
                <w:b w:val="false"/>
                <w:bCs w:val="false"/>
                <w:sz w:val="20"/>
                <w:szCs w:val="20"/>
              </w:rPr>
              <w:t xml:space="preserve">Flask (app factory)</w:t>
            </w:r>
          </w:p>
        </w:tc>
        <w:tc>
          <w:tcPr>
            <w:tcW w:type="dxa" w:w="4000"/>
          </w:tcPr>
          <w:p>
            <w:r>
              <w:rPr>
                <w:b w:val="false"/>
                <w:bCs w:val="false"/>
                <w:sz w:val="20"/>
                <w:szCs w:val="20"/>
              </w:rPr>
              <w:t xml:space="preserve">Lightweight, explicit, easy to unit test</w:t>
            </w:r>
          </w:p>
        </w:tc>
      </w:tr>
      <w:tr>
        <w:tc>
          <w:tcPr>
            <w:tcW w:type="dxa" w:w="2000"/>
          </w:tcPr>
          <w:p>
            <w:r>
              <w:rPr>
                <w:b w:val="false"/>
                <w:bCs w:val="false"/>
                <w:sz w:val="20"/>
                <w:szCs w:val="20"/>
              </w:rPr>
              <w:t xml:space="preserve">NLP</w:t>
            </w:r>
          </w:p>
        </w:tc>
        <w:tc>
          <w:tcPr>
            <w:tcW w:type="dxa" w:w="3200"/>
          </w:tcPr>
          <w:p>
            <w:r>
              <w:rPr>
                <w:b w:val="false"/>
                <w:bCs w:val="false"/>
                <w:sz w:val="20"/>
                <w:szCs w:val="20"/>
              </w:rPr>
              <w:t xml:space="preserve">spaCy (en_core_web_sm) + regex</w:t>
            </w:r>
          </w:p>
        </w:tc>
        <w:tc>
          <w:tcPr>
            <w:tcW w:type="dxa" w:w="4000"/>
          </w:tcPr>
          <w:p>
            <w:r>
              <w:rPr>
                <w:b w:val="false"/>
                <w:bCs w:val="false"/>
                <w:sz w:val="20"/>
                <w:szCs w:val="20"/>
              </w:rPr>
              <w:t xml:space="preserve">Statistical POS/dependency parsing without deep-learning scope creep</w:t>
            </w:r>
          </w:p>
        </w:tc>
      </w:tr>
      <w:tr>
        <w:tc>
          <w:tcPr>
            <w:tcW w:type="dxa" w:w="2000"/>
          </w:tcPr>
          <w:p>
            <w:r>
              <w:rPr>
                <w:b w:val="false"/>
                <w:bCs w:val="false"/>
                <w:sz w:val="20"/>
                <w:szCs w:val="20"/>
              </w:rPr>
              <w:t xml:space="preserve">Fuzzy matching</w:t>
            </w:r>
          </w:p>
        </w:tc>
        <w:tc>
          <w:tcPr>
            <w:tcW w:type="dxa" w:w="3200"/>
          </w:tcPr>
          <w:p>
            <w:r>
              <w:rPr>
                <w:b w:val="false"/>
                <w:bCs w:val="false"/>
                <w:sz w:val="20"/>
                <w:szCs w:val="20"/>
              </w:rPr>
              <w:t xml:space="preserve">rapidfuzz</w:t>
            </w:r>
          </w:p>
        </w:tc>
        <w:tc>
          <w:tcPr>
            <w:tcW w:type="dxa" w:w="4000"/>
          </w:tcPr>
          <w:p>
            <w:r>
              <w:rPr>
                <w:b w:val="false"/>
                <w:bCs w:val="false"/>
                <w:sz w:val="20"/>
                <w:szCs w:val="20"/>
              </w:rPr>
              <w:t xml:space="preserve">Fast, well-tested Levenshtein-based string similarity</w:t>
            </w:r>
          </w:p>
        </w:tc>
      </w:tr>
      <w:tr>
        <w:tc>
          <w:tcPr>
            <w:tcW w:type="dxa" w:w="2000"/>
          </w:tcPr>
          <w:p>
            <w:r>
              <w:rPr>
                <w:b w:val="false"/>
                <w:bCs w:val="false"/>
                <w:sz w:val="20"/>
                <w:szCs w:val="20"/>
              </w:rPr>
              <w:t xml:space="preserve">Database</w:t>
            </w:r>
          </w:p>
        </w:tc>
        <w:tc>
          <w:tcPr>
            <w:tcW w:type="dxa" w:w="3200"/>
          </w:tcPr>
          <w:p>
            <w:r>
              <w:rPr>
                <w:b w:val="false"/>
                <w:bCs w:val="false"/>
                <w:sz w:val="20"/>
                <w:szCs w:val="20"/>
              </w:rPr>
              <w:t xml:space="preserve">SQLite via Flask-SQLAlchemy</w:t>
            </w:r>
          </w:p>
        </w:tc>
        <w:tc>
          <w:tcPr>
            <w:tcW w:type="dxa" w:w="4000"/>
          </w:tcPr>
          <w:p>
            <w:r>
              <w:rPr>
                <w:b w:val="false"/>
                <w:bCs w:val="false"/>
                <w:sz w:val="20"/>
                <w:szCs w:val="20"/>
              </w:rPr>
              <w:t xml:space="preserve">Zero-config, sufficient for a single-instance capstone deployment</w:t>
            </w:r>
          </w:p>
        </w:tc>
      </w:tr>
      <w:tr>
        <w:tc>
          <w:tcPr>
            <w:tcW w:type="dxa" w:w="2000"/>
          </w:tcPr>
          <w:p>
            <w:r>
              <w:rPr>
                <w:b w:val="false"/>
                <w:bCs w:val="false"/>
                <w:sz w:val="20"/>
                <w:szCs w:val="20"/>
              </w:rPr>
              <w:t xml:space="preserve">Frontend</w:t>
            </w:r>
          </w:p>
        </w:tc>
        <w:tc>
          <w:tcPr>
            <w:tcW w:type="dxa" w:w="3200"/>
          </w:tcPr>
          <w:p>
            <w:r>
              <w:rPr>
                <w:b w:val="false"/>
                <w:bCs w:val="false"/>
                <w:sz w:val="20"/>
                <w:szCs w:val="20"/>
              </w:rPr>
              <w:t xml:space="preserve">Jinja2 + Tailwind (CDN) + Chart.js</w:t>
            </w:r>
          </w:p>
        </w:tc>
        <w:tc>
          <w:tcPr>
            <w:tcW w:type="dxa" w:w="4000"/>
          </w:tcPr>
          <w:p>
            <w:r>
              <w:rPr>
                <w:b w:val="false"/>
                <w:bCs w:val="false"/>
                <w:sz w:val="20"/>
                <w:szCs w:val="20"/>
              </w:rPr>
              <w:t xml:space="preserve">No build step; fast to iterate</w:t>
            </w:r>
          </w:p>
        </w:tc>
      </w:tr>
      <w:tr>
        <w:tc>
          <w:tcPr>
            <w:tcW w:type="dxa" w:w="2000"/>
          </w:tcPr>
          <w:p>
            <w:r>
              <w:rPr>
                <w:b w:val="false"/>
                <w:bCs w:val="false"/>
                <w:sz w:val="20"/>
                <w:szCs w:val="20"/>
              </w:rPr>
              <w:t xml:space="preserve">Testing</w:t>
            </w:r>
          </w:p>
        </w:tc>
        <w:tc>
          <w:tcPr>
            <w:tcW w:type="dxa" w:w="3200"/>
          </w:tcPr>
          <w:p>
            <w:r>
              <w:rPr>
                <w:b w:val="false"/>
                <w:bCs w:val="false"/>
                <w:sz w:val="20"/>
                <w:szCs w:val="20"/>
              </w:rPr>
              <w:t xml:space="preserve">pytest</w:t>
            </w:r>
          </w:p>
        </w:tc>
        <w:tc>
          <w:tcPr>
            <w:tcW w:type="dxa" w:w="4000"/>
          </w:tcPr>
          <w:p>
            <w:r>
              <w:rPr>
                <w:b w:val="false"/>
                <w:bCs w:val="false"/>
                <w:sz w:val="20"/>
                <w:szCs w:val="20"/>
              </w:rPr>
              <w:t xml:space="preserve">74 tests covering services, routes, and edge cases</w:t>
            </w:r>
          </w:p>
        </w:tc>
      </w:tr>
      <w:tr>
        <w:tc>
          <w:tcPr>
            <w:tcW w:type="dxa" w:w="2000"/>
          </w:tcPr>
          <w:p>
            <w:r>
              <w:rPr>
                <w:b w:val="false"/>
                <w:bCs w:val="false"/>
                <w:sz w:val="20"/>
                <w:szCs w:val="20"/>
              </w:rPr>
              <w:t xml:space="preserve">Deployment</w:t>
            </w:r>
          </w:p>
        </w:tc>
        <w:tc>
          <w:tcPr>
            <w:tcW w:type="dxa" w:w="3200"/>
          </w:tcPr>
          <w:p>
            <w:r>
              <w:rPr>
                <w:b w:val="false"/>
                <w:bCs w:val="false"/>
                <w:sz w:val="20"/>
                <w:szCs w:val="20"/>
              </w:rPr>
              <w:t xml:space="preserve">Render (gunicorn)</w:t>
            </w:r>
          </w:p>
        </w:tc>
        <w:tc>
          <w:tcPr>
            <w:tcW w:type="dxa" w:w="4000"/>
          </w:tcPr>
          <w:p>
            <w:r>
              <w:rPr>
                <w:b w:val="false"/>
                <w:bCs w:val="false"/>
                <w:sz w:val="20"/>
                <w:szCs w:val="20"/>
              </w:rPr>
              <w:t xml:space="preserve">Free tier, GitHub-integrated auto-deploy</w:t>
            </w:r>
          </w:p>
        </w:tc>
      </w:tr>
    </w:tbl>
    <w:p>
      <w:r>
        <w:br w:type="page"/>
      </w:r>
    </w:p>
    <w:p>
      <w:pPr>
        <w:pStyle w:val="Heading1"/>
        <w:spacing w:after="160" w:before="360"/>
      </w:pPr>
      <w:r>
        <w:t xml:space="preserve">3. Core Features</w:t>
      </w:r>
    </w:p>
    <w:p>
      <w:pPr>
        <w:pStyle w:val="Heading2"/>
        <w:spacing w:after="120" w:before="260"/>
      </w:pPr>
      <w:r>
        <w:t xml:space="preserve">3.1 Resume Upload &amp; Parsing</w:t>
      </w:r>
    </w:p>
    <w:p>
      <w:pPr>
        <w:spacing w:after="160"/>
      </w:pPr>
      <w:r>
        <w:t xml:space="preserve">Accepts PDF and DOCX (up to 5 MB), validated by extension and MIME size limit. Text is extracted with pdfplumber (PDF) or python-docx (DOCX). Parsing failures -- corrupt files, password-protected PDFs, scanned images with no text layer -- are caught at the library boundary and converted into a friendly, specific error message rather than crashing the request.</w:t>
      </w:r>
    </w:p>
    <w:p>
      <w:pPr>
        <w:pStyle w:val="Heading2"/>
        <w:spacing w:after="120" w:before="260"/>
      </w:pPr>
      <w:r>
        <w:t xml:space="preserve">3.2 Resume Score Analyzer</w:t>
      </w:r>
    </w:p>
    <w:p>
      <w:pPr>
        <w:spacing w:after="160"/>
      </w:pPr>
      <w:r>
        <w:t xml:space="preserve">section_detector.py splits the resume into named sections by scanning for short, keyword-matching header lines (e.g. “Skills”, “Education”) -- deliberately avoiding false positives from a bullet that merely mentions a section name mid-sentence. scorer.py then scores each of six categories against the brief's exact rubric: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c>
          <w:tcPr>
            <w:tcW w:type="dxa" w:w="2400"/>
            <w:shd w:fill="EEF2FF" w:val="clear"/>
          </w:tcPr>
          <w:p>
            <w:r>
              <w:rPr>
                <w:b/>
                <w:bCs/>
                <w:sz w:val="20"/>
                <w:szCs w:val="20"/>
              </w:rPr>
              <w:t xml:space="preserve">Category</w:t>
            </w:r>
          </w:p>
        </w:tc>
        <w:tc>
          <w:tcPr>
            <w:tcW w:type="dxa" w:w="1400"/>
            <w:shd w:fill="EEF2FF" w:val="clear"/>
          </w:tcPr>
          <w:p>
            <w:r>
              <w:rPr>
                <w:b/>
                <w:bCs/>
                <w:sz w:val="20"/>
                <w:szCs w:val="20"/>
              </w:rPr>
              <w:t xml:space="preserve">Weight</w:t>
            </w:r>
          </w:p>
        </w:tc>
        <w:tc>
          <w:tcPr>
            <w:tcW w:type="dxa" w:w="5400"/>
            <w:shd w:fill="EEF2FF" w:val="clear"/>
          </w:tcPr>
          <w:p>
            <w:r>
              <w:rPr>
                <w:b/>
                <w:bCs/>
                <w:sz w:val="20"/>
                <w:szCs w:val="20"/>
              </w:rPr>
              <w:t xml:space="preserve">Rule</w:t>
            </w:r>
          </w:p>
        </w:tc>
      </w:tr>
      <w:tr>
        <w:tc>
          <w:tcPr>
            <w:tcW w:type="dxa" w:w="2400"/>
          </w:tcPr>
          <w:p>
            <w:r>
              <w:rPr>
                <w:b w:val="false"/>
                <w:bCs w:val="false"/>
                <w:sz w:val="20"/>
                <w:szCs w:val="20"/>
              </w:rPr>
              <w:t xml:space="preserve">Contact Info</w:t>
            </w:r>
          </w:p>
        </w:tc>
        <w:tc>
          <w:tcPr>
            <w:tcW w:type="dxa" w:w="1400"/>
          </w:tcPr>
          <w:p>
            <w:r>
              <w:rPr>
                <w:b w:val="false"/>
                <w:bCs w:val="false"/>
                <w:sz w:val="20"/>
                <w:szCs w:val="20"/>
              </w:rPr>
              <w:t xml:space="preserve">10</w:t>
            </w:r>
          </w:p>
        </w:tc>
        <w:tc>
          <w:tcPr>
            <w:tcW w:type="dxa" w:w="5400"/>
          </w:tcPr>
          <w:p>
            <w:r>
              <w:rPr>
                <w:b w:val="false"/>
                <w:bCs w:val="false"/>
                <w:sz w:val="20"/>
                <w:szCs w:val="20"/>
              </w:rPr>
              <w:t xml:space="preserve">Email (+6) and phone (+4) detected via regex</w:t>
            </w:r>
          </w:p>
        </w:tc>
      </w:tr>
      <w:tr>
        <w:tc>
          <w:tcPr>
            <w:tcW w:type="dxa" w:w="2400"/>
          </w:tcPr>
          <w:p>
            <w:r>
              <w:rPr>
                <w:b w:val="false"/>
                <w:bCs w:val="false"/>
                <w:sz w:val="20"/>
                <w:szCs w:val="20"/>
              </w:rPr>
              <w:t xml:space="preserve">Skills</w:t>
            </w:r>
          </w:p>
        </w:tc>
        <w:tc>
          <w:tcPr>
            <w:tcW w:type="dxa" w:w="1400"/>
          </w:tcPr>
          <w:p>
            <w:r>
              <w:rPr>
                <w:b w:val="false"/>
                <w:bCs w:val="false"/>
                <w:sz w:val="20"/>
                <w:szCs w:val="20"/>
              </w:rPr>
              <w:t xml:space="preserve">20</w:t>
            </w:r>
          </w:p>
        </w:tc>
        <w:tc>
          <w:tcPr>
            <w:tcW w:type="dxa" w:w="5400"/>
          </w:tcPr>
          <w:p>
            <w:r>
              <w:rPr>
                <w:b w:val="false"/>
                <w:bCs w:val="false"/>
                <w:sz w:val="20"/>
                <w:szCs w:val="20"/>
              </w:rPr>
              <w:t xml:space="preserve">Section present (+8), scaled by item count (+12 max)</w:t>
            </w:r>
          </w:p>
        </w:tc>
      </w:tr>
      <w:tr>
        <w:tc>
          <w:tcPr>
            <w:tcW w:type="dxa" w:w="2400"/>
          </w:tcPr>
          <w:p>
            <w:r>
              <w:rPr>
                <w:b w:val="false"/>
                <w:bCs w:val="false"/>
                <w:sz w:val="20"/>
                <w:szCs w:val="20"/>
              </w:rPr>
              <w:t xml:space="preserve">Education</w:t>
            </w:r>
          </w:p>
        </w:tc>
        <w:tc>
          <w:tcPr>
            <w:tcW w:type="dxa" w:w="1400"/>
          </w:tcPr>
          <w:p>
            <w:r>
              <w:rPr>
                <w:b w:val="false"/>
                <w:bCs w:val="false"/>
                <w:sz w:val="20"/>
                <w:szCs w:val="20"/>
              </w:rPr>
              <w:t xml:space="preserve">15</w:t>
            </w:r>
          </w:p>
        </w:tc>
        <w:tc>
          <w:tcPr>
            <w:tcW w:type="dxa" w:w="5400"/>
          </w:tcPr>
          <w:p>
            <w:r>
              <w:rPr>
                <w:b w:val="false"/>
                <w:bCs w:val="false"/>
                <w:sz w:val="20"/>
                <w:szCs w:val="20"/>
              </w:rPr>
              <w:t xml:space="preserve">Section present (+10), degree/year detected (+5)</w:t>
            </w:r>
          </w:p>
        </w:tc>
      </w:tr>
      <w:tr>
        <w:tc>
          <w:tcPr>
            <w:tcW w:type="dxa" w:w="2400"/>
          </w:tcPr>
          <w:p>
            <w:r>
              <w:rPr>
                <w:b w:val="false"/>
                <w:bCs w:val="false"/>
                <w:sz w:val="20"/>
                <w:szCs w:val="20"/>
              </w:rPr>
              <w:t xml:space="preserve">Projects</w:t>
            </w:r>
          </w:p>
        </w:tc>
        <w:tc>
          <w:tcPr>
            <w:tcW w:type="dxa" w:w="1400"/>
          </w:tcPr>
          <w:p>
            <w:r>
              <w:rPr>
                <w:b w:val="false"/>
                <w:bCs w:val="false"/>
                <w:sz w:val="20"/>
                <w:szCs w:val="20"/>
              </w:rPr>
              <w:t xml:space="preserve">20</w:t>
            </w:r>
          </w:p>
        </w:tc>
        <w:tc>
          <w:tcPr>
            <w:tcW w:type="dxa" w:w="5400"/>
          </w:tcPr>
          <w:p>
            <w:r>
              <w:rPr>
                <w:b w:val="false"/>
                <w:bCs w:val="false"/>
                <w:sz w:val="20"/>
                <w:szCs w:val="20"/>
              </w:rPr>
              <w:t xml:space="preserve">Section present (+8), scaled by item count (+12 max)</w:t>
            </w:r>
          </w:p>
        </w:tc>
      </w:tr>
      <w:tr>
        <w:tc>
          <w:tcPr>
            <w:tcW w:type="dxa" w:w="2400"/>
          </w:tcPr>
          <w:p>
            <w:r>
              <w:rPr>
                <w:b w:val="false"/>
                <w:bCs w:val="false"/>
                <w:sz w:val="20"/>
                <w:szCs w:val="20"/>
              </w:rPr>
              <w:t xml:space="preserve">Structure</w:t>
            </w:r>
          </w:p>
        </w:tc>
        <w:tc>
          <w:tcPr>
            <w:tcW w:type="dxa" w:w="1400"/>
          </w:tcPr>
          <w:p>
            <w:r>
              <w:rPr>
                <w:b w:val="false"/>
                <w:bCs w:val="false"/>
                <w:sz w:val="20"/>
                <w:szCs w:val="20"/>
              </w:rPr>
              <w:t xml:space="preserve">15</w:t>
            </w:r>
          </w:p>
        </w:tc>
        <w:tc>
          <w:tcPr>
            <w:tcW w:type="dxa" w:w="5400"/>
          </w:tcPr>
          <w:p>
            <w:r>
              <w:rPr>
                <w:b w:val="false"/>
                <w:bCs w:val="false"/>
                <w:sz w:val="20"/>
                <w:szCs w:val="20"/>
              </w:rPr>
              <w:t xml:space="preserve">Core sections present, resume length, bullet usage</w:t>
            </w:r>
          </w:p>
        </w:tc>
      </w:tr>
      <w:tr>
        <w:tc>
          <w:tcPr>
            <w:tcW w:type="dxa" w:w="2400"/>
          </w:tcPr>
          <w:p>
            <w:r>
              <w:rPr>
                <w:b w:val="false"/>
                <w:bCs w:val="false"/>
                <w:sz w:val="20"/>
                <w:szCs w:val="20"/>
              </w:rPr>
              <w:t xml:space="preserve">Completeness</w:t>
            </w:r>
          </w:p>
        </w:tc>
        <w:tc>
          <w:tcPr>
            <w:tcW w:type="dxa" w:w="1400"/>
          </w:tcPr>
          <w:p>
            <w:r>
              <w:rPr>
                <w:b w:val="false"/>
                <w:bCs w:val="false"/>
                <w:sz w:val="20"/>
                <w:szCs w:val="20"/>
              </w:rPr>
              <w:t xml:space="preserve">20</w:t>
            </w:r>
          </w:p>
        </w:tc>
        <w:tc>
          <w:tcPr>
            <w:tcW w:type="dxa" w:w="5400"/>
          </w:tcPr>
          <w:p>
            <w:r>
              <w:rPr>
                <w:b w:val="false"/>
                <w:bCs w:val="false"/>
                <w:sz w:val="20"/>
                <w:szCs w:val="20"/>
              </w:rPr>
              <w:t xml:space="preserve">Holistic coverage across contact/skills/education/experience/length</w:t>
            </w:r>
          </w:p>
        </w:tc>
      </w:tr>
    </w:tbl>
    <w:p>
      <w:pPr>
        <w:pStyle w:val="Heading2"/>
        <w:spacing w:after="120" w:before="260"/>
      </w:pPr>
      <w:r>
        <w:t xml:space="preserve">3.3 ATS Keyword Checker</w:t>
      </w:r>
    </w:p>
    <w:p>
      <w:pPr>
        <w:spacing w:after="160"/>
      </w:pPr>
      <w:r>
        <w:t xml:space="preserve">ats_matcher.py compares the resume against data/keyword_banks.json, a curated must-have/nice-to-have keyword list per role (Data Analyst, Web Developer, AI Engineer, Cloud Engineer). Matching uses word-boundary regex to avoid false positives (e.g. “SQL” must not match inside “MySQL”), and produces a weighted ATS score (70% must-have match rate, 30% nice-to-have).</w:t>
      </w:r>
    </w:p>
    <w:p>
      <w:pPr>
        <w:pStyle w:val="Heading2"/>
        <w:spacing w:after="120" w:before="260"/>
      </w:pPr>
      <w:r>
        <w:t xml:space="preserve">3.4 Smart Feedback System</w:t>
      </w:r>
    </w:p>
    <w:p>
      <w:pPr>
        <w:spacing w:after="160"/>
      </w:pPr>
      <w:r>
        <w:t xml:space="preserve">feedback.py is pure rule-based template generation -- no model call. It reads the already-computed score/ATS/impact dictionaries and applies conditional templates to produce prioritized suggestions (critical/high/medium/low/info), capping keyword lists and bullet examples so the output stays scannable rather than dumping every gap found.</w:t>
      </w:r>
    </w:p>
    <w:p>
      <w:pPr>
        <w:pStyle w:val="Heading2"/>
        <w:spacing w:after="120" w:before="260"/>
      </w:pPr>
      <w:r>
        <w:t xml:space="preserve">3.5 Dashboard &amp; Report Generation</w:t>
      </w:r>
    </w:p>
    <w:p>
      <w:pPr>
        <w:spacing w:after="160"/>
      </w:pPr>
      <w:r>
        <w:t xml:space="preserve">A single page presents three clickable score tiles (Resume/ATS/Impact) that anchor-link to their detail sections, a Chart.js bar chart comparing all three scores, per-category progress bars, keyword badges, bullet-level flags, and the prioritized feedback list -- plus a Print/Save-as-PDF button with a dedicated print stylesheet for a clean exported report.</w:t>
      </w:r>
    </w:p>
    <w:p>
      <w:pPr>
        <w:pStyle w:val="Heading1"/>
        <w:spacing w:after="160" w:before="360"/>
      </w:pPr>
      <w:r>
        <w:t xml:space="preserve">4. Differentiators</w:t>
      </w:r>
    </w:p>
    <w:p>
      <w:pPr>
        <w:pStyle w:val="Heading2"/>
        <w:spacing w:after="120" w:before="260"/>
      </w:pPr>
      <w:r>
        <w:t xml:space="preserve">4.1 Impact Score Module</w:t>
      </w:r>
    </w:p>
    <w:p>
      <w:pPr>
        <w:spacing w:after="160"/>
      </w:pPr>
      <w:r>
        <w:t xml:space="preserve">For each bullet-marked line under Experience/Projects, impact_score.py evaluates three signals:</w:t>
      </w:r>
    </w:p>
    <w:p>
      <w:pPr>
        <w:pStyle w:val="ListParagraph"/>
        <w:numPr>
          <w:ilvl w:val="0"/>
          <w:numId w:val="2"/>
        </w:numPr>
        <w:spacing w:after="80"/>
      </w:pPr>
      <w:r>
        <w:t xml:space="preserve">Verb strength -- the opening word's spaCy lemma is checked against a curated strong/weak-verb lexicon, with weak multi-word openers (“responsible for”, “worked on”) matched separately. A suffix-normalization fallback (try stripping -ed/-ing/-s) catches cases where spaCy mis-tags a subject-less bullet fragment's opening word as an adjective rather than a verb.</w:t>
      </w:r>
    </w:p>
    <w:p>
      <w:pPr>
        <w:pStyle w:val="ListParagraph"/>
        <w:numPr>
          <w:ilvl w:val="0"/>
          <w:numId w:val="2"/>
        </w:numPr>
        <w:spacing w:after="80"/>
      </w:pPr>
      <w:r>
        <w:t xml:space="preserve">Quantified results -- a regex checks for currency, percentages, multipliers, or a number adjacent to a metric word (“users”, “engineers”, etc.), allowing up to two intervening adjective words (“4 new engineers”).</w:t>
      </w:r>
    </w:p>
    <w:p>
      <w:pPr>
        <w:pStyle w:val="ListParagraph"/>
        <w:numPr>
          <w:ilvl w:val="0"/>
          <w:numId w:val="2"/>
        </w:numPr>
        <w:spacing w:after="80"/>
      </w:pPr>
      <w:r>
        <w:t xml:space="preserve">Passive voice -- spaCy's dependency parse is checked for nsubjpass/auxpass/csubjpass labels, which reliably catch canonical “was/were + past participle” constructions.</w:t>
      </w:r>
    </w:p>
    <w:p>
      <w:pPr>
        <w:spacing w:after="160"/>
      </w:pPr>
      <w:r>
        <w:t xml:space="preserve">The three signals are aggregated into a weighted /100 score (verb strength 40, quantification 40, passive voice 20), using the same “rate × weight” rubric style as the resume scorer for consistency, with neutral verbs earning half credit rather than zero.</w:t>
      </w:r>
    </w:p>
    <w:p>
      <w:pPr>
        <w:pStyle w:val="Heading2"/>
        <w:spacing w:after="120" w:before="260"/>
      </w:pPr>
      <w:r>
        <w:t xml:space="preserve">4.2 Fuzzy/Synonym-Aware ATS Matching</w:t>
      </w:r>
    </w:p>
    <w:p>
      <w:pPr>
        <w:spacing w:after="160"/>
      </w:pPr>
      <w:r>
        <w:t xml:space="preserve">Rather than naive exact-string matching, each ATS keyword is checked in three passes: exact match, then a curated synonym/abbreviation map (data/synonym_map.json -- e.g. “JS” → “JavaScript”, “ML” → “Machine Learning”, “K8s” → “Kubernetes”), then rapidfuzz character-level similarity for likely typos (“dockr” → “Docker”). Each matched keyword is tagged with how it was matched, shown directly in the UI, so a reviewer can see the differentiator working rather than taking it on faith.</w:t>
      </w:r>
    </w:p>
    <w:p>
      <w:pPr>
        <w:spacing w:after="160"/>
      </w:pPr>
      <w:r>
        <w:t xml:space="preserve">The fuzzy threshold (90) was calibrated empirically rather than guessed: rapidfuzz scores “python” vs. “cython” and “python” vs. “pyhton” (a genuine typo) identically at 83.3. A looser threshold would have credited a resume that only mentions Cython with knowing Python. Fuzzy matching is therefore restricted to single-word keywords of 5+ characters, with a token-length filter, trading a small amount of recall on short-word typos for precision.</w:t>
      </w:r>
    </w:p>
    <w:p>
      <w:r>
        <w:br w:type="page"/>
      </w:r>
    </w:p>
    <w:p>
      <w:pPr>
        <w:pStyle w:val="Heading1"/>
        <w:spacing w:after="160" w:before="360"/>
      </w:pPr>
      <w:r>
        <w:t xml:space="preserve">5. Testing &amp; Quality Assurance</w:t>
      </w:r>
    </w:p>
    <w:p>
      <w:pPr>
        <w:spacing w:after="160"/>
      </w:pPr>
      <w:r>
        <w:t xml:space="preserve">The project has 74 automated tests (pytest) covering every service module, the upload/preview routes, and error pages, run against real PDF/DOCX fixture files (not just mocked text). Beyond unit tests, every feature was manually exercised against a live running server (and, after each deploy, against the production Render instance) rather than trusted on green tests alone. This caught several real bugs that unit tests alone had not exposed: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c>
          <w:tcPr>
            <w:tcW w:type="dxa" w:w="3200"/>
            <w:shd w:fill="EEF2FF" w:val="clear"/>
          </w:tcPr>
          <w:p>
            <w:r>
              <w:rPr>
                <w:b/>
                <w:bCs/>
                <w:sz w:val="20"/>
                <w:szCs w:val="20"/>
              </w:rPr>
              <w:t xml:space="preserve">Bug</w:t>
            </w:r>
          </w:p>
        </w:tc>
        <w:tc>
          <w:tcPr>
            <w:tcW w:type="dxa" w:w="2800"/>
            <w:shd w:fill="EEF2FF" w:val="clear"/>
          </w:tcPr>
          <w:p>
            <w:r>
              <w:rPr>
                <w:b/>
                <w:bCs/>
                <w:sz w:val="20"/>
                <w:szCs w:val="20"/>
              </w:rPr>
              <w:t xml:space="preserve">How it was found</w:t>
            </w:r>
          </w:p>
        </w:tc>
        <w:tc>
          <w:tcPr>
            <w:tcW w:type="dxa" w:w="2800"/>
            <w:shd w:fill="EEF2FF" w:val="clear"/>
          </w:tcPr>
          <w:p>
            <w:r>
              <w:rPr>
                <w:b/>
                <w:bCs/>
                <w:sz w:val="20"/>
                <w:szCs w:val="20"/>
              </w:rPr>
              <w:t xml:space="preserve">Fix</w:t>
            </w:r>
          </w:p>
        </w:tc>
      </w:tr>
      <w:tr>
        <w:tc>
          <w:tcPr>
            <w:tcW w:type="dxa" w:w="3200"/>
          </w:tcPr>
          <w:p>
            <w:r>
              <w:rPr>
                <w:b w:val="false"/>
                <w:bCs w:val="false"/>
                <w:sz w:val="20"/>
                <w:szCs w:val="20"/>
              </w:rPr>
              <w:t xml:space="preserve">spaCy mis-tags “Optimized” as an adjective in a subject-less bullet fragment, so its lemma stays “optimized” and misses the “optimize” lexicon entry</w:t>
            </w:r>
          </w:p>
        </w:tc>
        <w:tc>
          <w:tcPr>
            <w:tcW w:type="dxa" w:w="2800"/>
          </w:tcPr>
          <w:p>
            <w:r>
              <w:rPr>
                <w:b w:val="false"/>
                <w:bCs w:val="false"/>
                <w:sz w:val="20"/>
                <w:szCs w:val="20"/>
              </w:rPr>
              <w:t xml:space="preserve">Manual verification of a real bullet on the running dashboard</w:t>
            </w:r>
          </w:p>
        </w:tc>
        <w:tc>
          <w:tcPr>
            <w:tcW w:type="dxa" w:w="2800"/>
          </w:tcPr>
          <w:p>
            <w:r>
              <w:rPr>
                <w:b w:val="false"/>
                <w:bCs w:val="false"/>
                <w:sz w:val="20"/>
                <w:szCs w:val="20"/>
              </w:rPr>
              <w:t xml:space="preserve">Suffix-normalization fallback (try stripping -ed/-ing/-s) checked alongside the spaCy lemma</w:t>
            </w:r>
          </w:p>
        </w:tc>
      </w:tr>
      <w:tr>
        <w:tc>
          <w:tcPr>
            <w:tcW w:type="dxa" w:w="3200"/>
          </w:tcPr>
          <w:p>
            <w:r>
              <w:rPr>
                <w:b w:val="false"/>
                <w:bCs w:val="false"/>
                <w:sz w:val="20"/>
                <w:szCs w:val="20"/>
              </w:rPr>
              <w:t xml:space="preserve">“Was responsible for X” not classified as weak, since the weak-phrase check only matched bullets starting with the literal phrase</w:t>
            </w:r>
          </w:p>
        </w:tc>
        <w:tc>
          <w:tcPr>
            <w:tcW w:type="dxa" w:w="2800"/>
          </w:tcPr>
          <w:p>
            <w:r>
              <w:rPr>
                <w:b w:val="false"/>
                <w:bCs w:val="false"/>
                <w:sz w:val="20"/>
                <w:szCs w:val="20"/>
              </w:rPr>
              <w:t xml:space="preserve">Manual verification of a synthetic passive/weak resume</w:t>
            </w:r>
          </w:p>
        </w:tc>
        <w:tc>
          <w:tcPr>
            <w:tcW w:type="dxa" w:w="2800"/>
          </w:tcPr>
          <w:p>
            <w:r>
              <w:rPr>
                <w:b w:val="false"/>
                <w:bCs w:val="false"/>
                <w:sz w:val="20"/>
                <w:szCs w:val="20"/>
              </w:rPr>
              <w:t xml:space="preserve">Strip a leading was/were/is/are/been before the weak-phrase check</w:t>
            </w:r>
          </w:p>
        </w:tc>
      </w:tr>
      <w:tr>
        <w:tc>
          <w:tcPr>
            <w:tcW w:type="dxa" w:w="3200"/>
          </w:tcPr>
          <w:p>
            <w:r>
              <w:rPr>
                <w:b w:val="false"/>
                <w:bCs w:val="false"/>
                <w:sz w:val="20"/>
                <w:szCs w:val="20"/>
              </w:rPr>
              <w:t xml:space="preserve">Chart.js CDN “latest” URL served an ES-module build that throws in a plain &lt;script&gt; tag</w:t>
            </w:r>
          </w:p>
        </w:tc>
        <w:tc>
          <w:tcPr>
            <w:tcW w:type="dxa" w:w="2800"/>
          </w:tcPr>
          <w:p>
            <w:r>
              <w:rPr>
                <w:b w:val="false"/>
                <w:bCs w:val="false"/>
                <w:sz w:val="20"/>
                <w:szCs w:val="20"/>
              </w:rPr>
              <w:t xml:space="preserve">Console error + fetching and reading the file content directly, not guessing</w:t>
            </w:r>
          </w:p>
        </w:tc>
        <w:tc>
          <w:tcPr>
            <w:tcW w:type="dxa" w:w="2800"/>
          </w:tcPr>
          <w:p>
            <w:r>
              <w:rPr>
                <w:b w:val="false"/>
                <w:bCs w:val="false"/>
                <w:sz w:val="20"/>
                <w:szCs w:val="20"/>
              </w:rPr>
              <w:t xml:space="preserve">Pinned the UMD build path instead, then re-verified the canvas actually paints pixels</w:t>
            </w:r>
          </w:p>
        </w:tc>
      </w:tr>
      <w:tr>
        <w:tc>
          <w:tcPr>
            <w:tcW w:type="dxa" w:w="3200"/>
          </w:tcPr>
          <w:p>
            <w:r>
              <w:rPr>
                <w:b w:val="false"/>
                <w:bCs w:val="false"/>
                <w:sz w:val="20"/>
                <w:szCs w:val="20"/>
              </w:rPr>
              <w:t xml:space="preserve">A genuinely corrupt PDF/DOCX crashed the request with an unhandled library exception and orphaned the uploaded file on disk</w:t>
            </w:r>
          </w:p>
        </w:tc>
        <w:tc>
          <w:tcPr>
            <w:tcW w:type="dxa" w:w="2800"/>
          </w:tcPr>
          <w:p>
            <w:r>
              <w:rPr>
                <w:b w:val="false"/>
                <w:bCs w:val="false"/>
                <w:sz w:val="20"/>
                <w:szCs w:val="20"/>
              </w:rPr>
              <w:t xml:space="preserve">Deliberately uploaded a malformed file (not just an empty one) during hardening</w:t>
            </w:r>
          </w:p>
        </w:tc>
        <w:tc>
          <w:tcPr>
            <w:tcW w:type="dxa" w:w="2800"/>
          </w:tcPr>
          <w:p>
            <w:r>
              <w:rPr>
                <w:b w:val="false"/>
                <w:bCs w:val="false"/>
                <w:sz w:val="20"/>
                <w:szCs w:val="20"/>
              </w:rPr>
              <w:t xml:space="preserve">Broad try/except at the parser/library boundary, converted to the existing ParsingError flow</w:t>
            </w:r>
          </w:p>
        </w:tc>
      </w:tr>
      <w:tr>
        <w:tc>
          <w:tcPr>
            <w:tcW w:type="dxa" w:w="3200"/>
          </w:tcPr>
          <w:p>
            <w:r>
              <w:rPr>
                <w:b w:val="false"/>
                <w:bCs w:val="false"/>
                <w:sz w:val="20"/>
                <w:szCs w:val="20"/>
              </w:rPr>
              <w:t xml:space="preserve">A fully non-Latin filename (e.g. a Chinese-language filename) collapses to just the bare extension after werkzeug's secure_filename()</w:t>
            </w:r>
          </w:p>
        </w:tc>
        <w:tc>
          <w:tcPr>
            <w:tcW w:type="dxa" w:w="2800"/>
          </w:tcPr>
          <w:p>
            <w:r>
              <w:rPr>
                <w:b w:val="false"/>
                <w:bCs w:val="false"/>
                <w:sz w:val="20"/>
                <w:szCs w:val="20"/>
              </w:rPr>
              <w:t xml:space="preserve">Direct inspection of secure_filename() behavior during the hardening pass</w:t>
            </w:r>
          </w:p>
        </w:tc>
        <w:tc>
          <w:tcPr>
            <w:tcW w:type="dxa" w:w="2800"/>
          </w:tcPr>
          <w:p>
            <w:r>
              <w:rPr>
                <w:b w:val="false"/>
                <w:bCs w:val="false"/>
                <w:sz w:val="20"/>
                <w:szCs w:val="20"/>
              </w:rPr>
              <w:t xml:space="preserve">Fall back to a generic “resume.&lt;ext&gt;” name when sanitization drops the whole basename</w:t>
            </w:r>
          </w:p>
        </w:tc>
      </w:tr>
    </w:tbl>
    <w:p>
      <w:pPr>
        <w:spacing w:after="160"/>
      </w:pPr>
      <w:r>
        <w:t xml:space="preserve">Each fix above has a dedicated regression test pinned to the exact failure case, not just a broader pass/fail assertion.</w:t>
      </w:r>
    </w:p>
    <w:p>
      <w:pPr>
        <w:pStyle w:val="Heading1"/>
        <w:spacing w:after="160" w:before="360"/>
      </w:pPr>
      <w:r>
        <w:t xml:space="preserve">6. Known Limitations</w:t>
      </w:r>
    </w:p>
    <w:p>
      <w:pPr>
        <w:pStyle w:val="ListParagraph"/>
        <w:numPr>
          <w:ilvl w:val="0"/>
          <w:numId w:val="2"/>
        </w:numPr>
        <w:spacing w:after="80"/>
      </w:pPr>
      <w:r>
        <w:t xml:space="preserve">Passive-voice detection only catches canonical “was/were + past participle” constructions (via spaCy's auxpass/nsubjpass labels). Reduced passives with no auxiliary (“Errors reduced by 30%”) go undetected -- there is no auxiliary token for the parser to anchor the label on.</w:t>
      </w:r>
    </w:p>
    <w:p>
      <w:pPr>
        <w:pStyle w:val="ListParagraph"/>
        <w:numPr>
          <w:ilvl w:val="0"/>
          <w:numId w:val="2"/>
        </w:numPr>
        <w:spacing w:after="80"/>
      </w:pPr>
      <w:r>
        <w:t xml:space="preserve">The fuzzy-match threshold is deliberately conservative; some real single-substitution typos in short words (e.g. “pyhton”) go uncaught to avoid crediting genuinely different terms (“cython”).</w:t>
      </w:r>
    </w:p>
    <w:p>
      <w:pPr>
        <w:pStyle w:val="ListParagraph"/>
        <w:numPr>
          <w:ilvl w:val="0"/>
          <w:numId w:val="2"/>
        </w:numPr>
        <w:spacing w:after="80"/>
      </w:pPr>
      <w:r>
        <w:t xml:space="preserve">Bullet extraction is marker-based (-, *, •, numbered lists); a resume with no bullet markers at all yields no bullets for the impact score, which the dashboard flags explicitly rather than silently scoring zero.</w:t>
      </w:r>
    </w:p>
    <w:p>
      <w:pPr>
        <w:pStyle w:val="ListParagraph"/>
        <w:numPr>
          <w:ilvl w:val="0"/>
          <w:numId w:val="2"/>
        </w:numPr>
        <w:spacing w:after="80"/>
      </w:pPr>
      <w:r>
        <w:t xml:space="preserve">The free Render tier has no persistent disk, so SQLite lives on the container's ephemeral filesystem -- uploaded resumes reset on redeploy or free-tier spin-down/spin-up.</w:t>
      </w:r>
    </w:p>
    <w:p>
      <w:pPr>
        <w:pStyle w:val="Heading1"/>
        <w:spacing w:after="160" w:before="360"/>
      </w:pPr>
      <w:r>
        <w:t xml:space="preserve">7. Deployment</w:t>
      </w:r>
    </w:p>
    <w:p>
      <w:pPr>
        <w:spacing w:after="160"/>
      </w:pPr>
      <w:r>
        <w:t xml:space="preserve">Deployed on Render via a Blueprint (render.yaml), which installs dependencies and downloads the spaCy model during the build step, then serves the app with gunicorn. The GitHub repository is connected to the Render Blueprint, so every push to main auto-deploys. No persistent disk is attached, since disks are not supported on Render's free tier.</w:t>
      </w:r>
    </w:p>
    <w:p>
      <w:pPr>
        <w:pStyle w:val="Heading1"/>
        <w:spacing w:after="160" w:before="360"/>
      </w:pPr>
      <w:r>
        <w:t xml:space="preserve">8. Future Work</w:t>
      </w:r>
    </w:p>
    <w:p>
      <w:pPr>
        <w:pStyle w:val="ListParagraph"/>
        <w:numPr>
          <w:ilvl w:val="0"/>
          <w:numId w:val="2"/>
        </w:numPr>
        <w:spacing w:after="80"/>
      </w:pPr>
      <w:r>
        <w:t xml:space="preserve">A paid Render plan (or a managed Postgres addon) for persistent storage across restarts.</w:t>
      </w:r>
    </w:p>
    <w:p>
      <w:pPr>
        <w:pStyle w:val="ListParagraph"/>
        <w:numPr>
          <w:ilvl w:val="0"/>
          <w:numId w:val="2"/>
        </w:numPr>
        <w:spacing w:after="80"/>
      </w:pPr>
      <w:r>
        <w:t xml:space="preserve">Expand the keyword banks and synonym map with more roles and terms.</w:t>
      </w:r>
    </w:p>
    <w:p>
      <w:pPr>
        <w:pStyle w:val="ListParagraph"/>
        <w:numPr>
          <w:ilvl w:val="0"/>
          <w:numId w:val="2"/>
        </w:numPr>
        <w:spacing w:after="80"/>
      </w:pPr>
      <w:r>
        <w:t xml:space="preserve">Export the dashboard as a downloadable PDF report (beyond the current browser print view).</w:t>
      </w:r>
    </w:p>
    <w:p>
      <w:pPr>
        <w:pStyle w:val="ListParagraph"/>
        <w:numPr>
          <w:ilvl w:val="0"/>
          <w:numId w:val="2"/>
        </w:numPr>
        <w:spacing w:after="80"/>
      </w:pPr>
      <w:r>
        <w:t xml:space="preserve">A lightweight admin view to browse past analyses, now that they persist in the Analysis table.</w:t>
      </w:r>
    </w:p>
    <w:p>
      <w:pPr>
        <w:pStyle w:val="Heading1"/>
        <w:spacing w:after="160" w:before="360"/>
      </w:pPr>
      <w:r>
        <w:t xml:space="preserve">9. Conclusion</w:t>
      </w:r>
    </w:p>
    <w:p>
      <w:pPr>
        <w:spacing w:after="160"/>
      </w:pPr>
      <w:r>
        <w:t xml:space="preserve">ResumeIQ delivers all five required capabilities -- parsing, scoring, ATS checking, feedback generation, and a unified dashboard -- plus two genuinely functional differentiators, entirely with classic, explainable NLP techniques. Its 74-test suite and the bug list in Section 5 reflect an engineering process that treated “it passes tests” and “it actually works when you try it” as two different, both-necessary bars to clear.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yn3ltmq9awlzhhryiyum" Type="http://schemas.openxmlformats.org/officeDocument/2006/relationships/hyperlink" Target="https://resumeiq-s3xc.onrender.com/" TargetMode="External"/><Relationship Id="rId1ekt48p9lgf4f0opcqw0v" Type="http://schemas.openxmlformats.org/officeDocument/2006/relationships/hyperlink" Target="https://github.com/AdityaParthasarathy/resumeiq"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2026-09-11T15:00:14.427Z</dcterms:created>
  <dcterms:modified xsi:type="dcterms:W3CDTF">2026-09-11T15:00:14.428Z</dcterms:modified>
</cp:coreProperties>
</file>

<file path=docProps/custom.xml><?xml version="1.0" encoding="utf-8"?>
<Properties xmlns="http://schemas.openxmlformats.org/officeDocument/2006/custom-properties" xmlns:vt="http://schemas.openxmlformats.org/officeDocument/2006/docPropsVTypes"/>
</file>