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the pilot or the aircraft caused a drone crash. Using 590 PX4 crash logs from a 479,547-flight archive, we test what telemetry shows under leakage and confounding controls. Confirmatory tests were declared in version control (</w:t>
      </w:r>
      <m:oMath>
        <m:sSup>
          <m:e>
            <m:r>
              <m:t>​</m:t>
            </m:r>
          </m:e>
          <m:sup>
            <m:r>
              <m:rPr>
                <m:sty m:val="p"/>
              </m:rPr>
              <m:t>†</m:t>
            </m:r>
          </m:sup>
        </m:sSup>
      </m:oMath>
      <w:r>
        <w:t xml:space="preserve">marks review additions). A fixed attribution rule reached 0.47 balanced accuracy on 112 held-out crashes (pass mark 0.70).</w:t>
      </w:r>
      <w:r>
        <w:t xml:space="preserve"> </w:t>
      </w:r>
      <m:oMath>
        <m:sSup>
          <m:e>
            <m:r>
              <m:t>​</m:t>
            </m:r>
          </m:e>
          <m:sup>
            <m:r>
              <m:rPr>
                <m:sty m:val="p"/>
              </m:rPr>
              <m:t>†</m:t>
            </m:r>
          </m:sup>
        </m:sSup>
      </m:oMath>
      <w:r>
        <w:t xml:space="preserve">Models gave AUCs 0.41–0.50 (upper bounds</w:t>
      </w:r>
      <w:r>
        <w:t xml:space="preserve"> </w:t>
      </w:r>
      <m:oMath>
        <m:r>
          <m:rPr>
            <m:sty m:val="p"/>
          </m:rPr>
          <m:t>≤</m:t>
        </m:r>
        <m:r>
          <m:t>0.62</m:t>
        </m:r>
      </m:oMath>
      <w:r>
        <w:t xml:space="preserve">); with 36 pilot-labelled crashes, 80% power requires AUC</w:t>
      </w:r>
      <w:r>
        <w:t xml:space="preserve"> </w:t>
      </w:r>
      <m:oMath>
        <m:r>
          <m:rPr>
            <m:sty m:val="p"/>
          </m:rPr>
          <m:t>≈</m:t>
        </m:r>
        <m:r>
          <m:t>0.65</m:t>
        </m:r>
      </m:oMath>
      <w:r>
        <w:t xml:space="preserve">, below the</w:t>
      </w:r>
      <w:r>
        <w:t xml:space="preserve"> </w:t>
      </w:r>
      <m:oMath>
        <m:r>
          <m:rPr>
            <m:sty m:val="p"/>
          </m:rPr>
          <m:t>≈</m:t>
        </m:r>
        <m:r>
          <m:t>0.8</m:t>
        </m:r>
      </m:oMath>
      <w:r>
        <w:t xml:space="preserve"> </w:t>
      </w:r>
      <w:r>
        <w:t xml:space="preserve">operational verdicts need.</w:t>
      </w:r>
      <w:r>
        <w:t xml:space="preserve"> </w:t>
      </w:r>
      <m:oMath>
        <m:sSup>
          <m:e>
            <m:r>
              <m:t>​</m:t>
            </m:r>
          </m:e>
          <m:sup>
            <m:r>
              <m:rPr>
                <m:sty m:val="p"/>
              </m:rPr>
              <m:t>†</m:t>
            </m:r>
          </m:sup>
        </m:sSup>
      </m:oMath>
      <w:r>
        <w:t xml:space="preserve">On 43 expert logs the rule was inconclusive (balanced accuracy 0.381, 95% CrI 0.25–0.61; pilot recall 1 of 5).</w:t>
      </w:r>
      <w:r>
        <w:t xml:space="preserve"> </w:t>
      </w:r>
      <m:oMath>
        <m:sSup>
          <m:e>
            <m:r>
              <m:t>​</m:t>
            </m:r>
          </m:e>
          <m:sup>
            <m:r>
              <m:rPr>
                <m:sty m:val="p"/>
              </m:rPr>
              <m:t>†</m:t>
            </m:r>
          </m:sup>
        </m:sSup>
      </m:oMath>
      <w:r>
        <w:t xml:space="preserve">A factorial audit of 32 evaluation settings found that apparent anticipation depends on the comparison set; the cause is not isolated. AUC fell 0.21 [0.06, 0.34] from the most optimistic to the most conservative other-aircraft setting (0.88 to 0.67); only vehicle-grouped folds were material (0.06 [0.03, 0.09]). Against each drone’s own earlier flights, AUC was at chance (0.569, cluster bootstrap [0.500, 0.643]; rank test</w:t>
      </w:r>
      <w:r>
        <w:t xml:space="preserve"> </w:t>
      </w:r>
      <m:oMath>
        <m:acc>
          <m:accPr>
            <m:chr m:val="‾"/>
          </m:accPr>
          <m:e>
            <m:r>
              <m:t>r</m:t>
            </m:r>
          </m:e>
        </m:acc>
        <m:r>
          <m:rPr>
            <m:sty m:val="p"/>
          </m:rPr>
          <m:t>=</m:t>
        </m:r>
        <m:r>
          <m:t>0.48</m:t>
        </m:r>
      </m:oMath>
      <w:r>
        <w:t xml:space="preserve">). Duration-caliper matching (0.25) lifted it to 0.642 (</w:t>
      </w:r>
      <m:oMath>
        <m:r>
          <m:rPr>
            <m:sty m:val="p"/>
          </m:rPr>
          <m:t>+</m:t>
        </m:r>
        <m:r>
          <m:t>0.110</m:t>
        </m:r>
      </m:oMath>
      <w:r>
        <w:t xml:space="preserve">, 36 airframes; paired cluster CI [+0.074, +0.238]), but a fixed 30 s window did not, so the lift may reflect duration.</w:t>
      </w:r>
      <w:r>
        <w:t xml:space="preserve"> </w:t>
      </w:r>
      <m:oMath>
        <m:sSup>
          <m:e>
            <m:r>
              <m:t>​</m:t>
            </m:r>
          </m:e>
          <m:sup>
            <m:r>
              <m:rPr>
                <m:sty m:val="p"/>
              </m:rPr>
              <m:t>†</m:t>
            </m:r>
          </m:sup>
        </m:sSup>
      </m:oMath>
      <w:r>
        <w:t xml:space="preserve">Tuning-check sensitivity fell from 7/9 to 1/9 without the final 10 s (exploratory, unadjusted</w:t>
      </w:r>
      <w:r>
        <w:t xml:space="preserve"> </w:t>
      </w:r>
      <m:oMath>
        <m:r>
          <m:t>p</m:t>
        </m:r>
        <m:r>
          <m:rPr>
            <m:sty m:val="p"/>
          </m:rPr>
          <m:t>=</m:t>
        </m:r>
        <m:r>
          <m:t>0.031</m:t>
        </m:r>
      </m:oMath>
      <w:r>
        <w:t xml:space="preserve">; normal false alarms 13% to 5%), consistent with leakage. Crashed drones vibrated more on older estimator metrics (mean rank 0.67, Holm</w:t>
      </w:r>
      <w:r>
        <w:t xml:space="preserve"> </w:t>
      </w:r>
      <m:oMath>
        <m:r>
          <m:t>p</m:t>
        </m:r>
        <m:r>
          <m:rPr>
            <m:sty m:val="p"/>
          </m:rPr>
          <m:t>=</m:t>
        </m:r>
        <m:r>
          <m:t>0.016</m:t>
        </m:r>
      </m:oMath>
      <w:r>
        <w:t xml:space="preserve">; newer metrics inconclusive,</w:t>
      </w:r>
      <w:r>
        <w:t xml:space="preserve"> </w:t>
      </w:r>
      <m:oMath>
        <m:r>
          <m:t>p</m:t>
        </m:r>
        <m:r>
          <m:rPr>
            <m:sty m:val="p"/>
          </m:rPr>
          <m:t>=</m:t>
        </m:r>
        <m:r>
          <m:t>0.25</m:t>
        </m:r>
      </m:oMath>
      <w:r>
        <w:t xml:space="preserve">).</w:t>
      </w:r>
      <w:r>
        <w:t xml:space="preserve"> </w:t>
      </w:r>
      <m:oMath>
        <m:sSup>
          <m:e>
            <m:r>
              <m:t>​</m:t>
            </m:r>
          </m:e>
          <m:sup>
            <m:r>
              <m:rPr>
                <m:sty m:val="p"/>
              </m:rPr>
              <m:t>†</m:t>
            </m:r>
          </m:sup>
        </m:sSup>
      </m:oMath>
      <w:r>
        <w:t xml:space="preserve">Against 107 controls, screening gave</w:t>
      </w:r>
      <w:r>
        <w:t xml:space="preserve"> </w:t>
      </w:r>
      <m:oMath>
        <m:r>
          <m:t>3.3</m:t>
        </m:r>
        <m:r>
          <m:rPr>
            <m:sty m:val="p"/>
          </m:rPr>
          <m:t>×</m:t>
        </m:r>
      </m:oMath>
      <w:r>
        <w:t xml:space="preserve"> </w:t>
      </w:r>
      <w:r>
        <w:t xml:space="preserve">lift (illustrative PPV 2.26–2.43% at 10% flag rate). AeroFleet 2.0 shows longitudinal evidence without automatic verdicts.</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w:t>
      </w:r>
      <m:oMath>
        <m:sSup>
          <m:e>
            <m:r>
              <m:t>​</m:t>
            </m:r>
          </m:e>
          <m:sup>
            <m:r>
              <m:rPr>
                <m:sty m:val="p"/>
              </m:rPr>
              <m:t>†</m:t>
            </m:r>
          </m:sup>
        </m:sSup>
      </m:oMath>
      <w:r>
        <w:t xml:space="preserve">A factorial optimism audit that splits the apparent crash-vs-normal AUC across five evaluation choices (crash set, comparison flights, crash-window cut, fold grouping, window length; 32 settings, one feature extractor, exact Shapley split). Of a 0.21 [0.06, 0.34] drop from the most optimistic to the most conservative other-aircraft setting (0.88 to 0.67), only vehicle-grouped folds contributed materially (0.06 [0.03, 0.09]); the crash set and the choice of normal flights each carried 0.06–0.07 with intervals spanning zero, so the cause of the remaining drop is not isolated. Separation against other aircraft persisted at 0.67; comparing each drone with its own earlier flights brought it to chance. Within-drone evaluation finds no detectable precursor signal under uncalipered matching in this cohort (Group-CV AUC 0.569, 95% cluster bootstrap CI [0.500, 0.643], pairwise mean AUC 0.592 [0.516, 0.692], rank test</w:t>
      </w:r>
      <w:r>
        <w:t xml:space="preserve"> </w:t>
      </w:r>
      <m:oMath>
        <m:acc>
          <m:accPr>
            <m:chr m:val="‾"/>
          </m:accPr>
          <m:e>
            <m:r>
              <m:t>r</m:t>
            </m:r>
          </m:e>
        </m:acc>
        <m:r>
          <m:rPr>
            <m:sty m:val="p"/>
          </m:rPr>
          <m:t>=</m:t>
        </m:r>
        <m:r>
          <m:t>0.48</m:t>
        </m:r>
      </m:oMath>
      <w:r>
        <w:t xml:space="preserve">), whereas exploratory duration caliper matching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t xml:space="preserve">) yields an AUC lift of</w:t>
      </w:r>
      <w:r>
        <w:t xml:space="preserve"> </w:t>
      </w:r>
      <m:oMath>
        <m:r>
          <m:rPr>
            <m:sty m:val="p"/>
          </m:rPr>
          <m:t>+</m:t>
        </m:r>
        <m:r>
          <m:t>0.110</m:t>
        </m:r>
      </m:oMath>
      <w:r>
        <w:t xml:space="preserve"> </w:t>
      </w:r>
      <w:r>
        <w:t xml:space="preserve">to</w:t>
      </w:r>
      <w:r>
        <w:t xml:space="preserve"> </w:t>
      </w:r>
      <m:oMath>
        <m:r>
          <m:rPr>
            <m:sty m:val="p"/>
          </m:rPr>
          <m:t>+</m:t>
        </m:r>
        <m:r>
          <m:t>0.125</m:t>
        </m:r>
      </m:oMath>
      <w:r>
        <w:t xml:space="preserve"> </w:t>
      </w:r>
      <w:r>
        <w:t xml:space="preserve">(95% paired cluster bootstrap CI [+0.074, +0.238] on 36 airframes); a fixed 30 s window did not reproduce this lift, so it may reflect duration itself rather than masked precursors.</w:t>
      </w:r>
      <w:r>
        <w:t xml:space="preserve"> </w:t>
      </w:r>
      <w:r>
        <w:t xml:space="preserve">(ii) We assemble, to our knowledge, a small first validation set of real-flight crash logs from public PX4 archives that pairs uploader responsibility labels</w:t>
      </w:r>
      <w:r>
        <w:t xml:space="preserve"> </w:t>
      </w:r>
      <w:r>
        <w:t xml:space="preserve">with independent expert forum diagnoses (</w:t>
      </w:r>
      <m:oMath>
        <m:r>
          <m:t>κ</m:t>
        </m:r>
        <m:r>
          <m:rPr>
            <m:sty m:val="p"/>
          </m:rPr>
          <m:t>≥</m:t>
        </m:r>
        <m:r>
          <m:t>0.73</m:t>
        </m:r>
      </m:oMath>
      <w:r>
        <w:t xml:space="preserve">, 148 threads, 43 downloadable logs).</w:t>
      </w:r>
      <w:r>
        <w:t xml:space="preserve"> </w:t>
      </w:r>
      <w:r>
        <w:t xml:space="preserve">(iii) We show that with these rules, models and labels, cross-validated classification yielded AUCs between 0.408 and 0.501</w:t>
      </w:r>
      <w:r>
        <w:t xml:space="preserve"> </w:t>
      </w:r>
      <w:r>
        <w:t xml:space="preserve">(upper 95% bootstrap bounds 0.510–0.619); with only 36 pilot-labelled crashes in the modelling sample, 80% power requires an AUC of roughly 0.65 under asymptotic theory (0.75 under the empirical permutation null), far below the roughly 0.8 an operational attribution verdict requires. Agreement</w:t>
      </w:r>
      <w:r>
        <w:t xml:space="preserve"> </w:t>
      </w:r>
      <w:r>
        <w:t xml:space="preserve">with expert forum diagnoses was statistically inconclusive (balanced accuracy 0.381, 95% CrI 0.25–0.61, conservative class-averaged bound 0.19–0.73; cannot exclude agreement at the declared 0.70 pass mark; pilot recall 1 of 5).</w:t>
      </w:r>
      <w:r>
        <w:t xml:space="preserve"> </w:t>
      </w:r>
      <w:r>
        <w:t xml:space="preserve">Our prospectively declared negative result applies to the heuristic rule (balanced accuracy 0.47 on 112 held-out crashes) and to linear models and decision stumps; exploratory depth-3 decision trees across all cut-offs yielded cross-validated AUCs of 0.517 [0.392, 0.636] at</w:t>
      </w:r>
      <w:r>
        <w:t xml:space="preserve"> </w:t>
      </w:r>
      <m:oMath>
        <m:r>
          <m:t>m</m:t>
        </m:r>
        <m:r>
          <m:rPr>
            <m:sty m:val="p"/>
          </m:rPr>
          <m:t>=</m:t>
        </m:r>
        <m:r>
          <m:t>0</m:t>
        </m:r>
      </m:oMath>
      <w:r>
        <w:t xml:space="preserve"> s, 0.594 [0.482, 0.706] at</w:t>
      </w:r>
      <w:r>
        <w:t xml:space="preserve"> </w:t>
      </w:r>
      <m:oMath>
        <m:r>
          <m:t>m</m:t>
        </m:r>
        <m:r>
          <m:rPr>
            <m:sty m:val="p"/>
          </m:rPr>
          <m:t>=</m:t>
        </m:r>
        <m:r>
          <m:t>2</m:t>
        </m:r>
      </m:oMath>
      <w:r>
        <w:t xml:space="preserve"> s, 0.603 [0.479, 0.724] at</w:t>
      </w:r>
      <w:r>
        <w:t xml:space="preserve"> </w:t>
      </w:r>
      <m:oMath>
        <m:r>
          <m:t>m</m:t>
        </m:r>
        <m:r>
          <m:rPr>
            <m:sty m:val="p"/>
          </m:rPr>
          <m:t>=</m:t>
        </m:r>
        <m:r>
          <m:t>5</m:t>
        </m:r>
      </m:oMath>
      <w:r>
        <w:t xml:space="preserve"> s, 0.379 [0.249, 0.524] at</w:t>
      </w:r>
      <w:r>
        <w:t xml:space="preserve"> </w:t>
      </w:r>
      <m:oMath>
        <m:r>
          <m:t>m</m:t>
        </m:r>
        <m:r>
          <m:rPr>
            <m:sty m:val="p"/>
          </m:rPr>
          <m:t>=</m:t>
        </m:r>
        <m:r>
          <m:t>10</m:t>
        </m:r>
      </m:oMath>
      <w:r>
        <w:t xml:space="preserve"> s, 0.468 [0.331, 0.604] at</w:t>
      </w:r>
      <w:r>
        <w:t xml:space="preserve"> </w:t>
      </w:r>
      <m:oMath>
        <m:r>
          <m:t>m</m:t>
        </m:r>
        <m:r>
          <m:rPr>
            <m:sty m:val="p"/>
          </m:rPr>
          <m:t>=</m:t>
        </m:r>
        <m:r>
          <m:t>20</m:t>
        </m:r>
      </m:oMath>
      <w:r>
        <w:t xml:space="preserve"> s, and 0.366 [0.223, 0.519] at</w:t>
      </w:r>
      <w:r>
        <w:t xml:space="preserve"> </w:t>
      </w:r>
      <m:oMath>
        <m:r>
          <m:t>m</m:t>
        </m:r>
        <m:r>
          <m:rPr>
            <m:sty m:val="p"/>
          </m:rPr>
          <m:t>=</m:t>
        </m:r>
        <m:r>
          <m:t>30</m:t>
        </m:r>
      </m:oMath>
      <w:r>
        <w:t xml:space="preserve"> s (upper bounds near 0.73 occur only when terminal tumble telemetry is retained, dropping to 0.524 under 10 s leakage control). Furthermore, apparent diagnostic check accuracy</w:t>
      </w:r>
      <w:r>
        <w:t xml:space="preserve"> </w:t>
      </w:r>
      <w:r>
        <w:t xml:space="preserve">is consistent with crash-window leakage (as an exploratory illustration, tuning check sensitivity fell from 7/9 to 1/9, unadjusted</w:t>
      </w:r>
      <w:r>
        <w:t xml:space="preserve"> </w:t>
      </w:r>
      <m:oMath>
        <m:r>
          <m:t>p</m:t>
        </m:r>
        <m:r>
          <m:rPr>
            <m:sty m:val="p"/>
          </m:rPr>
          <m:t>=</m:t>
        </m:r>
        <m:r>
          <m:t>0.031</m:t>
        </m:r>
      </m:oMath>
      <w:r>
        <w:t xml:space="preserve">, alongside a drop in normal false alarms from 13% to 5%).</w:t>
      </w:r>
      <w:r>
        <w:t xml:space="preserve"> </w:t>
      </w:r>
      <w:r>
        <w:t xml:space="preserve">(iv) We report one partial positive screening signal: drones that later crash are rougher than matched peers on ordinary flights on older</w:t>
      </w:r>
      <w:r>
        <w:t xml:space="preserve"> </w:t>
      </w:r>
      <w:r>
        <w:t xml:space="preserve">estimator metrics (mean rank 0.67, Holm</w:t>
      </w:r>
      <w:r>
        <w:t xml:space="preserve"> </w:t>
      </w:r>
      <m:oMath>
        <m:r>
          <m:t>p</m:t>
        </m:r>
        <m:r>
          <m:rPr>
            <m:sty m:val="p"/>
          </m:rPr>
          <m:t>=</m:t>
        </m:r>
        <m:r>
          <m:t>0.016</m:t>
        </m:r>
      </m:oMath>
      <w:r>
        <w:t xml:space="preserve">); replication on newer accelerometer metrics was inconclusive</w:t>
      </w:r>
      <w:r>
        <w:t xml:space="preserve"> </w:t>
      </w:r>
      <w:r>
        <w:t xml:space="preserve">(</w:t>
      </w:r>
      <m:oMath>
        <m:r>
          <m:t>p</m:t>
        </m:r>
        <m:r>
          <m:rPr>
            <m:sty m:val="p"/>
          </m:rPr>
          <m:t>=</m:t>
        </m:r>
        <m:r>
          <m:t>0.25</m:t>
        </m:r>
      </m:oMath>
      <w:r>
        <w:t xml:space="preserve">, 19 sets, severely underpowered). As an exploratory illustration, screening against 107 stratum-matched fleet controls at an assumed 10% flag rate yields an operational lift of</w:t>
      </w:r>
      <w:r>
        <w:t xml:space="preserve"> </w:t>
      </w:r>
      <m:oMath>
        <m:r>
          <m:t>3.3</m:t>
        </m:r>
        <m:r>
          <m:rPr>
            <m:sty m:val="p"/>
          </m:rPr>
          <m:t>×</m:t>
        </m:r>
      </m:oMath>
      <w:r>
        <w:t xml:space="preserve"> </w:t>
      </w:r>
      <w:r>
        <w:t xml:space="preserve">(illustrative PPV 2.26–2.43% [exact Bayes] across screenable and fleet base rates; 41.2–44.2 inspections per detected crash)—a maintenance</w:t>
      </w:r>
      <w:r>
        <w:t xml:space="preserve"> </w:t>
      </w:r>
      <w:r>
        <w:t xml:space="preserve">prioritization signal, not an operational warning.</w:t>
      </w:r>
      <w:r>
        <w:t xml:space="preserve"> </w:t>
      </w:r>
      <w:r>
        <w:t xml:space="preserve">(v) We show how these results translate into design implications for fleet assurance tools that present longitudinal evidence</w:t>
      </w:r>
      <w:r>
        <w:t xml:space="preserve"> </w:t>
      </w:r>
      <w:r>
        <w:t xml:space="preserve">and rank drones without issuing automatic verdicts.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To our knowledge, none of these public resources</w:t>
      </w:r>
      <w:r>
        <w:t xml:space="preserve"> </w:t>
      </w:r>
      <w:r>
        <w:t xml:space="preserve">labels real crashes by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23</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24</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25</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26</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27</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28</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29</w:t>
        </w:r>
      </w:hyperlink>
      <w:r>
        <w:t xml:space="preserve">]</w:t>
      </w:r>
      <w:r>
        <w:t xml:space="preserve">. We apply these ideas</w:t>
      </w:r>
      <w:r>
        <w:t xml:space="preserve"> </w:t>
      </w:r>
      <w:r>
        <w:t xml:space="preserve">together as an evaluation protocol for drone logs.</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5.7).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5.7).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4). Where a test reused logs already downloaded for an earlier test, the protocol records it as declared before running, not before download (exploratory additions added during revision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5.9.</w:t>
      </w:r>
    </w:p>
    <w:bookmarkStart w:id="25" w:name="_1109c9b174200475a1caee43f99c27cd27b62f9"/>
    <w:p>
      <w:pPr>
        <w:pStyle w:val="TableCaption"/>
      </w:pPr>
      <w:r>
        <w:t xml:space="preserve">Table 4. Pre-declared confirmatory protocol registration schedule and version control provenance. All commits occurred prior to execution of the governed analysis. Commit timestamps reflect author-controlled local git records (IST) prior to Software Heritage archival.</w:t>
      </w:r>
    </w:p>
    <w:tbl>
      <w:tblPr>
        <w:tblStyle w:val="Table"/>
        <w:tblW w:type="pct" w:w="5000"/>
        <w:tblLook w:firstRow="1" w:lastRow="0" w:firstColumn="0" w:lastColumn="0" w:noHBand="0" w:noVBand="0" w:val="0020"/>
        <w:tblCaption w:val="Table 4. Pre-declared confirmatory protocol registration schedule and version control provenance. All commits occurred prior to execution of the governed analysis. Commit timestamps reflect author-controlled local git records (IST) prior to Software Heritage archival."/>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 Hypothesis</w:t>
            </w:r>
          </w:p>
        </w:tc>
        <w:tc>
          <w:tcPr/>
          <w:p>
            <w:pPr>
              <w:pStyle w:val="Compact"/>
              <w:spacing w:line="240" w:lineRule="auto"/>
              <w:jc w:val="center"/>
            </w:pPr>
            <w:r>
              <w:rPr>
                <w:sz w:val="19"/>
              </w:rPr>
              <w:t xml:space="preserve">Commit</w:t>
            </w:r>
          </w:p>
        </w:tc>
        <w:tc>
          <w:tcPr/>
          <w:p>
            <w:pPr>
              <w:pStyle w:val="Compact"/>
              <w:spacing w:line="240" w:lineRule="auto"/>
              <w:jc w:val="center"/>
            </w:pPr>
            <w:r>
              <w:rPr>
                <w:sz w:val="19"/>
              </w:rPr>
              <w:t xml:space="preserve">Commit date</w:t>
            </w:r>
          </w:p>
        </w:tc>
        <w:tc>
          <w:tcPr/>
          <w:p>
            <w:pPr>
              <w:pStyle w:val="Compact"/>
              <w:spacing w:line="240" w:lineRule="auto"/>
              <w:jc w:val="center"/>
            </w:pPr>
            <w:r>
              <w:rPr>
                <w:sz w:val="19"/>
              </w:rPr>
              <w:t xml:space="preserve">Run date</w:t>
            </w:r>
          </w:p>
        </w:tc>
        <w:tc>
          <w:tcPr/>
          <w:p>
            <w:pPr>
              <w:pStyle w:val="Compact"/>
              <w:spacing w:line="240" w:lineRule="auto"/>
              <w:jc w:val="center"/>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w:t>
            </w:r>
          </w:p>
        </w:tc>
        <w:tc>
          <w:tcPr/>
          <w:p>
            <w:pPr>
              <w:pStyle w:val="Compact"/>
              <w:spacing w:line="240" w:lineRule="auto"/>
              <w:jc w:val="center"/>
            </w:pPr>
            <w:r>
              <w:rPr>
                <w:rStyle w:val="VerbatimChar"/>
                <w:sz w:val="19"/>
              </w:rPr>
              <w:t xml:space="preserve">63bc72e</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Fixed attribution rule (BA</w:t>
            </w:r>
            <w:r>
              <w:rPr>
                <w:sz w:val="19"/>
              </w:rPr>
              <w:t xml:space="preserve"> </w:t>
            </w:r>
            <m:oMath>
              <m:r>
                <m:rPr>
                  <m:sty m:val="p"/>
                </m:rPr>
                <m:t>≥</m:t>
              </m:r>
              <m:r>
                <m:t>0.70</m:t>
              </m:r>
            </m:oMath>
            <w:r>
              <w:rPr>
                <w:sz w:val="19"/>
              </w:rPr>
              <w:t xml:space="preserve">)</w:t>
            </w:r>
          </w:p>
        </w:tc>
        <w:tc>
          <w:tcPr/>
          <w:p>
            <w:pPr>
              <w:pStyle w:val="Compact"/>
              <w:spacing w:line="240" w:lineRule="auto"/>
              <w:jc w:val="center"/>
            </w:pPr>
            <w:r>
              <w:rPr>
                <w:rStyle w:val="VerbatimChar"/>
                <w:sz w:val="19"/>
              </w:rPr>
              <w:t xml:space="preserve">af6fab2</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(BA</w:t>
            </w:r>
            <w:r>
              <w:rPr>
                <w:sz w:val="19"/>
              </w:rPr>
              <w:t xml:space="preserve"> </w:t>
            </w:r>
            <m:oMath>
              <m:r>
                <m:rPr>
                  <m:sty m:val="p"/>
                </m:rPr>
                <m:t>≥</m:t>
              </m:r>
              <m:r>
                <m:t>0.70</m:t>
              </m:r>
            </m:oMath>
            <w:r>
              <w:rPr>
                <w:sz w:val="19"/>
              </w:rPr>
              <w:t xml:space="preserve">)</w:t>
            </w:r>
          </w:p>
        </w:tc>
        <w:tc>
          <w:tcPr/>
          <w:p>
            <w:pPr>
              <w:pStyle w:val="Compact"/>
              <w:spacing w:line="240" w:lineRule="auto"/>
              <w:jc w:val="center"/>
            </w:pPr>
            <w:r>
              <w:rPr>
                <w:rStyle w:val="VerbatimChar"/>
                <w:sz w:val="19"/>
              </w:rPr>
              <w:t xml:space="preserve">4475c8c</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Q4 (</w:t>
            </w:r>
            <m:oMath>
              <m:r>
                <m:t>m</m:t>
              </m:r>
              <m:r>
                <m:rPr>
                  <m:sty m:val="p"/>
                </m:rPr>
                <m:t>=</m:t>
              </m:r>
              <m:r>
                <m:t>0</m:t>
              </m:r>
            </m:oMath>
            <w:r>
              <w:rPr>
                <w:sz w:val="19"/>
              </w:rPr>
              <w:t xml:space="preserve">)</w:t>
            </w:r>
          </w:p>
        </w:tc>
        <w:tc>
          <w:tcPr/>
          <w:p>
            <w:pPr>
              <w:pStyle w:val="Compact"/>
              <w:spacing w:line="240" w:lineRule="auto"/>
              <w:jc w:val="left"/>
            </w:pPr>
            <w:r>
              <w:rPr>
                <w:sz w:val="19"/>
              </w:rPr>
              <w:t xml:space="preserve">Expert fault checks on full window</w:t>
            </w:r>
          </w:p>
        </w:tc>
        <w:tc>
          <w:tcPr/>
          <w:p>
            <w:pPr>
              <w:pStyle w:val="Compact"/>
              <w:spacing w:line="240" w:lineRule="auto"/>
              <w:jc w:val="center"/>
            </w:pPr>
            <w:r>
              <w:rPr>
                <w:rStyle w:val="VerbatimChar"/>
                <w:sz w:val="19"/>
              </w:rPr>
              <w:t xml:space="preserve">0c8ee47</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Q4 (</w:t>
            </w:r>
            <m:oMath>
              <m:r>
                <m:t>m</m:t>
              </m:r>
              <m:r>
                <m:rPr>
                  <m:sty m:val="p"/>
                </m:rPr>
                <m:t>=</m:t>
              </m:r>
              <m:r>
                <m:t>10</m:t>
              </m:r>
            </m:oMath>
            <w:r>
              <w:rPr>
                <w:sz w:val="19"/>
              </w:rPr>
              <w:t xml:space="preserve">)</w:t>
            </w:r>
          </w:p>
        </w:tc>
        <w:tc>
          <w:tcPr/>
          <w:p>
            <w:pPr>
              <w:pStyle w:val="Compact"/>
              <w:spacing w:line="240" w:lineRule="auto"/>
              <w:jc w:val="left"/>
            </w:pPr>
            <w:r>
              <w:rPr>
                <w:sz w:val="19"/>
              </w:rPr>
              <w:t xml:space="preserve">Expert fault checks at</w:t>
            </w:r>
            <w:r>
              <w:rPr>
                <w:sz w:val="19"/>
              </w:rPr>
              <w:t xml:space="preserve"> </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0c8ee47</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Crash window leak curve (</w:t>
            </w:r>
            <m:oMath>
              <m:r>
                <m:rPr>
                  <m:sty m:val="p"/>
                </m:rPr>
                <m:t>Δ</m:t>
              </m:r>
              <m:r>
                <m:rPr>
                  <m:sty m:val="p"/>
                </m:rPr>
                <m:t>≥</m:t>
              </m:r>
              <m:r>
                <m:t>0.10</m:t>
              </m:r>
            </m:oMath>
            <w:r>
              <w:rPr>
                <w:sz w:val="19"/>
              </w:rPr>
              <w:t xml:space="preserve">)</w:t>
            </w:r>
          </w:p>
        </w:tc>
        <w:tc>
          <w:tcPr/>
          <w:p>
            <w:pPr>
              <w:pStyle w:val="Compact"/>
              <w:spacing w:line="240" w:lineRule="auto"/>
              <w:jc w:val="center"/>
            </w:pPr>
            <w:r>
              <w:rPr>
                <w:rStyle w:val="VerbatimChar"/>
                <w:sz w:val="19"/>
              </w:rPr>
              <w:t xml:space="preserve">d5d56c7</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rank test (</w:t>
            </w:r>
            <m:oMath>
              <m:acc>
                <m:accPr>
                  <m:chr m:val="‾"/>
                </m:accPr>
                <m:e>
                  <m:r>
                    <m:t>r</m:t>
                  </m:r>
                </m:e>
              </m:acc>
              <m:r>
                <m:rPr>
                  <m:sty m:val="p"/>
                </m:rPr>
                <m:t>&gt;</m:t>
              </m:r>
              <m:r>
                <m:t>0.50</m:t>
              </m:r>
            </m:oMath>
            <w:r>
              <w:rPr>
                <w:sz w:val="19"/>
              </w:rPr>
              <w:t xml:space="preserve">)</w:t>
            </w:r>
          </w:p>
        </w:tc>
        <w:tc>
          <w:tcPr/>
          <w:p>
            <w:pPr>
              <w:pStyle w:val="Compact"/>
              <w:spacing w:line="240" w:lineRule="auto"/>
              <w:jc w:val="center"/>
            </w:pPr>
            <w:r>
              <w:rPr>
                <w:rStyle w:val="VerbatimChar"/>
                <w:sz w:val="19"/>
              </w:rPr>
              <w:t xml:space="preserve">8b417d2</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rank test (</w:t>
            </w:r>
            <m:oMath>
              <m:acc>
                <m:accPr>
                  <m:chr m:val="‾"/>
                </m:accPr>
                <m:e>
                  <m:r>
                    <m:t>r</m:t>
                  </m:r>
                </m:e>
              </m:acc>
              <m:r>
                <m:rPr>
                  <m:sty m:val="p"/>
                </m:rPr>
                <m:t>&gt;</m:t>
              </m:r>
              <m:r>
                <m:t>0.50</m:t>
              </m:r>
            </m:oMath>
            <w:r>
              <w:rPr>
                <w:sz w:val="19"/>
              </w:rPr>
              <w:t xml:space="preserve">)</w:t>
            </w:r>
          </w:p>
        </w:tc>
        <w:tc>
          <w:tcPr/>
          <w:p>
            <w:pPr>
              <w:pStyle w:val="Compact"/>
              <w:spacing w:line="240" w:lineRule="auto"/>
              <w:jc w:val="center"/>
            </w:pPr>
            <w:r>
              <w:rPr>
                <w:rStyle w:val="VerbatimChar"/>
                <w:sz w:val="19"/>
              </w:rPr>
              <w:t xml:space="preserve">d7a6574</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accelerometer vibration</w:t>
            </w:r>
          </w:p>
        </w:tc>
        <w:tc>
          <w:tcPr/>
          <w:p>
            <w:pPr>
              <w:pStyle w:val="Compact"/>
              <w:spacing w:line="240" w:lineRule="auto"/>
              <w:jc w:val="center"/>
            </w:pPr>
            <w:r>
              <w:rPr>
                <w:rStyle w:val="VerbatimChar"/>
                <w:sz w:val="19"/>
              </w:rPr>
              <w:t xml:space="preserve">2148644</w:t>
            </w:r>
          </w:p>
        </w:tc>
        <w:tc>
          <w:tcPr/>
          <w:p>
            <w:pPr>
              <w:pStyle w:val="Compact"/>
              <w:spacing w:line="240" w:lineRule="auto"/>
              <w:jc w:val="center"/>
            </w:pPr>
            <w:r>
              <w:rPr>
                <w:sz w:val="19"/>
              </w:rPr>
              <w:t xml:space="preserve">2026-10-24</w:t>
            </w:r>
          </w:p>
        </w:tc>
        <w:tc>
          <w:tcPr/>
          <w:p>
            <w:pPr>
              <w:pStyle w:val="Compact"/>
              <w:spacing w:line="240" w:lineRule="auto"/>
              <w:jc w:val="center"/>
            </w:pPr>
            <w:r>
              <w:rPr>
                <w:sz w:val="19"/>
              </w:rPr>
              <w:t xml:space="preserve">2026-10-24</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Inter-rater blind agreement (</w:t>
            </w:r>
            <m:oMath>
              <m:r>
                <m:t>κ</m:t>
              </m:r>
              <m:r>
                <m:rPr>
                  <m:sty m:val="p"/>
                </m:rPr>
                <m:t>≥</m:t>
              </m:r>
              <m:r>
                <m:t>0.60</m:t>
              </m:r>
            </m:oMath>
            <w:r>
              <w:rPr>
                <w:sz w:val="19"/>
              </w:rPr>
              <w:t xml:space="preserve">)</w:t>
            </w:r>
          </w:p>
        </w:tc>
        <w:tc>
          <w:tcPr/>
          <w:p>
            <w:pPr>
              <w:pStyle w:val="Compact"/>
              <w:spacing w:line="240" w:lineRule="auto"/>
              <w:jc w:val="center"/>
            </w:pPr>
            <w:r>
              <w:rPr>
                <w:rStyle w:val="VerbatimChar"/>
                <w:sz w:val="19"/>
              </w:rPr>
              <w:t xml:space="preserve">21af373</w:t>
            </w:r>
          </w:p>
        </w:tc>
        <w:tc>
          <w:tcPr/>
          <w:p>
            <w:pPr>
              <w:pStyle w:val="Compact"/>
              <w:spacing w:line="240" w:lineRule="auto"/>
              <w:jc w:val="center"/>
            </w:pPr>
            <w:r>
              <w:rPr>
                <w:sz w:val="19"/>
              </w:rPr>
              <w:t xml:space="preserve">2026-10-24</w:t>
            </w:r>
          </w:p>
        </w:tc>
        <w:tc>
          <w:tcPr/>
          <w:p>
            <w:pPr>
              <w:pStyle w:val="Compact"/>
              <w:spacing w:line="240" w:lineRule="auto"/>
              <w:jc w:val="center"/>
            </w:pPr>
            <w:r>
              <w:rPr>
                <w:sz w:val="19"/>
              </w:rPr>
              <w:t xml:space="preserve">2026-10-24</w:t>
            </w:r>
          </w:p>
        </w:tc>
        <w:tc>
          <w:tcPr/>
          <w:p>
            <w:pPr>
              <w:pStyle w:val="Compact"/>
              <w:spacing w:line="240" w:lineRule="auto"/>
              <w:jc w:val="center"/>
            </w:pPr>
            <w:r>
              <w:rPr>
                <w:sz w:val="19"/>
              </w:rPr>
              <w:t xml:space="preserve">Confirmatory</w:t>
            </w:r>
          </w:p>
        </w:tc>
      </w:tr>
    </w:tbl>
    <w:bookmarkEnd w:id="25"/>
    <w:p>
      <w:pPr>
        <w:pStyle w:val="Heading2"/>
      </w:pPr>
      <w:bookmarkStart w:id="26" w:name="_3e02a71fb6433a5b51224604e9029e12073209c"/>
      <w:r>
        <w:rPr>
          <w:rStyle w:val="SectionNumber"/>
        </w:rPr>
        <w:t xml:space="preserve">4.2</w:t>
      </w:r>
      <w:r>
        <w:tab/>
      </w:r>
      <w:r>
        <w:t xml:space="preserve">Crash moment and analysis window</w:t>
      </w:r>
      <w:bookmarkEnd w:id="26"/>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5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5. Features computed on each analysis window.</w:t>
      </w:r>
    </w:p>
    <w:tbl>
      <w:tblPr>
        <w:tblStyle w:val="Table"/>
        <w:tblW w:type="pct" w:w="5000"/>
        <w:tblLook w:firstRow="1" w:lastRow="0" w:firstColumn="0" w:lastColumn="0" w:noHBand="0" w:noVBand="0" w:val="0020"/>
        <w:tblCaption w:val="Table 5.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30</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which yielded cross-validated AUCs of</w:t>
      </w:r>
      <w:r>
        <w:t xml:space="preserve"> </w:t>
      </w:r>
      <m:oMath>
        <m:r>
          <m:t>0.517</m:t>
        </m:r>
      </m:oMath>
      <w:r>
        <w:t xml:space="preserve"> </w:t>
      </w:r>
      <w:r>
        <w:t xml:space="preserve">[0.392, 0.636] at</w:t>
      </w:r>
      <w:r>
        <w:t xml:space="preserve"> </w:t>
      </w:r>
      <m:oMath>
        <m:r>
          <m:t>m</m:t>
        </m:r>
        <m:r>
          <m:rPr>
            <m:sty m:val="p"/>
          </m:rPr>
          <m:t>=</m:t>
        </m:r>
        <m:r>
          <m:t>0</m:t>
        </m:r>
      </m:oMath>
      <w:r>
        <w:t xml:space="preserve"> s,</w:t>
      </w:r>
      <w:r>
        <w:t xml:space="preserve"> </w:t>
      </w:r>
      <m:oMath>
        <m:r>
          <m:t>0.594</m:t>
        </m:r>
      </m:oMath>
      <w:r>
        <w:t xml:space="preserve"> </w:t>
      </w:r>
      <w:r>
        <w:t xml:space="preserve">[0.482, 0.706] at</w:t>
      </w:r>
      <w:r>
        <w:t xml:space="preserve"> </w:t>
      </w:r>
      <m:oMath>
        <m:r>
          <m:t>m</m:t>
        </m:r>
        <m:r>
          <m:rPr>
            <m:sty m:val="p"/>
          </m:rPr>
          <m:t>=</m:t>
        </m:r>
        <m:r>
          <m:t>2</m:t>
        </m:r>
      </m:oMath>
      <w:r>
        <w:t xml:space="preserve"> s,</w:t>
      </w:r>
      <w:r>
        <w:t xml:space="preserve"> </w:t>
      </w:r>
      <m:oMath>
        <m:r>
          <m:t>0.603</m:t>
        </m:r>
      </m:oMath>
      <w:r>
        <w:t xml:space="preserve"> </w:t>
      </w:r>
      <w:r>
        <w:t xml:space="preserve">[0.479, 0.724] at</w:t>
      </w:r>
      <w:r>
        <w:t xml:space="preserve"> </w:t>
      </w:r>
      <m:oMath>
        <m:r>
          <m:t>m</m:t>
        </m:r>
        <m:r>
          <m:rPr>
            <m:sty m:val="p"/>
          </m:rPr>
          <m:t>=</m:t>
        </m:r>
        <m:r>
          <m:t>5</m:t>
        </m:r>
      </m:oMath>
      <w:r>
        <w:t xml:space="preserve"> s,</w:t>
      </w:r>
      <w:r>
        <w:t xml:space="preserve"> </w:t>
      </w:r>
      <m:oMath>
        <m:r>
          <m:t>0.379</m:t>
        </m:r>
      </m:oMath>
      <w:r>
        <w:t xml:space="preserve"> </w:t>
      </w:r>
      <w:r>
        <w:t xml:space="preserve">[0.249, 0.524] at</w:t>
      </w:r>
      <w:r>
        <w:t xml:space="preserve"> </w:t>
      </w:r>
      <m:oMath>
        <m:r>
          <m:t>m</m:t>
        </m:r>
        <m:r>
          <m:rPr>
            <m:sty m:val="p"/>
          </m:rPr>
          <m:t>=</m:t>
        </m:r>
        <m:r>
          <m:t>10</m:t>
        </m:r>
      </m:oMath>
      <w:r>
        <w:t xml:space="preserve"> s,</w:t>
      </w:r>
      <w:r>
        <w:t xml:space="preserve"> </w:t>
      </w:r>
      <m:oMath>
        <m:r>
          <m:t>0.468</m:t>
        </m:r>
      </m:oMath>
      <w:r>
        <w:t xml:space="preserve"> </w:t>
      </w:r>
      <w:r>
        <w:t xml:space="preserve">[0.331, 0.604] at</w:t>
      </w:r>
      <w:r>
        <w:t xml:space="preserve"> </w:t>
      </w:r>
      <m:oMath>
        <m:r>
          <m:t>m</m:t>
        </m:r>
        <m:r>
          <m:rPr>
            <m:sty m:val="p"/>
          </m:rPr>
          <m:t>=</m:t>
        </m:r>
        <m:r>
          <m:t>20</m:t>
        </m:r>
      </m:oMath>
      <w:r>
        <w:t xml:space="preserve"> s, and</w:t>
      </w:r>
      <w:r>
        <w:t xml:space="preserve"> </w:t>
      </w:r>
      <m:oMath>
        <m:r>
          <m:t>0.366</m:t>
        </m:r>
      </m:oMath>
      <w:r>
        <w:t xml:space="preserve"> </w:t>
      </w:r>
      <w:r>
        <w:t xml:space="preserve">[0.223, 0.519] at</w:t>
      </w:r>
      <w:r>
        <w:t xml:space="preserve"> </w:t>
      </w:r>
      <m:oMath>
        <m:r>
          <m:t>m</m:t>
        </m:r>
        <m:r>
          <m:rPr>
            <m:sty m:val="p"/>
          </m:rPr>
          <m:t>=</m:t>
        </m:r>
        <m:r>
          <m:t>30</m:t>
        </m:r>
      </m:oMath>
      <w:r>
        <w:t xml:space="preserve"> s (1,000 flight-level bootstrap resamples). Upper confidence bounds near 0.73 occur specifically when terminal tumble telemetry is included (</w:t>
      </w:r>
      <m:oMath>
        <m:r>
          <m:t>m</m:t>
        </m:r>
        <m:r>
          <m:rPr>
            <m:sty m:val="p"/>
          </m:rPr>
          <m:t>≤</m:t>
        </m:r>
        <m:r>
          <m:t>5</m:t>
        </m:r>
      </m:oMath>
      <w:r>
        <w:t xml:space="preserve"> s); removing the final 10 s reduces the upper bound to 0.524, confirming that non-linear decision trees also fall within chance under leakage control. Because they exhibited high fold instability and were not pre-declared, they were not retained for the primary benchmark.</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31</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32</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5.8.</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33</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30" w:name="_a28f169358a053f7b171a621bd02ee9ea3d1d28"/>
      <w:r>
        <w:rPr>
          <w:rStyle w:val="SectionNumber"/>
        </w:rPr>
        <w:t xml:space="preserve">5</w:t>
      </w:r>
      <w:r>
        <w:tab/>
      </w:r>
      <w:r>
        <w:t xml:space="preserve">Results</w:t>
      </w:r>
      <w:bookmarkEnd w:id="30"/>
    </w:p>
    <w:p>
      <w:pPr>
        <w:pStyle w:val="Heading2"/>
      </w:pPr>
      <w:bookmarkStart w:id="31" w:name="_b5aaa7ca938fd555382c3a03c84ed52c113cbc5"/>
      <w:r>
        <w:rPr>
          <w:rStyle w:val="SectionNumber"/>
        </w:rPr>
        <w:t xml:space="preserve">5.1</w:t>
      </w:r>
      <w:r>
        <w:tab/>
      </w:r>
      <w:r>
        <w:t xml:space="preserve">Configuration settings (Q1)</w:t>
      </w:r>
      <w:bookmarkEnd w:id="31"/>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not part of the pre-declared confirmatory family,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2" w:name="_67b7d8605d9b5ee82b7c7436e75c8e2c5476655"/>
      <w:r>
        <w:rPr>
          <w:rStyle w:val="SectionNumber"/>
        </w:rPr>
        <w:t xml:space="preserve">5.2</w:t>
      </w:r>
      <w:r>
        <w:tab/>
      </w:r>
      <w:r>
        <w:t xml:space="preserve">Attributing a crash to the pilot or the aircraft (Q2)</w:t>
      </w:r>
      <w:bookmarkEnd w:id="32"/>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6).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w:t>
      </w:r>
      <w:r>
        <w:t xml:space="preserve"> </w:t>
      </w:r>
      <w:r>
        <w:t xml:space="preserve">pooled cross-validated logistic regression yielded an ROC AUC of 0.408 (bootstrap SE 0.062, 95% CI 0.288–0.530, upper 95% bound 0.510) at</w:t>
      </w:r>
      <w:r>
        <w:t xml:space="preserve"> </w:t>
      </w:r>
      <m:oMath>
        <m:r>
          <m:t>m</m:t>
        </m:r>
        <m:r>
          <m:rPr>
            <m:sty m:val="p"/>
          </m:rPr>
          <m:t>=</m:t>
        </m:r>
        <m:r>
          <m:t>0</m:t>
        </m:r>
      </m:oMath>
      <w:r>
        <w:t xml:space="preserve"> s,</w:t>
      </w:r>
      <w:r>
        <w:t xml:space="preserve"> </w:t>
      </w:r>
      <w:r>
        <w:t xml:space="preserve">0.422 (SE 0.072, 95% CI 0.283–0.566, upper bound 0.542) at</w:t>
      </w:r>
      <w:r>
        <w:t xml:space="preserve"> </w:t>
      </w:r>
      <m:oMath>
        <m:r>
          <m:t>m</m:t>
        </m:r>
        <m:r>
          <m:rPr>
            <m:sty m:val="p"/>
          </m:rPr>
          <m:t>=</m:t>
        </m:r>
        <m:r>
          <m:t>10</m:t>
        </m:r>
      </m:oMath>
      <w:r>
        <w:t xml:space="preserve"> s (</w:t>
      </w:r>
      <m:oMath>
        <m:r>
          <m:t>n</m:t>
        </m:r>
        <m:r>
          <m:rPr>
            <m:sty m:val="p"/>
          </m:rPr>
          <m:t>=</m:t>
        </m:r>
        <m:r>
          <m:t>114</m:t>
        </m:r>
      </m:oMath>
      <w:r>
        <w:t xml:space="preserve">), and 0.501 (SE 0.073, 95% CI 0.358–0.645, upper bound 0.619)</w:t>
      </w:r>
      <w:r>
        <w:t xml:space="preserve"> </w:t>
      </w:r>
      <w:r>
        <w:t xml:space="preserve">at</w:t>
      </w:r>
      <w:r>
        <w:t xml:space="preserve"> </w:t>
      </w:r>
      <m:oMath>
        <m:r>
          <m:t>m</m:t>
        </m:r>
        <m:r>
          <m:rPr>
            <m:sty m:val="p"/>
          </m:rPr>
          <m:t>=</m:t>
        </m:r>
        <m:r>
          <m:t>30</m:t>
        </m:r>
      </m:oMath>
      <w:r>
        <w:t xml:space="preserve"> s (</w:t>
      </w:r>
      <m:oMath>
        <m:r>
          <m:t>n</m:t>
        </m:r>
        <m:r>
          <m:rPr>
            <m:sty m:val="p"/>
          </m:rPr>
          <m:t>=</m:t>
        </m:r>
        <m:r>
          <m:t>89</m:t>
        </m:r>
      </m:oMath>
      <w:r>
        <w:t xml:space="preserve">). Evaluated on the constant complete-case sample of 89 crashes (63 drone, 26 pilot; 70.8% drone-blamed) plotted in</w:t>
      </w:r>
      <w:r>
        <w:t xml:space="preserve"> </w:t>
      </w:r>
      <w:r>
        <w:t xml:space="preserve">Fig. 3, pooled cross-validated logistic regression yielded an AUC of 0.466 (bootstrap SE 0.072, 95% CI 0.325–0.607, upper bound 0.584)</w:t>
      </w:r>
      <w:r>
        <w:t xml:space="preserve"> </w:t>
      </w:r>
      <w:r>
        <w:t xml:space="preserve">at</w:t>
      </w:r>
      <w:r>
        <w:t xml:space="preserve"> </w:t>
      </w:r>
      <m:oMath>
        <m:r>
          <m:t>m</m:t>
        </m:r>
        <m:r>
          <m:rPr>
            <m:sty m:val="p"/>
          </m:rPr>
          <m:t>=</m:t>
        </m:r>
        <m:r>
          <m:t>0</m:t>
        </m:r>
      </m:oMath>
      <w:r>
        <w:t xml:space="preserve"> s, 0.489 (SE 0.074, 95% CI 0.343–0.633, upper bound 0.611) at</w:t>
      </w:r>
      <w:r>
        <w:t xml:space="preserve"> </w:t>
      </w:r>
      <m:oMath>
        <m:r>
          <m:t>m</m:t>
        </m:r>
        <m:r>
          <m:rPr>
            <m:sty m:val="p"/>
          </m:rPr>
          <m:t>=</m:t>
        </m:r>
        <m:r>
          <m:t>10</m:t>
        </m:r>
      </m:oMath>
      <w:r>
        <w:t xml:space="preserve"> s, and 0.501 (SE 0.073, 95% CI 0.358–0.645, upper bound 0.619)</w:t>
      </w:r>
      <w:r>
        <w:t xml:space="preserve"> </w:t>
      </w:r>
      <w:r>
        <w:t xml:space="preserve">at</w:t>
      </w:r>
      <w:r>
        <w:t xml:space="preserve"> </w:t>
      </w:r>
      <m:oMath>
        <m:r>
          <m:t>m</m:t>
        </m:r>
        <m:r>
          <m:rPr>
            <m:sty m:val="p"/>
          </m:rPr>
          <m:t>=</m:t>
        </m:r>
        <m:r>
          <m:t>30</m:t>
        </m:r>
      </m:oMath>
      <w:r>
        <w:t xml:space="preserve"> s.</w:t>
      </w:r>
    </w:p>
    <w:p>
      <w:pPr>
        <w:pStyle w:val="BodyText"/>
      </w:pPr>
      <w:r>
        <w:t xml:space="preserve">To calibrate whether these below-chance AUCs represent an inverted physical signal or finite-sample noise, we computed a 1,000-iteration</w:t>
      </w:r>
      <w:r>
        <w:t xml:space="preserve"> </w:t>
      </w:r>
      <w:r>
        <w:t xml:space="preserve">permutation null distribution on Task B by randomly shuffling crash attribution labels: the null distribution had mean 0.497</w:t>
      </w:r>
      <w:r>
        <w:t xml:space="preserve"> </w:t>
      </w:r>
      <w:r>
        <w:t xml:space="preserve">(SD 0.090) with an empirical 95% interval of 0.313–0.660. The permutation null used the same pooled statistic (mean 0.497), so the below-chance</w:t>
      </w:r>
      <w:r>
        <w:t xml:space="preserve"> </w:t>
      </w:r>
      <w:r>
        <w:t xml:space="preserve">values are not a bias of the statistic; rather, with 36 pilot-labelled crashes against 112 drone crashes in the modelling sample, below-chance</w:t>
      </w:r>
      <w:r>
        <w:t xml:space="preserve"> </w:t>
      </w:r>
      <w:r>
        <w:t xml:space="preserve">point estimates reflect finite-sample variance under class imbalance. The empirical permutation standard deviation (0.090) is wider than the theoretical</w:t>
      </w:r>
      <w:r>
        <w:t xml:space="preserve"> </w:t>
      </w:r>
      <w:r>
        <w:t xml:space="preserve">asymptotic standard error of the Wilcoxon statistic (</w:t>
      </w:r>
      <m:oMath>
        <m:sSub>
          <m:e>
            <m:r>
              <m:rPr>
                <m:nor/>
              </m:rPr>
              <m:t>SE</m:t>
            </m:r>
          </m:e>
          <m:sub>
            <m:r>
              <m:rPr>
                <m:nor/>
              </m:rPr>
              <m:t>null</m:t>
            </m:r>
          </m:sub>
        </m:sSub>
        <m:r>
          <m:rPr>
            <m:sty m:val="p"/>
          </m:rPr>
          <m:t>=</m:t>
        </m:r>
        <m:rad>
          <m:radPr>
            <m:degHide m:val="on"/>
          </m:radPr>
          <m:deg/>
          <m:e>
            <m:r>
              <m:rPr>
                <m:sty m:val="p"/>
              </m:rPr>
              <m:t>(</m:t>
            </m:r>
            <m:r>
              <m:t>36</m:t>
            </m:r>
            <m:r>
              <m:rPr>
                <m:sty m:val="p"/>
              </m:rPr>
              <m:t>+</m:t>
            </m:r>
            <m:r>
              <m:t>112</m:t>
            </m:r>
            <m:r>
              <m:rPr>
                <m:sty m:val="p"/>
              </m:rPr>
              <m:t>+</m:t>
            </m:r>
            <m:r>
              <m:t>1</m:t>
            </m:r>
            <m:r>
              <m:rPr>
                <m:sty m:val="p"/>
              </m:rPr>
              <m:t>)</m:t>
            </m:r>
            <m:r>
              <m:rPr>
                <m:sty m:val="p"/>
              </m:rPr>
              <m:t>/</m:t>
            </m:r>
            <m:r>
              <m:rPr>
                <m:sty m:val="p"/>
              </m:rPr>
              <m:t>(</m:t>
            </m:r>
            <m:r>
              <m:t>12</m:t>
            </m:r>
            <m:r>
              <m:rPr>
                <m:sty m:val="p"/>
              </m:rPr>
              <m:t>×</m:t>
            </m:r>
            <m:r>
              <m:t>36</m:t>
            </m:r>
            <m:r>
              <m:rPr>
                <m:sty m:val="p"/>
              </m:rPr>
              <m:t>×</m:t>
            </m:r>
            <m:r>
              <m:t>112</m:t>
            </m:r>
            <m:r>
              <m:rPr>
                <m:sty m:val="p"/>
              </m:rPr>
              <m:t>)</m:t>
            </m:r>
          </m:e>
        </m:rad>
        <m:r>
          <m:rPr>
            <m:sty m:val="p"/>
          </m:rPr>
          <m:t>≈</m:t>
        </m:r>
        <m:r>
          <m:t>0.0555</m:t>
        </m:r>
      </m:oMath>
      <w:r>
        <w:t xml:space="preserve">).</w:t>
      </w:r>
      <w:r>
        <w:t xml:space="preserve"> </w:t>
      </w:r>
      <w:r>
        <w:t xml:space="preserve">Repeating the permutation null with fixed scores across 10,000 label permutations yields an empirical standard deviation of 0.055 (matching asymptotic theory within</w:t>
      </w:r>
      <w:r>
        <w:t xml:space="preserve"> </w:t>
      </w:r>
      <m:oMath>
        <m:r>
          <m:rPr>
            <m:sty m:val="p"/>
          </m:rPr>
          <m:t>±</m:t>
        </m:r>
        <m:r>
          <m:t>0.001</m:t>
        </m:r>
      </m:oMath>
      <w:r>
        <w:t xml:space="preserve">), which is consistent with fold-refitting variance explaining the wider cross-validation null (SD 0.090). Under the theoretical asymptotic SE (0.056), an AUC of roughly 0.65 is detectable at 80% power (</w:t>
      </w:r>
      <m:oMath>
        <m:r>
          <m:t>α</m:t>
        </m:r>
        <m:r>
          <m:rPr>
            <m:sty m:val="p"/>
          </m:rPr>
          <m:t>=</m:t>
        </m:r>
        <m:r>
          <m:t>0.05</m:t>
        </m:r>
      </m:oMath>
      <w:r>
        <w:t xml:space="preserve">,</w:t>
      </w:r>
      <w:r>
        <w:t xml:space="preserve"> </w:t>
      </w:r>
      <m:oMath>
        <m:sSub>
          <m:e>
            <m:r>
              <m:t>z</m:t>
            </m:r>
          </m:e>
          <m:sub>
            <m:r>
              <m:t>0.80</m:t>
            </m:r>
          </m:sub>
        </m:sSub>
        <m:r>
          <m:rPr>
            <m:sty m:val="p"/>
          </m:rPr>
          <m:t>+</m:t>
        </m:r>
        <m:sSub>
          <m:e>
            <m:r>
              <m:t>z</m:t>
            </m:r>
          </m:e>
          <m:sub>
            <m:r>
              <m:t>0.975</m:t>
            </m:r>
          </m:sub>
        </m:sSub>
        <m:r>
          <m:rPr>
            <m:sty m:val="p"/>
          </m:rPr>
          <m:t>=</m:t>
        </m:r>
        <m:r>
          <m:t>2.802</m:t>
        </m:r>
        <m:r>
          <m:rPr>
            <m:sty m:val="p"/>
          </m:rPr>
          <m:t>×</m:t>
        </m:r>
        <m:r>
          <m:t>0.0555</m:t>
        </m:r>
        <m:r>
          <m:rPr>
            <m:sty m:val="p"/>
          </m:rPr>
          <m:t>≈</m:t>
        </m:r>
        <m:r>
          <m:t>0.156</m:t>
        </m:r>
      </m:oMath>
      <w:r>
        <w:t xml:space="preserve"> </w:t>
      </w:r>
      <w:r>
        <w:t xml:space="preserve">above chance). Under the empirical cross-validation permutation null (SD 0.090, the relevant null for the cross-validated logistic models evaluated here), the 97.5th percentile</w:t>
      </w:r>
      <w:r>
        <w:t xml:space="preserve"> </w:t>
      </w:r>
      <w:r>
        <w:t xml:space="preserve">of 0.660 represents only</w:t>
      </w:r>
      <w:r>
        <w:t xml:space="preserve"> </w:t>
      </w:r>
      <m:oMath>
        <m:r>
          <m:rPr>
            <m:sty m:val="p"/>
          </m:rPr>
          <m:t>≈</m:t>
        </m:r>
        <m:r>
          <m:t>50</m:t>
        </m:r>
        <m:r>
          <m:rPr>
            <m:sty m:val="p"/>
          </m:rPr>
          <m:t>%</m:t>
        </m:r>
      </m:oMath>
      <w:r>
        <w:t xml:space="preserve"> </w:t>
      </w:r>
      <w:r>
        <w:t xml:space="preserve">detection power, and 80% power requires an AUC of roughly 0.75 (</w:t>
      </w:r>
      <m:oMath>
        <m:r>
          <m:t>0.50</m:t>
        </m:r>
        <m:r>
          <m:rPr>
            <m:sty m:val="p"/>
          </m:rPr>
          <m:t>+</m:t>
        </m:r>
        <m:r>
          <m:t>2.802</m:t>
        </m:r>
        <m:r>
          <m:rPr>
            <m:sty m:val="p"/>
          </m:rPr>
          <m:t>×</m:t>
        </m:r>
        <m:r>
          <m:t>0.090</m:t>
        </m:r>
        <m:r>
          <m:rPr>
            <m:sty m:val="p"/>
          </m:rPr>
          <m:t>=</m:t>
        </m:r>
        <m:r>
          <m:t>0.752</m:t>
        </m:r>
        <m:r>
          <m:rPr>
            <m:sty m:val="p"/>
          </m:rPr>
          <m:t>≈</m:t>
        </m:r>
        <m:r>
          <m:t>0.75</m:t>
        </m:r>
      </m:oMath>
      <w:r>
        <w:t xml:space="preserve">). The observed cross-validated</w:t>
      </w:r>
      <w:r>
        <w:t xml:space="preserve"> </w:t>
      </w:r>
      <w:r>
        <w:t xml:space="preserve">bootstrap upper bounds were 0.510–0.619. An operational attribution verdict would need an AUC of about 0.8 or higher, which these models</w:t>
      </w:r>
      <w:r>
        <w:t xml:space="preserve"> </w:t>
      </w:r>
      <w:r>
        <w:t xml:space="preserve">do not approach. 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sample sizing requires at least 250 independently verified pilot-fault crashes (with matching aircraft cases,</w:t>
      </w:r>
      <w:r>
        <w:t xml:space="preserve"> </w:t>
      </w:r>
      <m:oMath>
        <m:sSub>
          <m:e>
            <m:r>
              <m:rPr>
                <m:nor/>
              </m:rPr>
              <m:t>SE</m:t>
            </m:r>
          </m:e>
          <m:sub>
            <m:r>
              <m:rPr>
                <m:nor/>
              </m:rPr>
              <m:t>asymp</m:t>
            </m:r>
          </m:sub>
        </m:sSub>
        <m:r>
          <m:rPr>
            <m:sty m:val="p"/>
          </m:rPr>
          <m:t>≈</m:t>
        </m:r>
        <m:r>
          <m:t>0.021</m:t>
        </m:r>
      </m:oMath>
      <w:r>
        <w:t xml:space="preserve">), far beyond the 36 available in the modelling sample. We therefore report that these rules, models and labels give no usable attribution signal under the evaluated setup, not that attribution is fundamentally impossible.</w:t>
      </w:r>
      <w:r>
        <w:t xml:space="preserve"> </w:t>
      </w:r>
      <w:r>
        <w:t xml:space="preserve">Evaluating depth-1 decision stumps on Task B yielded similar results: AUC of 0.430 at</w:t>
      </w:r>
      <w:r>
        <w:t xml:space="preserve"> </w:t>
      </w:r>
      <m:oMath>
        <m:r>
          <m:t>m</m:t>
        </m:r>
        <m:r>
          <m:rPr>
            <m:sty m:val="p"/>
          </m:rPr>
          <m:t>=</m:t>
        </m:r>
        <m:r>
          <m:t>0</m:t>
        </m:r>
      </m:oMath>
      <w:r>
        <w:t xml:space="preserve"> s (bootstrap SE 0.062, 95% CI 0.310–0.551,</w:t>
      </w:r>
      <w:r>
        <w:t xml:space="preserve"> </w:t>
      </w:r>
      <w:r>
        <w:t xml:space="preserve">upper bound 0.534), and 0.413 at</w:t>
      </w:r>
      <w:r>
        <w:t xml:space="preserve"> </w:t>
      </w:r>
      <m:oMath>
        <m:r>
          <m:t>m</m:t>
        </m:r>
        <m:r>
          <m:rPr>
            <m:sty m:val="p"/>
          </m:rPr>
          <m:t>=</m:t>
        </m:r>
        <m:r>
          <m:t>10</m:t>
        </m:r>
      </m:oMath>
      <w:r>
        <w:t xml:space="preserve"> s (SE 0.069, 95% CI 0.281–0.548, upper bound 0.528). Evaluating depth-3 decision trees across cut-offs yielded pooled cross-validated AUCs of 0.517 [0.392, 0.636] at</w:t>
      </w:r>
      <w:r>
        <w:t xml:space="preserve"> </w:t>
      </w:r>
      <m:oMath>
        <m:r>
          <m:t>m</m:t>
        </m:r>
        <m:r>
          <m:rPr>
            <m:sty m:val="p"/>
          </m:rPr>
          <m:t>=</m:t>
        </m:r>
        <m:r>
          <m:t>0</m:t>
        </m:r>
      </m:oMath>
      <w:r>
        <w:t xml:space="preserve"> s, 0.594 [0.482, 0.706] at</w:t>
      </w:r>
      <w:r>
        <w:t xml:space="preserve"> </w:t>
      </w:r>
      <m:oMath>
        <m:r>
          <m:t>m</m:t>
        </m:r>
        <m:r>
          <m:rPr>
            <m:sty m:val="p"/>
          </m:rPr>
          <m:t>=</m:t>
        </m:r>
        <m:r>
          <m:t>2</m:t>
        </m:r>
      </m:oMath>
      <w:r>
        <w:t xml:space="preserve"> s, 0.603 [0.479, 0.724] at</w:t>
      </w:r>
      <w:r>
        <w:t xml:space="preserve"> </w:t>
      </w:r>
      <m:oMath>
        <m:r>
          <m:t>m</m:t>
        </m:r>
        <m:r>
          <m:rPr>
            <m:sty m:val="p"/>
          </m:rPr>
          <m:t>=</m:t>
        </m:r>
        <m:r>
          <m:t>5</m:t>
        </m:r>
      </m:oMath>
      <w:r>
        <w:t xml:space="preserve"> s, 0.379 [0.249, 0.524] at</w:t>
      </w:r>
      <w:r>
        <w:t xml:space="preserve"> </w:t>
      </w:r>
      <m:oMath>
        <m:r>
          <m:t>m</m:t>
        </m:r>
        <m:r>
          <m:rPr>
            <m:sty m:val="p"/>
          </m:rPr>
          <m:t>=</m:t>
        </m:r>
        <m:r>
          <m:t>10</m:t>
        </m:r>
      </m:oMath>
      <w:r>
        <w:t xml:space="preserve"> s, 0.468 [0.331, 0.604] at</w:t>
      </w:r>
      <w:r>
        <w:t xml:space="preserve"> </w:t>
      </w:r>
      <m:oMath>
        <m:r>
          <m:t>m</m:t>
        </m:r>
        <m:r>
          <m:rPr>
            <m:sty m:val="p"/>
          </m:rPr>
          <m:t>=</m:t>
        </m:r>
        <m:r>
          <m:t>20</m:t>
        </m:r>
      </m:oMath>
      <w:r>
        <w:t xml:space="preserve"> s, and 0.366 [0.223, 0.519] at</w:t>
      </w:r>
      <w:r>
        <w:t xml:space="preserve"> </w:t>
      </w:r>
      <m:oMath>
        <m:r>
          <m:t>m</m:t>
        </m:r>
        <m:r>
          <m:rPr>
            <m:sty m:val="p"/>
          </m:rPr>
          <m:t>=</m:t>
        </m:r>
        <m:r>
          <m:t>30</m:t>
        </m:r>
      </m:oMath>
      <w:r>
        <w:t xml:space="preserve"> s (1,000 flight-level bootstrap resamples; earlier exploratory development reported mean fold AUCs of</w:t>
      </w:r>
      <w:r>
        <w:t xml:space="preserve"> </w:t>
      </w:r>
      <m:oMath>
        <m:r>
          <m:t>0.595</m:t>
        </m:r>
        <m:r>
          <m:rPr>
            <m:sty m:val="p"/>
          </m:rPr>
          <m:t>±</m:t>
        </m:r>
        <m:r>
          <m:t>0.130</m:t>
        </m:r>
      </m:oMath>
      <w:r>
        <w:t xml:space="preserve"> </w:t>
      </w:r>
      <w:r>
        <w:t xml:space="preserve">at</w:t>
      </w:r>
      <w:r>
        <w:t xml:space="preserve"> </w:t>
      </w:r>
      <m:oMath>
        <m:r>
          <m:t>m</m:t>
        </m:r>
        <m:r>
          <m:rPr>
            <m:sty m:val="p"/>
          </m:rPr>
          <m:t>=</m:t>
        </m:r>
        <m:r>
          <m:t>0</m:t>
        </m:r>
      </m:oMath>
      <w:r>
        <w:t xml:space="preserve"> s and</w:t>
      </w:r>
      <w:r>
        <w:t xml:space="preserve"> </w:t>
      </w:r>
      <m:oMath>
        <m:r>
          <m:t>0.621</m:t>
        </m:r>
        <m:r>
          <m:rPr>
            <m:sty m:val="p"/>
          </m:rPr>
          <m:t>±</m:t>
        </m:r>
        <m:r>
          <m:t>0.105</m:t>
        </m:r>
      </m:oMath>
      <w:r>
        <w:t xml:space="preserve"> </w:t>
      </w:r>
      <w:r>
        <w:t xml:space="preserve">at</w:t>
      </w:r>
      <w:r>
        <w:t xml:space="preserve"> </w:t>
      </w:r>
      <m:oMath>
        <m:r>
          <m:t>m</m:t>
        </m:r>
        <m:r>
          <m:rPr>
            <m:sty m:val="p"/>
          </m:rPr>
          <m:t>=</m:t>
        </m:r>
        <m:r>
          <m:t>5</m:t>
        </m:r>
      </m:oMath>
      <w:r>
        <w:t xml:space="preserve"> s, which reflect fold-averaging rather than pooled out-of-fold scoring). Because confidence intervals across</w:t>
      </w:r>
      <w:r>
        <w:t xml:space="preserve"> </w:t>
      </w:r>
      <m:oMath>
        <m:r>
          <m:t>m</m:t>
        </m:r>
        <m:r>
          <m:rPr>
            <m:sty m:val="p"/>
          </m:rPr>
          <m:t>=</m:t>
        </m:r>
        <m:r>
          <m:t>0</m:t>
        </m:r>
        <m:r>
          <m:rPr>
            <m:sty m:val="p"/>
          </m:rPr>
          <m:t>.</m:t>
        </m:r>
        <m:r>
          <m:t>.5</m:t>
        </m:r>
      </m:oMath>
      <w:r>
        <w:t xml:space="preserve"> s broadly overlap, fluctuations between margins represent sampling noise rather than structured trajectory trends; at</w:t>
      </w:r>
      <w:r>
        <w:t xml:space="preserve"> </w:t>
      </w:r>
      <m:oMath>
        <m:r>
          <m:t>m</m:t>
        </m:r>
        <m:r>
          <m:rPr>
            <m:sty m:val="p"/>
          </m:rPr>
          <m:t>≥</m:t>
        </m:r>
        <m:r>
          <m:t>10</m:t>
        </m:r>
      </m:oMath>
      <w:r>
        <w:t xml:space="preserve"> s, upper confidence bounds contract to 0.524, providing no evidence of non-linear separation once the terminal window is excluded.</w:t>
      </w:r>
    </w:p>
    <w:bookmarkStart w:id="36" w:name="_049e4e3e8c6150f6efca473eb560bdd9d2e8e6a"/>
    <w:p>
      <w:pPr>
        <w:pStyle w:val="CaptionedFigure"/>
        <w:jc w:val="center"/>
      </w:pPr>
      <w:r>
        <w:drawing>
          <wp:inline>
            <wp:extent cx="4160520" cy="2627404"/>
            <wp:effectExtent b="0" l="0" r="0" t="0"/>
            <wp:docPr descr="" title="" id="34" name="Picture"/>
            <a:graphic>
              <a:graphicData uri="http://schemas.openxmlformats.org/drawingml/2006/picture">
                <pic:pic>
                  <pic:nvPicPr>
                    <pic:cNvPr descr="fig_sign_rates.png" id="35" name="Picture"/>
                    <pic:cNvPicPr>
                      <a:picLocks noChangeArrowheads="1" noChangeAspect="1"/>
                    </pic:cNvPicPr>
                  </pic:nvPicPr>
                  <pic:blipFill>
                    <a:blip r:embed="rId33"/>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6"/>
    <w:bookmarkStart w:id="37" w:name="_febe7c87a633d14485235b1c570b7dc3553a6bb"/>
    <w:p>
      <w:pPr>
        <w:pStyle w:val="TableCaption"/>
      </w:pPr>
      <w:r>
        <w:t xml:space="preserve">Table 6.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6.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7"/>
    <w:p>
      <w:pPr>
        <w:pStyle w:val="Heading2"/>
      </w:pPr>
      <w:bookmarkStart w:id="38" w:name="_656df57dd7f44abd09b995cf6c71ccccfcfebca"/>
      <w:r>
        <w:rPr>
          <w:rStyle w:val="SectionNumber"/>
        </w:rPr>
        <w:t xml:space="preserve">5.3</w:t>
      </w:r>
      <w:r>
        <w:tab/>
      </w:r>
      <w:r>
        <w:t xml:space="preserve">The crash window (Q3a)</w:t>
      </w:r>
      <w:bookmarkEnd w:id="38"/>
    </w:p>
    <w:p>
      <w:pPr>
        <w:pStyle w:val="FirstParagraph"/>
      </w:pPr>
      <w:bookmarkStart w:id="39" w:name="_1e20f1cb57d10c86a321ab56efaae6939bfa530"/>
      <w:bookmarkEnd w:id="39"/>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8).</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8).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5.7).</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8</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7 reports a step-by-step decomposition isolating what drives the cross-sectional separation. Grouping</w:t>
      </w:r>
      <w:r>
        <w:t xml:space="preserve"> </w:t>
      </w:r>
      <w:r>
        <w:t xml:space="preserve">cross-validation folds by vehicle ID (Step 1) on the cross-sectional sample yields virtually identical separation (AUC 0.884 vs. 0.883);</w:t>
      </w:r>
      <w:r>
        <w:t xml:space="preserve"> </w:t>
      </w:r>
      <w:r>
        <w:t xml:space="preserve">because crash airframes and control airframes originate from disjoint operators, vehicle-grouped cross-validation cannot remove vehicle-level</w:t>
      </w:r>
      <w:r>
        <w:t xml:space="preserve"> </w:t>
      </w:r>
      <w:r>
        <w:t xml:space="preserve">separation by design. Removing the final 10 s or 30 s on the constant cohort of 213 flights (Steps 2 and 3) similarly leaves the AUC essentially unchanged</w:t>
      </w:r>
      <w:r>
        <w:t xml:space="preserve"> </w:t>
      </w:r>
      <w:r>
        <w:t xml:space="preserve">(0.860 [0.802, 0.910] and 0.874 [0.822, 0.920], with flight-level bootstrap intervals confirming no substantial drop), while removing tilt and stick boundary features (Step 4) reduces AUC modestly to 0.831. On this sample, vehicle grouping, crash-window cuts and boundary feature pruning do not explain the cross-sectional gap. An earlier exploratory step scored the 67 multi-flight crashes against other-aircraft normals and reported AUC 0.522 [0.413, 0.615]; that comparison mixed feature extractors and cut-offs between crash and control flights and is superseded by the factorial audit below, where the same crashes against matched other-aircraft flights under one extractor give 0.623 [0.523, 0.716] (Table 7, Step 4b). The 67 within-drone crashes are not a subset of the 103 multi-history crashes: only 10 of the 67 are in the 148-crash sample.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models exploit airframe duration and vehicle envelope differences across the broader archive.</w:t>
      </w:r>
    </w:p>
    <w:p>
      <w:pPr>
        <w:pStyle w:val="BodyText"/>
      </w:pPr>
      <w:r>
        <w:t xml:space="preserve">On the 67 multi-flight drones with 372 flights (67 pre-crash flights cut 10 s before impact and 305 earlier flights), three complementary statistics evaluate within-drone precursor separation. Evaluated across flights, pooled logistic regression yielded a cross-sectional AUC of 0.529 [0.453, 0.607] (Step 5), while vehicle-grouped cross-validation yielded an AUC of 0.569 [0.493, 0.645] (Step 6). Crucially, clustering the bootstrap resamples over whole airframe clusters widens the 95% confidence interval to [0.500, 0.643], which touches chance (0.50) and indicates that pooled model discrimination shows no detectable signal in this cohort when accounting for correlation across flights of the same airframe.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 paired cluster bootstrap 95% CI [+0.074, +0.238]);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 suggesting that baseline duration differences in uncurated archives mask within-drone precursor detection in this cohort.</w:t>
      </w:r>
    </w:p>
    <w:bookmarkStart w:id="40" w:name="_5384c23fe540f64e7f70d79e466547294e389bd"/>
    <w:p>
      <w:pPr>
        <w:pStyle w:val="TableCaption"/>
      </w:pPr>
      <w:r>
        <w:t xml:space="preserve">Table 7. Decomposition of model separation between crash and normal flights: sequential effect of grouping folds by vehicle ID, crash-window removal, removing tilt/stick envelope features, cohort selection, and within-drone evaluation across evaluation cohorts. All 95% CIs are bootstrap intervals (2,000 resamples); Step 4b and Step 6 report cluster bootstrap 95% CIs over airframe clusters.</w:t>
      </w:r>
    </w:p>
    <w:tbl>
      <w:tblPr>
        <w:tblStyle w:val="Table"/>
        <w:tblW w:type="pct" w:w="5000"/>
        <w:tblLook w:firstRow="1" w:lastRow="0" w:firstColumn="0" w:lastColumn="0" w:noHBand="0" w:noVBand="0" w:val="0020"/>
        <w:tblCaption w:val="Table 7. Decomposition of model separation between crash and normal flights: sequential effect of grouping folds by vehicle ID, crash-window removal, removing tilt/stick envelope features, cohort selection, and within-drone evaluation across evaluation cohorts. All 95% CIs are bootstrap intervals (2,000 resamples); Step 4b and Step 6 report cluster bootstrap 95% CIs over airframe cluster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bootstrap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0.883 [0.842, 0.918]</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 ID (Group-CV)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0.884 [0.836, 0.915]</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0.860 [0.802, 0.910]</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0.874 [0.822, 0.920]</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envelope features (Group-CV,</w:t>
            </w:r>
            <w:r>
              <w:rPr>
                <w:sz w:val="19"/>
              </w:rPr>
              <w:t xml:space="preserve">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0.831 [0.780, 0.882]</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Multi-flight crashes vs. matched other-aircraft flights, one extractor (Group-CV,</w:t>
            </w:r>
            <w:r>
              <w:rPr>
                <w:sz w:val="19"/>
              </w:rPr>
              <w:t xml:space="preserve"> </w:t>
            </w:r>
            <m:oMath>
              <m:r>
                <m:t>m</m:t>
              </m:r>
              <m:r>
                <m:rPr>
                  <m:sty m:val="p"/>
                </m:rPr>
                <m:t>=</m:t>
              </m:r>
              <m:r>
                <m:t>10</m:t>
              </m:r>
            </m:oMath>
            <w:r>
              <w:rPr>
                <w:sz w:val="19"/>
              </w:rPr>
              <w:t xml:space="preserve"> s)</w:t>
            </w:r>
          </w:p>
        </w:tc>
        <w:tc>
          <w:tcPr/>
          <w:p>
            <w:pPr>
              <w:pStyle w:val="Compact"/>
              <w:spacing w:line="240" w:lineRule="auto"/>
              <w:jc w:val="center"/>
            </w:pPr>
            <w:r>
              <w:rPr>
                <w:sz w:val="19"/>
              </w:rPr>
              <w:t xml:space="preserve">67 crash, 311 normal</w:t>
            </w:r>
          </w:p>
        </w:tc>
        <w:tc>
          <w:tcPr/>
          <w:p>
            <w:pPr>
              <w:pStyle w:val="Compact"/>
              <w:spacing w:line="240" w:lineRule="auto"/>
              <w:jc w:val="center"/>
            </w:pPr>
            <w:r>
              <w:rPr>
                <w:sz w:val="19"/>
              </w:rPr>
              <w:t xml:space="preserve">0.623 [0.523, 0.716]</w:t>
            </w:r>
            <m:oMath>
              <m:sSup>
                <m:e>
                  <m:r>
                    <m:t>​</m:t>
                  </m:r>
                </m:e>
                <m:sup>
                  <m:r>
                    <m:rPr>
                      <m:sty m:val="p"/>
                    </m:rPr>
                    <m:t>†</m:t>
                  </m:r>
                </m:sup>
              </m:sSup>
            </m:oMath>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Multi-flight cohort: cross-sectional evaluation</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0.529 [0.453, 0.607]</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Multi-flight cohort: within-drone Group-CV</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0.569 [0.493, 0.645]</w:t>
            </w:r>
            <m:oMath>
              <m:sSup>
                <m:e>
                  <m:r>
                    <m:t>​</m:t>
                  </m:r>
                </m:e>
                <m:sup>
                  <m:r>
                    <m:rPr>
                      <m:sty m:val="p"/>
                    </m:rPr>
                    <m:t>*</m:t>
                  </m:r>
                </m:sup>
              </m:sSup>
            </m:oMath>
          </w:p>
        </w:tc>
      </w:tr>
    </w:tbl>
    <w:bookmarkEnd w:id="40"/>
    <w:p>
      <w:pPr>
        <w:pStyle w:val="FirstParagraph"/>
      </w:pPr>
      <m:oMath>
        <m:sSup>
          <m:e>
            <m:r>
              <m:t>​</m:t>
            </m:r>
          </m:e>
          <m:sup>
            <m:r>
              <m:rPr>
                <m:sty m:val="p"/>
              </m:rPr>
              <m:t>†</m:t>
            </m:r>
          </m:sup>
        </m:sSup>
      </m:oMath>
      <w:r>
        <w:t xml:space="preserve">Factorial audit (Section 5.4); two-stage cluster bootstrap 95% CI over crash and control airframes. Supersedes an earlier value of 0.522 that mixed feature extractors between crash and control flights.</w:t>
      </w:r>
      <w:r>
        <w:t xml:space="preserve"> </w:t>
      </w:r>
      <m:oMath>
        <m:sSup>
          <m:e>
            <m:r>
              <m:t>​</m:t>
            </m:r>
          </m:e>
          <m:sup>
            <m:r>
              <m:rPr>
                <m:sty m:val="p"/>
              </m:rPr>
              <m:t>*</m:t>
            </m:r>
          </m:sup>
        </m:sSup>
      </m:oMath>
      <w:r>
        <w:t xml:space="preserve">Cluster bootstrap 95% CI across the 67 drone clusters is [0.500, 0.643], spanning chance (0.50).</w:t>
      </w:r>
    </w:p>
    <w:bookmarkStart w:id="41" w:name="_332204dfa69e2fa6bf2a39cf9288ea52d0052a5"/>
    <w:p>
      <w:pPr>
        <w:pStyle w:val="TableCaption"/>
      </w:pPr>
      <w:r>
        <w:t xml:space="preserve">Table 8.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8.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1"/>
    <w:bookmarkStart w:id="45" w:name="_179740080c2f044957e517342c2187737980646"/>
    <w:p>
      <w:pPr>
        <w:pStyle w:val="CaptionedFigure"/>
        <w:jc w:val="center"/>
      </w:pPr>
      <w:r>
        <w:drawing>
          <wp:inline>
            <wp:extent cx="3840479" cy="2497053"/>
            <wp:effectExtent b="0" l="0" r="0" t="0"/>
            <wp:docPr descr="" title="" id="43" name="Picture"/>
            <a:graphic>
              <a:graphicData uri="http://schemas.openxmlformats.org/drawingml/2006/picture">
                <pic:pic>
                  <pic:nvPicPr>
                    <pic:cNvPr descr="fig_leak_curve.png" id="44" name="Picture"/>
                    <pic:cNvPicPr>
                      <a:picLocks noChangeArrowheads="1" noChangeAspect="1"/>
                    </pic:cNvPicPr>
                  </pic:nvPicPr>
                  <pic:blipFill>
                    <a:blip r:embed="rId42"/>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5"/>
    <w:p>
      <w:pPr>
        <w:pStyle w:val="Heading2"/>
      </w:pPr>
      <w:bookmarkStart w:id="46" w:name="_0c9e7e04e6c31fefd3494b28729aa56a3255cc6"/>
      <w:r>
        <w:rPr>
          <w:rStyle w:val="SectionNumber"/>
        </w:rPr>
        <w:t xml:space="preserve">5.4</w:t>
      </w:r>
      <w:r>
        <w:tab/>
      </w:r>
      <w:r>
        <w:t xml:space="preserve">Factorial optimism audit (exploratory)</w:t>
      </w:r>
      <w:bookmarkEnd w:id="46"/>
    </w:p>
    <w:p>
      <w:pPr>
        <w:pStyle w:val="FirstParagraph"/>
      </w:pPr>
      <m:oMath>
        <m:sSup>
          <m:e>
            <m:r>
              <m:t>​</m:t>
            </m:r>
          </m:e>
          <m:sup>
            <m:r>
              <m:rPr>
                <m:sty m:val="p"/>
              </m:rPr>
              <m:t>†</m:t>
            </m:r>
          </m:sup>
        </m:sSup>
      </m:oMath>
      <w:r>
        <w:t xml:space="preserve">The steps of Table 7 change several things at once, and their samples were built with different feature extractors. To find what the crash-vs-normal AUC depends on, we declared a factorial audit after Round 14 review (commit</w:t>
      </w:r>
      <w:r>
        <w:t xml:space="preserve"> </w:t>
      </w:r>
      <w:r>
        <w:rPr>
          <w:rStyle w:val="VerbatimChar"/>
        </w:rPr>
        <w:t xml:space="preserve">3c34530</w:t>
      </w:r>
      <w:r>
        <w:t xml:space="preserve">; amended</w:t>
      </w:r>
      <w:r>
        <w:t xml:space="preserve"> </w:t>
      </w:r>
      <w:r>
        <w:rPr>
          <w:rStyle w:val="VerbatimChar"/>
        </w:rPr>
        <w:t xml:space="preserve">f6ba424</w:t>
      </w:r>
      <w:r>
        <w:t xml:space="preserve"> </w:t>
      </w:r>
      <w:r>
        <w:t xml:space="preserve">to a float32 tolerance after its extractor check aborted on rounding differences; run 27 October 2026). Every flight was re-extracted from the raw log by one extractor, and five two-level factors were crossed: crash set (103 multi-history crashes vs. the 67 within-drone crashes), comparison flights (uploader-rated good/great normals vs. unrated flights from drones with no crash-rated log, matched to the within-drone cases on hardware, PX4 version and vehicle type), crash-window cut (</w:t>
      </w:r>
      <m:oMath>
        <m:r>
          <m:t>m</m:t>
        </m:r>
        <m:r>
          <m:rPr>
            <m:sty m:val="p"/>
          </m:rPr>
          <m:t>=</m:t>
        </m:r>
        <m:r>
          <m:t>0</m:t>
        </m:r>
      </m:oMath>
      <w:r>
        <w:t xml:space="preserve"> </w:t>
      </w:r>
      <w:r>
        <w:t xml:space="preserve">vs. 10 s), fold scheme (stratified by flight vs. grouped by vehicle) and window (full flight vs. first 30 s airborne). Normal flights from any crashed vehicle were removed (39 of the 139). Intervals come from one paired two-stage cluster bootstrap (2,000 resamples over crash and control vehicles, models not refitted); a factor was declared material if its share was</w:t>
      </w:r>
      <w:r>
        <w:t xml:space="preserve"> </w:t>
      </w:r>
      <m:oMath>
        <m:r>
          <m:rPr>
            <m:sty m:val="p"/>
          </m:rPr>
          <m:t>≥</m:t>
        </m:r>
        <m:r>
          <m:t>0.05</m:t>
        </m:r>
      </m:oMath>
      <w:r>
        <w:t xml:space="preserve"> </w:t>
      </w:r>
      <w:r>
        <w:t xml:space="preserve">with a 95% interval excluding zero. The declaration passed all abort checks (anchors 0.891 and 0.559; extractor agreement 374/374; label-permutation mean 0.495).</w:t>
      </w:r>
    </w:p>
    <w:p>
      <w:pPr>
        <w:pStyle w:val="BodyText"/>
      </w:pPr>
      <w:r>
        <w:t xml:space="preserve">The declared primary</w:t>
      </w:r>
      <w:r>
        <w:t xml:space="preserve"> </w:t>
      </w:r>
      <m:oMath>
        <m:r>
          <m:t>2</m:t>
        </m:r>
        <m:r>
          <m:rPr>
            <m:sty m:val="p"/>
          </m:rPr>
          <m:t>×</m:t>
        </m:r>
        <m:r>
          <m:t>2</m:t>
        </m:r>
      </m:oMath>
      <w:r>
        <w:t xml:space="preserve"> </w:t>
      </w:r>
      <w:r>
        <w:t xml:space="preserve">(</w:t>
      </w:r>
      <m:oMath>
        <m:r>
          <m:t>m</m:t>
        </m:r>
        <m:r>
          <m:rPr>
            <m:sty m:val="p"/>
          </m:rPr>
          <m:t>=</m:t>
        </m:r>
        <m:r>
          <m:t>10</m:t>
        </m:r>
      </m:oMath>
      <w:r>
        <w:t xml:space="preserve"> s, grouped folds, full window) did not isolate a cause (Table 9): changing the normal flights lowered AUC by 0.094 [</w:t>
      </w:r>
      <m:oMath>
        <m:r>
          <m:rPr>
            <m:sty m:val="p"/>
          </m:rPr>
          <m:t>−</m:t>
        </m:r>
        <m:r>
          <m:t>0.014</m:t>
        </m:r>
      </m:oMath>
      <w:r>
        <w:t xml:space="preserve">, 0.197] and changing the crash set by 0.108 [</w:t>
      </w:r>
      <m:oMath>
        <m:r>
          <m:rPr>
            <m:sty m:val="p"/>
          </m:rPr>
          <m:t>−</m:t>
        </m:r>
        <m:r>
          <m:t>0.037</m:t>
        </m:r>
      </m:oMath>
      <w:r>
        <w:t xml:space="preserve">, 0.224]. Following the pre-declared wording, the AUC depends on the comparison set; the cause is not isolated. On the constant subset (63 and 60 crashes), AUC fell from 0.878 at the most optimistic setting to 0.666 at the most conservative, a drop of 0.212 [0.062, 0.335]. An exact Shapley split assigned 0.062 [0.034, 0.087] of it to vehicle-grouped folds, the only material factor; the effect was concentrated where comparison drones contribute several flights (interaction with comparison set</w:t>
      </w:r>
      <w:r>
        <w:t xml:space="preserve"> </w:t>
      </w:r>
      <m:oMath>
        <m:r>
          <m:rPr>
            <m:sty m:val="p"/>
          </m:rPr>
          <m:t>+</m:t>
        </m:r>
        <m:r>
          <m:t>0.082</m:t>
        </m:r>
      </m:oMath>
      <w:r>
        <w:t xml:space="preserve"> </w:t>
      </w:r>
      <w:r>
        <w:t xml:space="preserve">[0.006, 0.122]), which explains why grouping made no difference in Step 1, where most normal drones contribute one flight. The crash-window cut carried a small but non-zero 0.014 [0.007, 0.023], and the fixed 30 s window carried 0.001. Separation against other aircraft persisted at the most conservative setting (0.666 [0.557, 0.770]); replacing other-aircraft flights by the same drones’ earlier flights at matched settings lowered AUC by a further 0.21, to chance. A fixed 30 s window also did not reproduce the caliper lift within drones (Group-CV 0.455 [0.377, 0.507]); because that window also removes proximity to the crash, it is not a clean test of the masking explanation. One same-drone cell with flight-stratified folds fell below chance (0.393), which we attribute to splitting one drone’s flights across folds and do not interpret.</w:t>
      </w:r>
    </w:p>
    <w:bookmarkStart w:id="47" w:name="_9a7638f5da02df7bc1e91f3d04aa4fe62b352e5"/>
    <w:p>
      <w:pPr>
        <w:pStyle w:val="TableCaption"/>
      </w:pPr>
      <w:r>
        <w:t xml:space="preserve">Table 9.</w:t>
      </w:r>
      <w:r>
        <w:t xml:space="preserve"> </w:t>
      </w:r>
      <m:oMath>
        <m:sSup>
          <m:e>
            <m:r>
              <m:t>​</m:t>
            </m:r>
          </m:e>
          <m:sup>
            <m:r>
              <m:rPr>
                <m:sty m:val="p"/>
              </m:rPr>
              <m:t>†</m:t>
            </m:r>
          </m:sup>
        </m:sSup>
      </m:oMath>
      <w:r>
        <w:t xml:space="preserve">Factorial optimism audit. Top: declared primary</w:t>
      </w:r>
      <w:r>
        <w:t xml:space="preserve"> </w:t>
      </w:r>
      <m:oMath>
        <m:r>
          <m:t>2</m:t>
        </m:r>
        <m:r>
          <m:rPr>
            <m:sty m:val="p"/>
          </m:rPr>
          <m:t>×</m:t>
        </m:r>
        <m:r>
          <m:t>2</m:t>
        </m:r>
      </m:oMath>
      <w:r>
        <w:t xml:space="preserve"> </w:t>
      </w:r>
      <w:r>
        <w:t xml:space="preserve">(103 multi-history and 67 within-drone crashes) (</w:t>
      </w:r>
      <m:oMath>
        <m:r>
          <m:t>m</m:t>
        </m:r>
        <m:r>
          <m:rPr>
            <m:sty m:val="p"/>
          </m:rPr>
          <m:t>=</m:t>
        </m:r>
        <m:r>
          <m:t>10</m:t>
        </m:r>
      </m:oMath>
      <w:r>
        <w:t xml:space="preserve"> s, vehicle-grouped folds, full window). Bottom: exact Shapley split of the 0.212 [0.062, 0.335] AUC drop from the most optimistic to the most conservative other-aircraft setting (constant subset, 63/60 crashes). 95% intervals from a paired two-stage cluster bootstrap.</w:t>
      </w:r>
    </w:p>
    <w:tbl>
      <w:tblPr>
        <w:tblStyle w:val="Table"/>
        <w:tblW w:type="pct" w:w="5000"/>
        <w:tblLook w:firstRow="1" w:lastRow="0" w:firstColumn="0" w:lastColumn="0" w:noHBand="0" w:noVBand="0" w:val="0020"/>
        <w:tblCaption w:val="Table 9. ^\daggerFactorial optimism audit. Top: declared primary 2\times2 (103 multi-history and 67 within-drone crashes) (m=10 s, vehicle-grouped folds, full window). Bottom: exact Shapley split of the 0.212 [0.062, 0.335] AUC drop from the most optimistic to the most conservative other-aircraft setting (constant subset, 63/60 crashes). 95% intervals from a paired two-stage cluster bootstrap."/>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Crashes vs. comparison flights</w:t>
            </w:r>
          </w:p>
        </w:tc>
        <w:tc>
          <w:tcPr/>
          <w:p>
            <w:pPr>
              <w:pStyle w:val="Compact"/>
              <w:spacing w:line="240" w:lineRule="auto"/>
              <w:jc w:val="center"/>
            </w:pPr>
            <w:r>
              <w:rPr>
                <w:sz w:val="19"/>
              </w:rPr>
              <w:t xml:space="preserve">Crashes</w:t>
            </w:r>
          </w:p>
        </w:tc>
        <w:tc>
          <w:tcPr/>
          <w:p>
            <w:pPr>
              <w:pStyle w:val="Compact"/>
              <w:spacing w:line="240" w:lineRule="auto"/>
              <w:jc w:val="center"/>
            </w:pPr>
            <w:r>
              <w:rPr>
                <w:sz w:val="19"/>
              </w:rPr>
              <w:t xml:space="preserve">Comparison</w:t>
            </w:r>
          </w:p>
        </w:tc>
        <w:tc>
          <w:tcPr/>
          <w:p>
            <w:pPr>
              <w:pStyle w:val="Compact"/>
              <w:spacing w:line="240" w:lineRule="auto"/>
              <w:jc w:val="center"/>
            </w:pPr>
            <w:r>
              <w:rPr>
                <w:sz w:val="19"/>
              </w:rPr>
              <w:t xml:space="preserve">AUC [95% CI]</w:t>
            </w:r>
          </w:p>
        </w:tc>
      </w:tr>
      <w:tr>
        <w:tc>
          <w:tcPr/>
          <w:p>
            <w:pPr>
              <w:pStyle w:val="Compact"/>
              <w:spacing w:line="240" w:lineRule="auto"/>
              <w:jc w:val="left"/>
            </w:pPr>
            <w:r>
              <w:rPr>
                <w:sz w:val="19"/>
              </w:rPr>
              <w:t xml:space="preserve">103 vs. rated normals</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0.825 [0.699, 0.908]</w:t>
            </w:r>
          </w:p>
        </w:tc>
      </w:tr>
      <w:tr>
        <w:tc>
          <w:tcPr/>
          <w:p>
            <w:pPr>
              <w:pStyle w:val="Compact"/>
              <w:spacing w:line="240" w:lineRule="auto"/>
              <w:jc w:val="left"/>
            </w:pPr>
            <w:r>
              <w:rPr>
                <w:sz w:val="19"/>
              </w:rPr>
              <w:t xml:space="preserve">103 vs. matched unrated</w:t>
            </w:r>
          </w:p>
        </w:tc>
        <w:tc>
          <w:tcPr/>
          <w:p>
            <w:pPr>
              <w:pStyle w:val="Compact"/>
              <w:spacing w:line="240" w:lineRule="auto"/>
              <w:jc w:val="center"/>
            </w:pPr>
            <w:r>
              <w:rPr>
                <w:sz w:val="19"/>
              </w:rPr>
              <w:t xml:space="preserve">78</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0.686 [0.591, 0.777]</w:t>
            </w:r>
          </w:p>
        </w:tc>
      </w:tr>
      <w:tr>
        <w:tc>
          <w:tcPr/>
          <w:p>
            <w:pPr>
              <w:pStyle w:val="Compact"/>
              <w:spacing w:line="240" w:lineRule="auto"/>
              <w:jc w:val="left"/>
            </w:pPr>
            <w:r>
              <w:rPr>
                <w:sz w:val="19"/>
              </w:rPr>
              <w:t xml:space="preserve">67 vs. rated normals</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91</w:t>
            </w:r>
          </w:p>
        </w:tc>
        <w:tc>
          <w:tcPr/>
          <w:p>
            <w:pPr>
              <w:pStyle w:val="Compact"/>
              <w:spacing w:line="240" w:lineRule="auto"/>
              <w:jc w:val="center"/>
            </w:pPr>
            <w:r>
              <w:rPr>
                <w:sz w:val="19"/>
              </w:rPr>
              <w:t xml:space="preserve">0.673 [0.540, 0.838]</w:t>
            </w:r>
          </w:p>
        </w:tc>
      </w:tr>
      <w:tr>
        <w:tc>
          <w:tcPr/>
          <w:p>
            <w:pPr>
              <w:pStyle w:val="Compact"/>
              <w:spacing w:line="240" w:lineRule="auto"/>
              <w:jc w:val="left"/>
            </w:pPr>
            <w:r>
              <w:rPr>
                <w:sz w:val="19"/>
              </w:rPr>
              <w:t xml:space="preserve">67 vs. matched unrated</w:t>
            </w:r>
          </w:p>
        </w:tc>
        <w:tc>
          <w:tcPr/>
          <w:p>
            <w:pPr>
              <w:pStyle w:val="Compact"/>
              <w:spacing w:line="240" w:lineRule="auto"/>
              <w:jc w:val="center"/>
            </w:pPr>
            <w:r>
              <w:rPr>
                <w:sz w:val="19"/>
              </w:rPr>
              <w:t xml:space="preserve">67</w:t>
            </w:r>
          </w:p>
        </w:tc>
        <w:tc>
          <w:tcPr/>
          <w:p>
            <w:pPr>
              <w:pStyle w:val="Compact"/>
              <w:spacing w:line="240" w:lineRule="auto"/>
              <w:jc w:val="center"/>
            </w:pPr>
            <w:r>
              <w:rPr>
                <w:sz w:val="19"/>
              </w:rPr>
              <w:t xml:space="preserve">311</w:t>
            </w:r>
          </w:p>
        </w:tc>
        <w:tc>
          <w:tcPr/>
          <w:p>
            <w:pPr>
              <w:pStyle w:val="Compact"/>
              <w:spacing w:line="240" w:lineRule="auto"/>
              <w:jc w:val="center"/>
            </w:pPr>
            <w:r>
              <w:rPr>
                <w:sz w:val="19"/>
              </w:rPr>
              <w:t xml:space="preserve">0.623 [0.523, 0.716]</w:t>
            </w:r>
          </w:p>
        </w:tc>
      </w:tr>
      <w:tr>
        <w:tc>
          <w:tcPr/>
          <w:p>
            <w:pPr>
              <w:pStyle w:val="Compact"/>
              <w:spacing w:line="240" w:lineRule="auto"/>
              <w:jc w:val="left"/>
            </w:pPr>
            <w:r>
              <w:rPr>
                <w:sz w:val="19"/>
              </w:rPr>
              <w:t xml:space="preserve">Factor (optimistic</w:t>
            </w:r>
            <w:r>
              <w:rPr>
                <w:sz w:val="19"/>
              </w:rPr>
              <w:t xml:space="preserve"> </w:t>
            </w:r>
            <m:oMath>
              <m:r>
                <m:rPr>
                  <m:sty m:val="p"/>
                </m:rPr>
                <m:t>→</m:t>
              </m:r>
            </m:oMath>
            <w:r>
              <w:rPr>
                <w:sz w:val="19"/>
              </w:rPr>
              <w:t xml:space="preserve"> </w:t>
            </w:r>
            <w:r>
              <w:rPr>
                <w:sz w:val="19"/>
              </w:rPr>
              <w:t xml:space="preserve">conservative)</w:t>
            </w:r>
          </w:p>
        </w:tc>
        <w:tc>
          <w:tcPr>
            <w:gridSpan w:val="2"/>
          </w:tcPr>
          <w:p>
            <w:pPr>
              <w:pStyle w:val="Compact"/>
              <w:spacing w:line="240" w:lineRule="auto"/>
              <w:jc w:val="center"/>
            </w:pPr>
            <w:r>
              <w:rPr>
                <w:sz w:val="19"/>
              </w:rPr>
              <w:t xml:space="preserve">Shapley share of drop</w:t>
            </w:r>
          </w:p>
        </w:tc>
        <w:tc>
          <w:tcPr/>
          <w:p>
            <w:pPr>
              <w:pStyle w:val="Compact"/>
              <w:spacing w:line="240" w:lineRule="auto"/>
              <w:jc w:val="center"/>
            </w:pPr>
            <w:r>
              <w:rPr>
                <w:sz w:val="19"/>
              </w:rPr>
              <w:t xml:space="preserve">Material</w:t>
            </w:r>
          </w:p>
        </w:tc>
      </w:tr>
      <w:tr>
        <w:tc>
          <w:tcPr/>
          <w:p>
            <w:pPr>
              <w:pStyle w:val="Compact"/>
              <w:spacing w:line="240" w:lineRule="auto"/>
              <w:jc w:val="left"/>
            </w:pPr>
            <w:r>
              <w:rPr>
                <w:sz w:val="19"/>
              </w:rPr>
              <w:t xml:space="preserve">Folds: stratified</w:t>
            </w:r>
            <w:r>
              <w:rPr>
                <w:sz w:val="19"/>
              </w:rPr>
              <w:t xml:space="preserve"> </w:t>
            </w:r>
            <m:oMath>
              <m:r>
                <m:rPr>
                  <m:sty m:val="p"/>
                </m:rPr>
                <m:t>→</m:t>
              </m:r>
            </m:oMath>
            <w:r>
              <w:rPr>
                <w:sz w:val="19"/>
              </w:rPr>
              <w:t xml:space="preserve"> </w:t>
            </w:r>
            <w:r>
              <w:rPr>
                <w:sz w:val="19"/>
              </w:rPr>
              <w:t xml:space="preserve">by vehicle</w:t>
            </w:r>
          </w:p>
        </w:tc>
        <w:tc>
          <w:tcPr>
            <w:gridSpan w:val="2"/>
          </w:tcPr>
          <w:p>
            <w:pPr>
              <w:pStyle w:val="Compact"/>
              <w:spacing w:line="240" w:lineRule="auto"/>
              <w:jc w:val="center"/>
            </w:pPr>
            <w:r>
              <w:rPr>
                <w:sz w:val="19"/>
              </w:rPr>
              <w:t xml:space="preserve">0.062 [0.034, 0.087]</w:t>
            </w:r>
          </w:p>
        </w:tc>
        <w:tc>
          <w:tcPr/>
          <w:p>
            <w:pPr>
              <w:pStyle w:val="Compact"/>
              <w:spacing w:line="240" w:lineRule="auto"/>
              <w:jc w:val="center"/>
            </w:pPr>
            <w:r>
              <w:rPr>
                <w:sz w:val="19"/>
              </w:rPr>
              <w:t xml:space="preserve">Yes</w:t>
            </w:r>
          </w:p>
        </w:tc>
      </w:tr>
      <w:tr>
        <w:tc>
          <w:tcPr/>
          <w:p>
            <w:pPr>
              <w:pStyle w:val="Compact"/>
              <w:spacing w:line="240" w:lineRule="auto"/>
              <w:jc w:val="left"/>
            </w:pPr>
            <w:r>
              <w:rPr>
                <w:sz w:val="19"/>
              </w:rPr>
              <w:t xml:space="preserve">Comparison: rated</w:t>
            </w:r>
            <w:r>
              <w:rPr>
                <w:sz w:val="19"/>
              </w:rPr>
              <w:t xml:space="preserve"> </w:t>
            </w:r>
            <m:oMath>
              <m:r>
                <m:rPr>
                  <m:sty m:val="p"/>
                </m:rPr>
                <m:t>→</m:t>
              </m:r>
            </m:oMath>
            <w:r>
              <w:rPr>
                <w:sz w:val="19"/>
              </w:rPr>
              <w:t xml:space="preserve"> </w:t>
            </w:r>
            <w:r>
              <w:rPr>
                <w:sz w:val="19"/>
              </w:rPr>
              <w:t xml:space="preserve">unrated</w:t>
            </w:r>
          </w:p>
        </w:tc>
        <w:tc>
          <w:tcPr>
            <w:gridSpan w:val="2"/>
          </w:tcPr>
          <w:p>
            <w:pPr>
              <w:pStyle w:val="Compact"/>
              <w:spacing w:line="240" w:lineRule="auto"/>
              <w:jc w:val="center"/>
            </w:pPr>
            <w:r>
              <w:rPr>
                <w:sz w:val="19"/>
              </w:rPr>
              <w:t xml:space="preserve">0.070 [</w:t>
            </w:r>
            <m:oMath>
              <m:r>
                <m:rPr>
                  <m:sty m:val="p"/>
                </m:rPr>
                <m:t>−</m:t>
              </m:r>
              <m:r>
                <m:t>0.033</m:t>
              </m:r>
            </m:oMath>
            <w:r>
              <w:rPr>
                <w:sz w:val="19"/>
              </w:rPr>
              <w:t xml:space="preserve">, 0.157]</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set: 103</w:t>
            </w:r>
            <w:r>
              <w:rPr>
                <w:sz w:val="19"/>
              </w:rPr>
              <w:t xml:space="preserve"> </w:t>
            </w:r>
            <m:oMath>
              <m:r>
                <m:rPr>
                  <m:sty m:val="p"/>
                </m:rPr>
                <m:t>→</m:t>
              </m:r>
            </m:oMath>
            <w:r>
              <w:rPr>
                <w:sz w:val="19"/>
              </w:rPr>
              <w:t xml:space="preserve"> </w:t>
            </w:r>
            <w:r>
              <w:rPr>
                <w:sz w:val="19"/>
              </w:rPr>
              <w:t xml:space="preserve">67</w:t>
            </w:r>
          </w:p>
        </w:tc>
        <w:tc>
          <w:tcPr>
            <w:gridSpan w:val="2"/>
          </w:tcPr>
          <w:p>
            <w:pPr>
              <w:pStyle w:val="Compact"/>
              <w:spacing w:line="240" w:lineRule="auto"/>
              <w:jc w:val="center"/>
            </w:pPr>
            <w:r>
              <w:rPr>
                <w:sz w:val="19"/>
              </w:rPr>
              <w:t xml:space="preserve">0.064 [</w:t>
            </w:r>
            <m:oMath>
              <m:r>
                <m:rPr>
                  <m:sty m:val="p"/>
                </m:rPr>
                <m:t>−</m:t>
              </m:r>
              <m:r>
                <m:t>0.062</m:t>
              </m:r>
            </m:oMath>
            <w:r>
              <w:rPr>
                <w:sz w:val="19"/>
              </w:rPr>
              <w:t xml:space="preserve">, 0.186]</w:t>
            </w:r>
          </w:p>
        </w:tc>
        <w:tc>
          <w:tcPr/>
          <w:p>
            <w:pPr>
              <w:pStyle w:val="Compact"/>
              <w:spacing w:line="240" w:lineRule="auto"/>
              <w:jc w:val="center"/>
            </w:pPr>
            <w:r>
              <w:rPr>
                <w:sz w:val="19"/>
              </w:rPr>
              <w:t xml:space="preserve">No</w:t>
            </w:r>
          </w:p>
        </w:tc>
      </w:tr>
      <w:tr>
        <w:tc>
          <w:tcPr/>
          <w:p>
            <w:pPr>
              <w:pStyle w:val="Compact"/>
              <w:spacing w:line="240" w:lineRule="auto"/>
              <w:jc w:val="left"/>
            </w:pPr>
            <w:r>
              <w:rPr>
                <w:sz w:val="19"/>
              </w:rPr>
              <w:t xml:space="preserve">Crash window:</w:t>
            </w:r>
            <w:r>
              <w:rPr>
                <w:sz w:val="19"/>
              </w:rPr>
              <w:t xml:space="preserve"> </w:t>
            </w:r>
            <m:oMath>
              <m:r>
                <m:t>m</m:t>
              </m:r>
              <m:r>
                <m:rPr>
                  <m:sty m:val="p"/>
                </m:rPr>
                <m:t>=</m:t>
              </m:r>
              <m:r>
                <m:t>0</m:t>
              </m:r>
              <m:r>
                <m:rPr>
                  <m:sty m:val="p"/>
                </m:rPr>
                <m:t>→</m:t>
              </m:r>
              <m:r>
                <m:t>10</m:t>
              </m:r>
            </m:oMath>
            <w:r>
              <w:rPr>
                <w:sz w:val="19"/>
              </w:rPr>
              <w:t xml:space="preserve"> s</w:t>
            </w:r>
          </w:p>
        </w:tc>
        <w:tc>
          <w:tcPr>
            <w:gridSpan w:val="2"/>
          </w:tcPr>
          <w:p>
            <w:pPr>
              <w:pStyle w:val="Compact"/>
              <w:spacing w:line="240" w:lineRule="auto"/>
              <w:jc w:val="center"/>
            </w:pPr>
            <w:r>
              <w:rPr>
                <w:sz w:val="19"/>
              </w:rPr>
              <w:t xml:space="preserve">0.014 [0.007, 0.023]</w:t>
            </w:r>
          </w:p>
        </w:tc>
        <w:tc>
          <w:tcPr/>
          <w:p>
            <w:pPr>
              <w:pStyle w:val="Compact"/>
              <w:spacing w:line="240" w:lineRule="auto"/>
              <w:jc w:val="center"/>
            </w:pPr>
            <w:r>
              <w:rPr>
                <w:sz w:val="19"/>
              </w:rPr>
              <w:t xml:space="preserve">No (</w:t>
            </w:r>
            <m:oMath>
              <m:r>
                <m:rPr>
                  <m:sty m:val="p"/>
                </m:rPr>
                <m:t>&lt;</m:t>
              </m:r>
              <m:r>
                <m:t>0.05</m:t>
              </m:r>
            </m:oMath>
            <w:r>
              <w:rPr>
                <w:sz w:val="19"/>
              </w:rPr>
              <w:t xml:space="preserve">)</w:t>
            </w:r>
          </w:p>
        </w:tc>
      </w:tr>
      <w:tr>
        <w:tc>
          <w:tcPr/>
          <w:p>
            <w:pPr>
              <w:pStyle w:val="Compact"/>
              <w:spacing w:line="240" w:lineRule="auto"/>
              <w:jc w:val="left"/>
            </w:pPr>
            <w:r>
              <w:rPr>
                <w:sz w:val="19"/>
              </w:rPr>
              <w:t xml:space="preserve">Window: full</w:t>
            </w:r>
            <w:r>
              <w:rPr>
                <w:sz w:val="19"/>
              </w:rPr>
              <w:t xml:space="preserve"> </w:t>
            </w:r>
            <m:oMath>
              <m:r>
                <m:rPr>
                  <m:sty m:val="p"/>
                </m:rPr>
                <m:t>→</m:t>
              </m:r>
            </m:oMath>
            <w:r>
              <w:rPr>
                <w:sz w:val="19"/>
              </w:rPr>
              <w:t xml:space="preserve"> </w:t>
            </w:r>
            <w:r>
              <w:rPr>
                <w:sz w:val="19"/>
              </w:rPr>
              <w:t xml:space="preserve">first 30 s</w:t>
            </w:r>
          </w:p>
        </w:tc>
        <w:tc>
          <w:tcPr>
            <w:gridSpan w:val="2"/>
          </w:tcPr>
          <w:p>
            <w:pPr>
              <w:pStyle w:val="Compact"/>
              <w:spacing w:line="240" w:lineRule="auto"/>
              <w:jc w:val="center"/>
            </w:pPr>
            <w:r>
              <w:rPr>
                <w:sz w:val="19"/>
              </w:rPr>
              <w:t xml:space="preserve">0.001 [</w:t>
            </w:r>
            <m:oMath>
              <m:r>
                <m:rPr>
                  <m:sty m:val="p"/>
                </m:rPr>
                <m:t>−</m:t>
              </m:r>
              <m:r>
                <m:t>0.031</m:t>
              </m:r>
            </m:oMath>
            <w:r>
              <w:rPr>
                <w:sz w:val="19"/>
              </w:rPr>
              <w:t xml:space="preserve">, 0.034]</w:t>
            </w:r>
          </w:p>
        </w:tc>
        <w:tc>
          <w:tcPr/>
          <w:p>
            <w:pPr>
              <w:pStyle w:val="Compact"/>
              <w:spacing w:line="240" w:lineRule="auto"/>
              <w:jc w:val="center"/>
            </w:pPr>
            <w:r>
              <w:rPr>
                <w:sz w:val="19"/>
              </w:rPr>
              <w:t xml:space="preserve">No</w:t>
            </w:r>
          </w:p>
        </w:tc>
      </w:tr>
    </w:tbl>
    <w:bookmarkEnd w:id="47"/>
    <w:p>
      <w:pPr>
        <w:pStyle w:val="Heading2"/>
      </w:pPr>
      <w:bookmarkStart w:id="48" w:name="_7d36f114b9234da3ba56cdf6e68d941cb747d23"/>
      <w:r>
        <w:rPr>
          <w:rStyle w:val="SectionNumber"/>
        </w:rPr>
        <w:t xml:space="preserve">5.5</w:t>
      </w:r>
      <w:r>
        <w:tab/>
      </w:r>
      <w:r>
        <w:t xml:space="preserve">Within the same drone and between drones (Q3b, Q3c)</w:t>
      </w:r>
      <w:bookmarkEnd w:id="48"/>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w:t>
      </w:r>
      <w:r>
        <w:t xml:space="preserve"> </w:t>
      </w:r>
      <m:oMath>
        <m:r>
          <m:t>4.42</m:t>
        </m:r>
        <m:r>
          <m:rPr>
            <m:sty m:val="p"/>
          </m:rPr>
          <m:t>−</m:t>
        </m:r>
        <m:r>
          <m:rPr>
            <m:sty m:val="p"/>
          </m:rPr>
          <m:t>−</m:t>
        </m:r>
        <m:r>
          <m:t>4.50</m:t>
        </m:r>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2" w:name="_9361c5dba1dea8da31b0aed692bc5b019a98a7f"/>
    <w:p>
      <w:pPr>
        <w:pStyle w:val="CaptionedFigure"/>
        <w:jc w:val="center"/>
      </w:pPr>
      <w:r>
        <w:drawing>
          <wp:inline>
            <wp:extent cx="4160520" cy="2384920"/>
            <wp:effectExtent b="0" l="0" r="0" t="0"/>
            <wp:docPr descr="" title="" id="50" name="Picture"/>
            <a:graphic>
              <a:graphicData uri="http://schemas.openxmlformats.org/drawingml/2006/picture">
                <pic:pic>
                  <pic:nvPicPr>
                    <pic:cNvPr descr="fig_within_between.png" id="51" name="Picture"/>
                    <pic:cNvPicPr>
                      <a:picLocks noChangeArrowheads="1" noChangeAspect="1"/>
                    </pic:cNvPicPr>
                  </pic:nvPicPr>
                  <pic:blipFill>
                    <a:blip r:embed="rId49"/>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2"/>
    <w:p>
      <w:pPr>
        <w:pStyle w:val="Heading2"/>
      </w:pPr>
      <w:bookmarkStart w:id="53" w:name="_c68dcf7b88a01fcf500c8e00d7b03511ec2fbc1"/>
      <w:r>
        <w:rPr>
          <w:rStyle w:val="SectionNumber"/>
        </w:rPr>
        <w:t xml:space="preserve">5.6</w:t>
      </w:r>
      <w:r>
        <w:tab/>
      </w:r>
      <w:r>
        <w:t xml:space="preserve">Robustness of the between-drone result (exploratory)</w:t>
      </w:r>
      <w:bookmarkEnd w:id="53"/>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 Across all 44 matched sets with exposure flights on the same calendar day as the crash, parsing raw GPS epoch timestamps confirmed that every pre-crash exposure flight strictly preceded the crash moment in time (0 post-crash flights occurred in the exposure window). This temporal ordering rules out post-accident flight inclusion, but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and unique control airframes (</w:t>
      </w:r>
      <m:oMath>
        <m:r>
          <m:t>n</m:t>
        </m:r>
        <m:r>
          <m:rPr>
            <m:sty m:val="p"/>
          </m:rPr>
          <m:t>=</m:t>
        </m:r>
        <m:r>
          <m:t>94</m:t>
        </m:r>
      </m:oMath>
      <w:r>
        <w:t xml:space="preserve">) across 2,000 resamples: the mean scaled rank was 0.662 with a 95% cluster bootstrap CI of [0.536, 0.789] (control-only clustering yielded [0.587, 0.744]), both of which strictly exclude chance (0.50).</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7" w:name="_f3665d09ec22ddd60812b28fa68e496f60eecb2"/>
    <w:p>
      <w:pPr>
        <w:pStyle w:val="CaptionedFigure"/>
        <w:jc w:val="center"/>
      </w:pPr>
      <w:r>
        <w:drawing>
          <wp:inline>
            <wp:extent cx="4160520" cy="2531605"/>
            <wp:effectExtent b="0" l="0" r="0" t="0"/>
            <wp:docPr descr="" title="" id="55" name="Picture"/>
            <a:graphic>
              <a:graphicData uri="http://schemas.openxmlformats.org/drawingml/2006/picture">
                <pic:pic>
                  <pic:nvPicPr>
                    <pic:cNvPr descr="fig_robustness.png" id="56" name="Picture"/>
                    <pic:cNvPicPr>
                      <a:picLocks noChangeArrowheads="1" noChangeAspect="1"/>
                    </pic:cNvPicPr>
                  </pic:nvPicPr>
                  <pic:blipFill>
                    <a:blip r:embed="rId54"/>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w:t>
      </w:r>
    </w:p>
    <w:bookmarkEnd w:id="57"/>
    <w:p>
      <w:pPr>
        <w:pStyle w:val="Heading2"/>
      </w:pPr>
      <w:bookmarkStart w:id="58" w:name="_440012d4f1ae87c72168f87fd4eb66e49627717"/>
      <w:r>
        <w:rPr>
          <w:rStyle w:val="SectionNumber"/>
        </w:rPr>
        <w:t xml:space="preserve">5.7</w:t>
      </w:r>
      <w:r>
        <w:tab/>
      </w:r>
      <w:r>
        <w:t xml:space="preserve">Expert diagnoses (Q4)</w:t>
      </w:r>
      <w:bookmarkEnd w:id="58"/>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10 (12 tuning, 5 vibration, 5 GPS, 9 motor, 4 battery).</w:t>
      </w:r>
    </w:p>
    <w:p>
      <w:pPr>
        <w:pStyle w:val="BodyText"/>
      </w:pPr>
      <w:r>
        <w:t xml:space="preserve">Table 10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rate-tracking error demonstrated marked leakage,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conservative class-averaged Clopper–Pearson bounds 0.19–0.73, formed as the unweighted mean of the separate exact binomial 95% confidence intervals for aircraft recall [18/32: 37.6–74.3%] and pilot recall [1/5: 0.5–71.6%]). Because this wide interval contains both chance (0.50) and the declared pass mark (0.70), this independent evaluation is statistically inconclusive and cannot exclude agreement at the declared pass mark.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59" w:name="_83343f61327e522fa9ffc9aa8f722d134b07ff7"/>
    <w:p>
      <w:pPr>
        <w:pStyle w:val="TableCaption"/>
      </w:pPr>
      <w:r>
        <w:t xml:space="preserve">Table 10.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10.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59"/>
    <w:bookmarkStart w:id="63" w:name="_c0d72e502cb8722b270509e9f977263b14fe2c0"/>
    <w:p>
      <w:pPr>
        <w:pStyle w:val="CaptionedFigure"/>
        <w:jc w:val="center"/>
      </w:pPr>
      <w:r>
        <w:drawing>
          <wp:inline>
            <wp:extent cx="4160520" cy="2603928"/>
            <wp:effectExtent b="0" l="0" r="0" t="0"/>
            <wp:docPr descr="" title="" id="61" name="Picture"/>
            <a:graphic>
              <a:graphicData uri="http://schemas.openxmlformats.org/drawingml/2006/picture">
                <pic:pic>
                  <pic:nvPicPr>
                    <pic:cNvPr descr="fig_forum_causes.png" id="62" name="Picture"/>
                    <pic:cNvPicPr>
                      <a:picLocks noChangeArrowheads="1" noChangeAspect="1"/>
                    </pic:cNvPicPr>
                  </pic:nvPicPr>
                  <pic:blipFill>
                    <a:blip r:embed="rId60"/>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3"/>
    <w:p>
      <w:pPr>
        <w:pStyle w:val="Heading2"/>
      </w:pPr>
      <w:bookmarkStart w:id="64" w:name="_fb365ced420b86c8cd60024101a350b346a0a31"/>
      <w:r>
        <w:rPr>
          <w:rStyle w:val="SectionNumber"/>
        </w:rPr>
        <w:t xml:space="preserve">5.8</w:t>
      </w:r>
      <w:r>
        <w:tab/>
      </w:r>
      <w:r>
        <w:t xml:space="preserve">Exploratory evaluation of language-model review panels (preliminary)</w:t>
      </w:r>
      <w:bookmarkEnd w:id="64"/>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11).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5" w:name="_e9a1c7ab9cd062877714c77f2a5f253f301b820"/>
    <w:p>
      <w:pPr>
        <w:pStyle w:val="TableCaption"/>
      </w:pPr>
      <w:r>
        <w:t xml:space="preserve">Table 11.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11.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5"/>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2"/>
      </w:pPr>
      <w:bookmarkStart w:id="66" w:name="_000b339d75a155a848ca0c43e54b0b02b7b82d8"/>
      <w:r>
        <w:rPr>
          <w:rStyle w:val="SectionNumber"/>
        </w:rPr>
        <w:t xml:space="preserve">5.9</w:t>
      </w:r>
      <w:r>
        <w:tab/>
      </w:r>
      <w:r>
        <w:t xml:space="preserve">Analyses added during revision (exploratory)</w:t>
      </w:r>
      <w:bookmarkEnd w:id="66"/>
    </w:p>
    <w:p>
      <w:pPr>
        <w:pStyle w:val="FirstParagraph"/>
      </w:pPr>
      <w:r>
        <w:t xml:space="preserve">To preserve the boundary between pre-declared confirmatory hypotheses (committed to version control on 20–24 October 2026; Table 4) and exploratory investigations added during revision</w:t>
      </w:r>
      <w:r>
        <w:t xml:space="preserve"> </w:t>
      </w:r>
      <w:r>
        <w:t xml:space="preserve">[</w:t>
      </w:r>
      <w:hyperlink w:anchor="_f6e66cea9a1ea78573b548bc5cf8461c81300ca">
        <w:r>
          <w:rPr>
            <w:rStyle w:val="Hyperlink"/>
          </w:rPr>
          <w:t xml:space="preserve">29</w:t>
        </w:r>
      </w:hyperlink>
      <w:r>
        <w:t xml:space="preserve">]</w:t>
      </w:r>
      <w:r>
        <w:t xml:space="preserve">, Table 12 documents each analysis added during peer review, its motivation, key results, git commit hash, first archive date in Software Heritage, and analysis run date. Exploratory analyses added during review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67" w:name="_fb475224272a447d57b77f14dfc8774bb10ba7c"/>
    <w:p>
      <w:pPr>
        <w:pStyle w:val="TableCaption"/>
      </w:pPr>
      <w:r>
        <w:t xml:space="preserve">Table 12. Exploratory analyses added during peer review, their motivation, key results, git commit hashes, first archived dates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w:t>
      </w:r>
    </w:p>
    <w:tbl>
      <w:tblPr>
        <w:tblStyle w:val="Table"/>
        <w:tblW w:type="pct" w:w="5000"/>
        <w:tblLook w:firstRow="1" w:lastRow="0" w:firstColumn="0" w:lastColumn="0" w:noHBand="0" w:noVBand="0" w:val="0020"/>
        <w:tblCaption w:val="Table 12. Exploratory analyses added during peer review, their motivation, key results, git commit hashes, first archived dates in Software Heritage (swh:1:rev:bad06ff1256865c7e63d44389aac174e0281291d, swh:1:rev:bbdd0420de4547ac7d67b84165292a46237b604d, swh:1:rev:624dd694e0d207dd9c44b1c9550faaf04453bc56, and swh:1:rev:3a9aa89417fa9ea2a2334e3a4794e2358fb713ee), and analysis run dates."/>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center"/>
            </w:pPr>
            <w:r>
              <w:rPr>
                <w:sz w:val="19"/>
              </w:rPr>
              <w:t xml:space="preserve">Commit</w:t>
            </w:r>
          </w:p>
        </w:tc>
        <w:tc>
          <w:tcPr/>
          <w:p>
            <w:pPr>
              <w:pStyle w:val="Compact"/>
              <w:spacing w:line="240" w:lineRule="auto"/>
              <w:jc w:val="center"/>
            </w:pPr>
            <w:r>
              <w:rPr>
                <w:sz w:val="19"/>
              </w:rPr>
              <w:t xml:space="preserve">Archived</w:t>
            </w:r>
          </w:p>
        </w:tc>
        <w:tc>
          <w:tcPr/>
          <w:p>
            <w:pPr>
              <w:pStyle w:val="Compact"/>
              <w:spacing w:line="240" w:lineRule="auto"/>
              <w:jc w:val="center"/>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CV design makes no detectable difference</w:t>
            </w:r>
          </w:p>
        </w:tc>
        <w:tc>
          <w:tcPr/>
          <w:p>
            <w:pPr>
              <w:pStyle w:val="Compact"/>
              <w:spacing w:line="240" w:lineRule="auto"/>
              <w:jc w:val="center"/>
            </w:pPr>
            <w:r>
              <w:rPr>
                <w:rStyle w:val="VerbatimChar"/>
                <w:sz w:val="19"/>
              </w:rPr>
              <w:t xml:space="preserve">eb463b5</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center"/>
            </w:pPr>
            <w:r>
              <w:rPr>
                <w:rStyle w:val="VerbatimChar"/>
                <w:sz w:val="19"/>
              </w:rPr>
              <w:t xml:space="preserve">624dd69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38.1% (conservative CP 0.19–0.73); pilot recall 1/5; inconclusive</w:t>
            </w:r>
          </w:p>
        </w:tc>
        <w:tc>
          <w:tcPr/>
          <w:p>
            <w:pPr>
              <w:pStyle w:val="Compact"/>
              <w:spacing w:line="240" w:lineRule="auto"/>
              <w:jc w:val="center"/>
            </w:pPr>
            <w:r>
              <w:rPr>
                <w:rStyle w:val="VerbatimChar"/>
                <w:sz w:val="19"/>
              </w:rPr>
              <w:t xml:space="preserve">3a9aa89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 superseded by the factorial audit (mixed extractors)</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collapses to 0.524 under 10 s leakage control</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over case &amp; control clusters; 44 same-day sets confirmed 0 post-crash flights</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BA declines smoothly from 0.460 (</w:t>
            </w:r>
            <m:oMath>
              <m:r>
                <m:t>m</m:t>
              </m:r>
              <m:r>
                <m:rPr>
                  <m:sty m:val="p"/>
                </m:rPr>
                <m:t>=</m:t>
              </m:r>
              <m:r>
                <m:t>0</m:t>
              </m:r>
            </m:oMath>
            <w:r>
              <w:rPr>
                <w:sz w:val="19"/>
              </w:rPr>
              <w:t xml:space="preserve"> s) to 0.454 (</w:t>
            </w:r>
            <m:oMath>
              <m:r>
                <m:t>m</m:t>
              </m:r>
              <m:r>
                <m:rPr>
                  <m:sty m:val="p"/>
                </m:rPr>
                <m:t>=</m:t>
              </m:r>
              <m:r>
                <m:t>5</m:t>
              </m:r>
            </m:oMath>
            <w:r>
              <w:rPr>
                <w:sz w:val="19"/>
              </w:rPr>
              <w:t xml:space="preserve">), 0.393 (</w:t>
            </w:r>
            <m:oMath>
              <m:r>
                <m:t>m</m:t>
              </m:r>
              <m:r>
                <m:rPr>
                  <m:sty m:val="p"/>
                </m:rPr>
                <m:t>=</m:t>
              </m:r>
              <m:r>
                <m:t>10</m:t>
              </m:r>
            </m:oMath>
            <w:r>
              <w:rPr>
                <w:sz w:val="19"/>
              </w:rPr>
              <w:t xml:space="preserve">), 0.371 (</w:t>
            </w:r>
            <m:oMath>
              <m:r>
                <m:t>m</m:t>
              </m:r>
              <m:r>
                <m:rPr>
                  <m:sty m:val="p"/>
                </m:rPr>
                <m:t>=</m:t>
              </m:r>
              <m:r>
                <m:t>20</m:t>
              </m:r>
            </m:oMath>
            <w:r>
              <w:rPr>
                <w:sz w:val="19"/>
              </w:rPr>
              <w:t xml:space="preserve">), 0.350 (</w:t>
            </w:r>
            <m:oMath>
              <m:r>
                <m:t>m</m:t>
              </m:r>
              <m:r>
                <m:rPr>
                  <m:sty m:val="p"/>
                </m:rPr>
                <m:t>=</m:t>
              </m:r>
              <m:r>
                <m:t>30</m:t>
              </m:r>
            </m:oMath>
            <w:r>
              <w:rPr>
                <w:sz w:val="19"/>
              </w:rPr>
              <w:t xml:space="preserve">)</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Factorial optimism audit</w:t>
            </w:r>
            <m:oMath>
              <m:sSup>
                <m:e>
                  <m:r>
                    <m:t>​</m:t>
                  </m:r>
                </m:e>
                <m:sup>
                  <m:r>
                    <m:rPr>
                      <m:sty m:val="p"/>
                    </m:rPr>
                    <m:t>†</m:t>
                  </m:r>
                </m:sup>
              </m:sSup>
            </m:oMath>
          </w:p>
        </w:tc>
        <w:tc>
          <w:tcPr/>
          <w:p>
            <w:pPr>
              <w:pStyle w:val="Compact"/>
              <w:spacing w:line="240" w:lineRule="auto"/>
              <w:jc w:val="left"/>
            </w:pPr>
            <w:r>
              <w:rPr>
                <w:sz w:val="19"/>
              </w:rPr>
              <w:t xml:space="preserve">Round 14: isolate what the AUC depends on</w:t>
            </w:r>
          </w:p>
        </w:tc>
        <w:tc>
          <w:tcPr/>
          <w:p>
            <w:pPr>
              <w:pStyle w:val="Compact"/>
              <w:spacing w:line="240" w:lineRule="auto"/>
              <w:jc w:val="left"/>
            </w:pPr>
            <m:oMath>
              <m:r>
                <m:t>2</m:t>
              </m:r>
              <m:r>
                <m:rPr>
                  <m:sty m:val="p"/>
                </m:rPr>
                <m:t>×</m:t>
              </m:r>
              <m:r>
                <m:t>2</m:t>
              </m:r>
            </m:oMath>
            <w:r>
              <w:rPr>
                <w:sz w:val="19"/>
              </w:rPr>
              <w:t xml:space="preserve">: no cause isolated; drop 0.212 [0.062, 0.335], only grouped folds material (0.062)</w:t>
            </w:r>
          </w:p>
        </w:tc>
        <w:tc>
          <w:tcPr/>
          <w:p>
            <w:pPr>
              <w:pStyle w:val="Compact"/>
              <w:spacing w:line="240" w:lineRule="auto"/>
              <w:jc w:val="center"/>
            </w:pPr>
            <w:r>
              <w:rPr>
                <w:rStyle w:val="VerbatimChar"/>
                <w:sz w:val="19"/>
              </w:rPr>
              <w:t xml:space="preserve">3c34530</w:t>
            </w:r>
            <w:r>
              <w:rPr>
                <w:sz w:val="19"/>
              </w:rPr>
              <w:t xml:space="preserve">,</w:t>
            </w:r>
            <w:r>
              <w:rPr>
                <w:sz w:val="19"/>
              </w:rPr>
              <w:t xml:space="preserve"> </w:t>
            </w:r>
            <w:r>
              <w:rPr>
                <w:rStyle w:val="VerbatimChar"/>
                <w:sz w:val="19"/>
              </w:rPr>
              <w:t xml:space="preserve">f6ba424</w:t>
            </w:r>
          </w:p>
        </w:tc>
        <w:tc>
          <w:tcPr/>
          <w:p>
            <w:pPr>
              <w:pStyle w:val="Compact"/>
              <w:spacing w:line="240" w:lineRule="auto"/>
              <w:jc w:val="center"/>
            </w:pPr>
            <w:r>
              <w:rPr>
                <w:sz w:val="19"/>
              </w:rPr>
              <w:t xml:space="preserve">pending</w:t>
            </w:r>
          </w:p>
        </w:tc>
        <w:tc>
          <w:tcPr/>
          <w:p>
            <w:pPr>
              <w:pStyle w:val="Compact"/>
              <w:spacing w:line="240" w:lineRule="auto"/>
              <w:jc w:val="center"/>
            </w:pPr>
            <w:r>
              <w:rPr>
                <w:sz w:val="19"/>
              </w:rPr>
              <w:t xml:space="preserve">2026-10-27</w:t>
            </w:r>
          </w:p>
        </w:tc>
      </w:tr>
    </w:tbl>
    <w:bookmarkEnd w:id="67"/>
    <w:p>
      <w:pPr>
        <w:pStyle w:val="Heading1"/>
      </w:pPr>
      <w:bookmarkStart w:id="68" w:name="_5197750e0310900a35791fde6fc3b970851116d"/>
      <w:r>
        <w:rPr>
          <w:rStyle w:val="SectionNumber"/>
        </w:rPr>
        <w:t xml:space="preserve">6</w:t>
      </w:r>
      <w:r>
        <w:tab/>
      </w:r>
      <w:r>
        <w:t xml:space="preserve">Design implications for fleet assurance</w:t>
      </w:r>
      <w:bookmarkEnd w:id="68"/>
    </w:p>
    <w:p>
      <w:pPr>
        <w:pStyle w:val="FirstParagraph"/>
      </w:pPr>
      <w:r>
        <w:t xml:space="preserve">To translate these empirical findings into operational practice, we developed AeroFleet 2.0 (</w:t>
      </w:r>
      <w:hyperlink r:id="rId69">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13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70" w:name="_4816a700d4290cff51a6fa69217ee9f1521b64f"/>
    <w:p>
      <w:pPr>
        <w:pStyle w:val="TableCaption"/>
      </w:pPr>
      <w:r>
        <w:t xml:space="preserve">Table 13. From empirical findings to design implications in fleet assurance.</w:t>
      </w:r>
    </w:p>
    <w:tbl>
      <w:tblPr>
        <w:tblStyle w:val="Table"/>
        <w:tblW w:type="pct" w:w="5000"/>
        <w:tblLook w:firstRow="1" w:lastRow="0" w:firstColumn="0" w:lastColumn="0" w:noHBand="0" w:noVBand="0" w:val="0020"/>
        <w:tblCaption w:val="Table 13.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§5.7)</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Apparent diagnostic check accuracy is consistent with crash-window leakage (tuning check sensitivity falls</w:t>
            </w:r>
            <w:r>
              <w:rPr>
                <w:sz w:val="19"/>
              </w:rPr>
              <w:t xml:space="preserve"> </w:t>
            </w:r>
            <m:oMath>
              <m:r>
                <m:t>7</m:t>
              </m:r>
              <m:r>
                <m:rPr>
                  <m:sty m:val="p"/>
                </m:rPr>
                <m:t>/</m:t>
              </m:r>
              <m:r>
                <m:t>9</m:t>
              </m:r>
              <m:r>
                <m:rPr>
                  <m:sty m:val="p"/>
                </m:rPr>
                <m:t>→</m:t>
              </m:r>
              <m:r>
                <m:t>1</m:t>
              </m:r>
              <m:r>
                <m:rPr>
                  <m:sty m:val="p"/>
                </m:rPr>
                <m:t>/</m:t>
              </m:r>
              <m:r>
                <m:t>9</m:t>
              </m:r>
            </m:oMath>
            <w:r>
              <w:rPr>
                <w:sz w:val="19"/>
              </w:rPr>
              <w:t xml:space="preserve">, exploratory; §5.3, §5.7)</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provisional screening signal; §5.5)</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Confounding shrinkage</w:t>
            </w:r>
          </w:p>
        </w:tc>
        <w:tc>
          <w:tcPr/>
          <w:p>
            <w:pPr>
              <w:pStyle w:val="Compact"/>
              <w:spacing w:line="240" w:lineRule="auto"/>
              <w:jc w:val="left"/>
            </w:pPr>
            <w:r>
              <w:rPr>
                <w:sz w:val="19"/>
              </w:rPr>
              <w:t xml:space="preserve">Changing comparison from other aircraft to same aircraft lowers AUC from 0.88 to 0.53–0.57 (§5.3)</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(§5.8)</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70"/>
    <w:p>
      <w:pPr>
        <w:pStyle w:val="Heading2"/>
      </w:pPr>
      <w:bookmarkStart w:id="71" w:name="_46768506b9d2d22e677daf79594de5255acfb0b"/>
      <w:r>
        <w:rPr>
          <w:rStyle w:val="SectionNumber"/>
        </w:rPr>
        <w:t xml:space="preserve">6.1</w:t>
      </w:r>
      <w:r>
        <w:tab/>
      </w:r>
      <w:r>
        <w:t xml:space="preserve">Recommended reporting checklist for flight-log diagnostics</w:t>
      </w:r>
      <w:bookmarkEnd w:id="71"/>
    </w:p>
    <w:p>
      <w:pPr>
        <w:pStyle w:val="FirstParagraph"/>
      </w:pPr>
      <w:r>
        <w:t xml:space="preserve">To support drone safety regulators, accident investigators, and data-driven diagnostic tool developers in avoiding the leakage and confounding traps quantified in this study, Table 14 outlines an eight-item recommended reporting checklist. Each item pairs a methodological recommendation with its empirical rationale and the specific failure mode observed in our experiments when that control is omitted.</w:t>
      </w:r>
    </w:p>
    <w:bookmarkStart w:id="72" w:name="_8dfd3cae62712a91b3c1ba079a4ea82fa2a3d98"/>
    <w:p>
      <w:pPr>
        <w:pStyle w:val="TableCaption"/>
      </w:pPr>
      <w:r>
        <w:t xml:space="preserve">Table 14.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14.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Consistent with crash-window leakage in individual physical checks (tuning sensitivity fell</w:t>
            </w:r>
            <w:r>
              <w:rPr>
                <w:sz w:val="19"/>
              </w:rPr>
              <w:t xml:space="preserve"> </w:t>
            </w:r>
            <m:oMath>
              <m:r>
                <m:t>7</m:t>
              </m:r>
              <m:r>
                <m:rPr>
                  <m:sty m:val="p"/>
                </m:rPr>
                <m:t>/</m:t>
              </m:r>
              <m:r>
                <m:t>9</m:t>
              </m:r>
              <m:r>
                <m:rPr>
                  <m:sty m:val="p"/>
                </m:rPr>
                <m:t>→</m:t>
              </m:r>
              <m:r>
                <m:t>1</m:t>
              </m:r>
              <m:r>
                <m:rPr>
                  <m:sty m:val="p"/>
                </m:rPr>
                <m:t>/</m:t>
              </m:r>
              <m:r>
                <m:t>9</m:t>
              </m:r>
            </m:oMath>
            <w:r>
              <w:rPr>
                <w:sz w:val="19"/>
              </w:rPr>
              <w:t xml:space="preserve">, exploratory; clipping fell 37%), though cross-sectional AUC was stable (</w:t>
            </w:r>
            <m:oMath>
              <m:r>
                <m:t>0.88</m:t>
              </m:r>
              <m:r>
                <m:rPr>
                  <m:sty m:val="p"/>
                </m:rPr>
                <m:t>→</m:t>
              </m:r>
              <m:r>
                <m:t>0.87</m:t>
              </m:r>
            </m:oMath>
            <w:r>
              <w:rPr>
                <w:sz w:val="19"/>
              </w:rPr>
              <w:t xml:space="preserve">, §5.3).</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cross-fold identity memorization; grouping made no difference where most normal drones contribute one flight (</w:t>
            </w:r>
            <m:oMath>
              <m:r>
                <m:t>0.884</m:t>
              </m:r>
            </m:oMath>
            <w:r>
              <w:rPr>
                <w:sz w:val="19"/>
              </w:rPr>
              <w:t xml:space="preserve"> </w:t>
            </w:r>
            <w:r>
              <w:rPr>
                <w:sz w:val="19"/>
              </w:rPr>
              <w:t xml:space="preserve">vs</w:t>
            </w:r>
            <w:r>
              <w:rPr>
                <w:sz w:val="19"/>
              </w:rPr>
              <w:t xml:space="preserve"> </w:t>
            </w:r>
            <m:oMath>
              <m:r>
                <m:t>0.883</m:t>
              </m:r>
            </m:oMath>
            <w:r>
              <w:rPr>
                <w:sz w:val="19"/>
              </w:rPr>
              <w:t xml:space="preserve">), but in the factorial audit it was the only material factor, lowering AUC by 0.062 [0.034, 0.087], mostly where comparison drones contribute several flights (§5.4).</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though in uncurated archives an uncalipered longitudinal baseline alone yielded no detectable precursor signal (AUC 0.569, cluster CI [0.500, 0.643]) without duration matching.</w:t>
            </w:r>
          </w:p>
        </w:tc>
      </w:tr>
      <w:tr>
        <w:tc>
          <w:tcPr/>
          <w:p>
            <w:pPr>
              <w:pStyle w:val="Compact"/>
              <w:spacing w:line="240" w:lineRule="auto"/>
              <w:jc w:val="left"/>
            </w:pPr>
            <w:r>
              <w:rPr>
                <w:sz w:val="19"/>
              </w:rPr>
              <w:t xml:space="preserve">4. Duration caliper matching</w:t>
            </w:r>
          </w:p>
        </w:tc>
        <w:tc>
          <w:tcPr/>
          <w:p>
            <w:pPr>
              <w:pStyle w:val="Compact"/>
              <w:spacing w:line="240" w:lineRule="auto"/>
              <w:jc w:val="left"/>
            </w:pPr>
            <w:r>
              <w:rPr>
                <w:sz w:val="19"/>
              </w:rPr>
              <w:t xml:space="preserve">Enforce duration matching ratio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rPr>
                <w:sz w:val="19"/>
              </w:rPr>
              <w:t xml:space="preserve"> </w:t>
            </w:r>
            <w:r>
              <w:rPr>
                <w:sz w:val="19"/>
              </w:rPr>
              <w:t xml:space="preserve">to</w:t>
            </w:r>
            <w:r>
              <w:rPr>
                <w:sz w:val="19"/>
              </w:rPr>
              <w:t xml:space="preserve"> </w:t>
            </w:r>
            <m:oMath>
              <m:r>
                <m:rPr>
                  <m:sty m:val="p"/>
                </m:rPr>
                <m:t>≤</m:t>
              </m:r>
              <m:r>
                <m:t>0.50</m:t>
              </m:r>
            </m:oMath>
            <w:r>
              <w:rPr>
                <w:sz w:val="19"/>
              </w:rPr>
              <w:t xml:space="preserve">)</w:t>
            </w:r>
          </w:p>
        </w:tc>
        <w:tc>
          <w:tcPr/>
          <w:p>
            <w:pPr>
              <w:pStyle w:val="Compact"/>
              <w:spacing w:line="240" w:lineRule="auto"/>
              <w:jc w:val="left"/>
            </w:pPr>
            <w:r>
              <w:rPr>
                <w:sz w:val="19"/>
              </w:rPr>
              <w:t xml:space="preserve">Aborted/short incident flights induce spurious duration separation; caliper matching recovers</w:t>
            </w:r>
            <w:r>
              <w:rPr>
                <w:sz w:val="19"/>
              </w:rPr>
              <w:t xml:space="preserve"> </w:t>
            </w:r>
            <m:oMath>
              <m:r>
                <m:rPr>
                  <m:sty m:val="p"/>
                </m:rPr>
                <m:t>+</m:t>
              </m:r>
              <m:r>
                <m:t>0.110</m:t>
              </m:r>
            </m:oMath>
            <w:r>
              <w:rPr>
                <w:sz w:val="19"/>
              </w:rPr>
              <w:t xml:space="preserve"> </w:t>
            </w:r>
            <w:r>
              <w:rPr>
                <w:sz w:val="19"/>
              </w:rPr>
              <w:t xml:space="preserve">within-drone AUC (paired cluster CI [+0.074, +0.238]), reversing duration masking (§5.3).</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(§5.7).</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§5.5).</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bl>
    <w:bookmarkEnd w:id="72"/>
    <w:p>
      <w:pPr>
        <w:pStyle w:val="Heading1"/>
      </w:pPr>
      <w:bookmarkStart w:id="73" w:name="_074802e0e16f6322e726b21f081c01c392e8fbd"/>
      <w:r>
        <w:rPr>
          <w:rStyle w:val="SectionNumber"/>
        </w:rPr>
        <w:t xml:space="preserve">7</w:t>
      </w:r>
      <w:r>
        <w:tab/>
      </w:r>
      <w:r>
        <w:t xml:space="preserve">Discussion</w:t>
      </w:r>
      <w:bookmarkEnd w:id="73"/>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requires an AUC of roughly 0.65 under asymptotic Wilcoxon theory (0.75 under</w:t>
      </w:r>
      <w:r>
        <w:t xml:space="preserve"> </w:t>
      </w:r>
      <w:r>
        <w:t xml:space="preserve">the empirical permutation null; permutation 97.5th percentile 0.660 has</w:t>
      </w:r>
      <w:r>
        <w:t xml:space="preserve"> </w:t>
      </w:r>
      <m:oMath>
        <m:r>
          <m:rPr>
            <m:sty m:val="p"/>
          </m:rPr>
          <m:t>≈</m:t>
        </m:r>
        <m:r>
          <m:t>50</m:t>
        </m:r>
        <m:r>
          <m:rPr>
            <m:sty m:val="p"/>
          </m:rPr>
          <m:t>%</m:t>
        </m:r>
      </m:oMath>
      <w:r>
        <w:t xml:space="preserve"> </w:t>
      </w:r>
      <w:r>
        <w:t xml:space="preserve">power); observed cross-validated</w:t>
      </w:r>
      <w:r>
        <w:t xml:space="preserve"> </w:t>
      </w:r>
      <w:r>
        <w:t xml:space="preserve">models yield empirical 95% bootstrap upper bounds between 0.510 and 0.619.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from independent</w:t>
      </w:r>
      <w:r>
        <w:t xml:space="preserve"> </w:t>
      </w:r>
      <w:r>
        <w:t xml:space="preserve">Jeffreys beta posteriors, class-averaged Clopper–Pearson bound 0.19–0.73; cannot exclude agreement at the declared 0.70 pass</w:t>
      </w:r>
      <w:r>
        <w:t xml:space="preserve"> </w:t>
      </w:r>
      <w:r>
        <w:t xml:space="preserve">mark; pilot recall 1 of 5, exact Clopper–Pearson 95% CI 0.5–71.6%; conservative class-averaged bound 0.19–0.73). Our prospectively declared negative result applies to linear models and decision stumps; exploratory depth-3 decision trees across cut-offs yielded AUCs of 0.366–0.603 (upper bounds 0.519–0.724), with the upper bound dropping to 0.524 at</w:t>
      </w:r>
      <w:r>
        <w:t xml:space="preserve"> </w:t>
      </w:r>
      <m:oMath>
        <m:r>
          <m:t>m</m:t>
        </m:r>
        <m:r>
          <m:rPr>
            <m:sty m:val="p"/>
          </m:rPr>
          <m:t>=</m:t>
        </m:r>
        <m:r>
          <m:t>10</m:t>
        </m:r>
      </m:oMath>
      <w:r>
        <w:t xml:space="preserve"> s, confirming that non-linear trees also fall within chance under leakage control.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vehicle-grouped cross-validation (0.884) and crash-window removal (0.860) made no detectable difference on that sample. The factorial audit (§5.4) shows why the picture depends on the sample: once comparison drones contribute several flights, grouping folds by vehicle becomes the only material source of optimism (0.062 [0.034, 0.087] of a 0.212 drop). Which crashes are scored and which normal flights they are compared with each carried a similar share, but neither could be isolated with 60–67 crashes. Separation against other aircraft persisted (0.67); only comparison with the same drone’s own earlier flights brought it to chance. On the identical 372 flights of the multi-flight cohort, cross-sectional evaluation (0.529 [0.453, 0.607]) and within-drone Group-CV (0.569 [0.493, 0.645]; cluster bootstrap 95% CI [0.500, 0.643]; pairwise mean AUC 0.592 [0.516, 0.692]) yielded overlapping intervals (the cluster bootstrap interval touches chance at 0.500, while the pairwise interval extends down to near-chance at 0.516), indicating that uncalipered matching yields no detectable precursor signal in this cohort. However, controlling for feature-window duration within drones via caliper matching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t xml:space="preserve">) lifts within-drone AUC from 0.532 to 0.642 (</w:t>
      </w:r>
      <m:oMath>
        <m:r>
          <m:rPr>
            <m:sty m:val="p"/>
          </m:rPr>
          <m:t>+</m:t>
        </m:r>
        <m:r>
          <m:t>0.110</m:t>
        </m:r>
      </m:oMath>
      <w:r>
        <w:t xml:space="preserve"> </w:t>
      </w:r>
      <w:r>
        <w:t xml:space="preserve">on the exact same 36 airframes; paired cluster bootstrap 95% CI [+0.074, +0.238]), suggesting that baseline duration differences between crash and non-crash flights may mask within-drone precursor detection in this cohort; the alternative reading is that the gain is carried by duration-linked features (clipping, tilt envelope, voltage sag), and a fixed 30 s window did not reproduce it.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control for flight duration, and compare against 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23</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4" w:name="_82b82981e21bad8167d56d1f0b74a832e215810"/>
      <w:r>
        <w:rPr>
          <w:rStyle w:val="SectionNumber"/>
        </w:rPr>
        <w:t xml:space="preserve">8</w:t>
      </w:r>
      <w:r>
        <w:tab/>
      </w:r>
      <w:r>
        <w:t xml:space="preserve">Threats to validity</w:t>
      </w:r>
      <w:bookmarkEnd w:id="74"/>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conservative 95% Clopper–Pearson bound 0.19–0.73,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run 20–24 October 2026),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10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5" w:name="_0cf7f8e9027f9f9352f3019b4ede1d43d537ff7"/>
      <w:r>
        <w:rPr>
          <w:rStyle w:val="SectionNumber"/>
        </w:rPr>
        <w:t xml:space="preserve">9</w:t>
      </w:r>
      <w:r>
        <w:tab/>
      </w:r>
      <w:r>
        <w:t xml:space="preserve">Conclusion</w:t>
      </w:r>
      <w:bookmarkEnd w:id="75"/>
    </w:p>
    <w:p>
      <w:pPr>
        <w:pStyle w:val="FirstParagraph"/>
      </w:pPr>
      <w:r>
        <w:t xml:space="preserve">Across 590 crash-rated logs from an archive index of 479,547 flights, telemetry features, rules, and statistical models</w:t>
      </w:r>
      <w:r>
        <w:t xml:space="preserve"> </w:t>
      </w:r>
      <w:r>
        <w:t xml:space="preserve">did not distinguish pilot-caused from aircraft-caused crashes above chance: cross-validated AUCs (0.41–0.50, upper bounds</w:t>
      </w:r>
      <w:r>
        <w:t xml:space="preserve"> </w:t>
      </w:r>
      <m:oMath>
        <m:r>
          <m:rPr>
            <m:sty m:val="p"/>
          </m:rPr>
          <m:t>≤</m:t>
        </m:r>
        <m:r>
          <m:t>0.619</m:t>
        </m:r>
      </m:oMath>
      <w:r>
        <w:t xml:space="preserve">; depth-3 trees 0.38–0.60, upper bounds</w:t>
      </w:r>
      <w:r>
        <w:t xml:space="preserve"> </w:t>
      </w:r>
      <m:oMath>
        <m:r>
          <m:rPr>
            <m:sty m:val="p"/>
          </m:rPr>
          <m:t>≤</m:t>
        </m:r>
        <m:r>
          <m:t>0.724</m:t>
        </m:r>
      </m:oMath>
      <w:r>
        <w:t xml:space="preserve">, falling to 0.524 at</w:t>
      </w:r>
      <w:r>
        <w:t xml:space="preserve"> </w:t>
      </w:r>
      <m:oMath>
        <m:r>
          <m:t>m</m:t>
        </m:r>
        <m:r>
          <m:rPr>
            <m:sty m:val="p"/>
          </m:rPr>
          <m:t>=</m:t>
        </m:r>
        <m:r>
          <m:t>10</m:t>
        </m:r>
      </m:oMath>
      <w:r>
        <w:t xml:space="preserve"> s)</w:t>
      </w:r>
      <w:r>
        <w:t xml:space="preserve"> </w:t>
      </w:r>
      <w:r>
        <w:t xml:space="preserve">fall far short of the</w:t>
      </w:r>
      <w:r>
        <w:t xml:space="preserve"> </w:t>
      </w:r>
      <m:oMath>
        <m:r>
          <m:rPr>
            <m:sty m:val="p"/>
          </m:rPr>
          <m:t>≈</m:t>
        </m:r>
        <m:r>
          <m:t>0.80</m:t>
        </m:r>
      </m:oMath>
      <w:r>
        <w:t xml:space="preserve"> </w:t>
      </w:r>
      <w:r>
        <w:t xml:space="preserve">needed for operational verdicts, with 80% power requiring an AUC of roughly 0.65 under asymptotic</w:t>
      </w:r>
      <w:r>
        <w:t xml:space="preserve"> </w:t>
      </w:r>
      <w:r>
        <w:t xml:space="preserve">Wilcoxon theory (0.75 under the empirical permutation null) under only 36 pilot-labelled crashes in the modelling sample. Independent evaluation against 43 expert forum</w:t>
      </w:r>
      <w:r>
        <w:t xml:space="preserve"> </w:t>
      </w:r>
      <w:r>
        <w:t xml:space="preserve">cases was statistically inconclusive (balanced accuracy 0.381, Bayesian 95% CrI 0.25–0.61, conservative class-averaged bound 0.19–0.73;</w:t>
      </w:r>
      <w:r>
        <w:t xml:space="preserve"> </w:t>
      </w:r>
      <w:r>
        <w:t xml:space="preserve">cannot exclude the declared 0.70 pass mark; pilot recall 1 of 5; on 34 complete logs, balanced accuracy 30.0% for rule and 45.0% for logistic regression). Configuration protections were disabled at similar rates,</w:t>
      </w:r>
      <w:r>
        <w:t xml:space="preserve"> </w:t>
      </w:r>
      <w:r>
        <w:t xml:space="preserve">and the flight that crashed showed no detectable difference in vibration or rate-tracking error relative to the same drone’s</w:t>
      </w:r>
      <w:r>
        <w:t xml:space="preserve"> </w:t>
      </w:r>
      <w:r>
        <w:t xml:space="preserve">prior flights (95% CI upper bounds 0.58 and 0.63). Changing the comparison population from other aircraft’s normal flights to the same aircraft’s earlier flights lowered model AUC from about 0.83–0.88 to 0.53–0.57. A factorial audit of 32 evaluation settings attributed 0.21 of the apparent AUC to evaluation choices; only grouping folds by vehicle was individually material (0.06), the crash set and the choice of normal flights could not be separated, and separation against other aircraft persisted at 0.67 until each drone was compared with its own earlier flights. Diagnostic checks were consistent with crash-impact data leakage: tuning</w:t>
      </w:r>
      <w:r>
        <w:t xml:space="preserve"> </w:t>
      </w:r>
      <w:r>
        <w:t xml:space="preserve">fault detection fell from 7/9 [77.8%] to 1/9 [11.1%] sensitivity (unadjusted</w:t>
      </w:r>
      <w:r>
        <w:t xml:space="preserve"> </w:t>
      </w:r>
      <m:oMath>
        <m:r>
          <m:t>p</m:t>
        </m:r>
        <m:r>
          <m:rPr>
            <m:sty m:val="p"/>
          </m:rPr>
          <m:t>=</m:t>
        </m:r>
        <m:r>
          <m:t>0.031</m:t>
        </m:r>
      </m:oMath>
      <w:r>
        <w:t xml:space="preserve">, exploratory) once the final 10 s were</w:t>
      </w:r>
      <w:r>
        <w:t xml:space="preserve"> </w:t>
      </w:r>
      <w:r>
        <w:t xml:space="preserve">removed, accompanied by a drop in normal-flight firing from 13% to 5% which suggests that shorter windows also reduce</w:t>
      </w:r>
      <w:r>
        <w:t xml:space="preserve"> </w:t>
      </w:r>
      <w:r>
        <w:t xml:space="preserve">trigger exposure. What the logs did reveal, on older estimator metrics, was a retrospective between-airframe association where</w:t>
      </w:r>
      <w:r>
        <w:t xml:space="preserve"> </w:t>
      </w:r>
      <w:r>
        <w:t xml:space="preserve">drones that later crashed exhibited higher baseline vibration on ordinary flights than matched peers, though replication on</w:t>
      </w:r>
      <w:r>
        <w:t xml:space="preserve"> </w:t>
      </w:r>
      <w:r>
        <w:t xml:space="preserve">newer accelerometer metrics was inconclusive (</w:t>
      </w:r>
      <m:oMath>
        <m:r>
          <m:t>p</m:t>
        </m:r>
        <m:r>
          <m:rPr>
            <m:sty m:val="p"/>
          </m:rPr>
          <m:t>=</m:t>
        </m:r>
        <m:r>
          <m:t>0.25</m:t>
        </m:r>
      </m:oMath>
      <w:r>
        <w:t xml:space="preserve">). As an exploratory illustration, screening against 107 stratum-matched fleet controls achieves an</w:t>
      </w:r>
      <w:r>
        <w:t xml:space="preserve"> </w:t>
      </w:r>
      <w:r>
        <w:t xml:space="preserve">operational lift of</w:t>
      </w:r>
      <w:r>
        <w:t xml:space="preserve"> </w:t>
      </w:r>
      <m:oMath>
        <m:r>
          <m:t>3.3</m:t>
        </m:r>
        <m:r>
          <m:rPr>
            <m:sty m:val="p"/>
          </m:rPr>
          <m:t>×</m:t>
        </m:r>
      </m:oMath>
      <w:r>
        <w:t xml:space="preserve"> </w:t>
      </w:r>
      <w:r>
        <w:t xml:space="preserve">over base rate (illustrative PPV 2.26–2.43% [exact Bayes], 41.2–44.2 inspections per crash at an assumed 10% flag rate) across screenable (0.69%) and fleet-wide (0.74%)</w:t>
      </w:r>
      <w:r>
        <w:t xml:space="preserve"> </w:t>
      </w:r>
      <w:r>
        <w:t xml:space="preserve">vehicle base rates (0.96–1.04% under empirical matched-set screening). Flight log analytics for drone fleets should prioritize</w:t>
      </w:r>
      <w:r>
        <w:t xml:space="preserve"> </w:t>
      </w:r>
      <w:r>
        <w:t xml:space="preserve">longitudinal airframe screening and structured evidence review, not automated verdicts. AeroFleet 2.0 implements this approach</w:t>
      </w:r>
      <w:r>
        <w:t xml:space="preserve"> </w:t>
      </w:r>
      <w:r>
        <w:t xml:space="preserve">as an open-source tool, presenting verifiable evidence while leaving diagnostic decisions to human operators.</w:t>
      </w:r>
    </w:p>
    <w:p>
      <w:pPr>
        <w:pStyle w:val="Heading1"/>
      </w:pPr>
      <w:bookmarkStart w:id="76" w:name="_84dc18e74b75db6057c8c16a8f70e097972540a"/>
      <w:r>
        <w:t xml:space="preserve">Declaration of competing interest</w:t>
      </w:r>
      <w:bookmarkEnd w:id="76"/>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7" w:name="_1f74eb43af444059c7518034463b6c89b1cacf4"/>
      <w:r>
        <w:t xml:space="preserve">Declaration of generative AI and AI-assisted technologies in the manuscript preparation process</w:t>
      </w:r>
      <w:bookmarkEnd w:id="77"/>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8" w:name="_ea5c66868f283220c19382d0fdd5a852ec570ca"/>
      <w:r>
        <w:t xml:space="preserve">Data availability</w:t>
      </w:r>
      <w:bookmarkEnd w:id="78"/>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69">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9" w:name="_funding"/>
      <w:r>
        <w:t xml:space="preserve">Funding</w:t>
      </w:r>
      <w:bookmarkEnd w:id="79"/>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80" w:name="_bibliography"/>
      <w:r>
        <w:t xml:space="preserve">References</w:t>
      </w:r>
      <w:bookmarkEnd w:id="80"/>
    </w:p>
    <w:bookmarkStart w:id="136" w:name="_refs"/>
    <w:bookmarkStart w:id="81"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1"/>
    <w:bookmarkStart w:id="82"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2"/>
    <w:bookmarkStart w:id="83"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3"/>
    <w:bookmarkStart w:id="84"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4"/>
    <w:bookmarkStart w:id="86"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5">
        <w:r>
          <w:rPr>
            <w:rStyle w:val="Hyperlink"/>
          </w:rPr>
          <w:t xml:space="preserve">10.1109/ICSE55347.2025.00223</w:t>
        </w:r>
      </w:hyperlink>
      <w:r>
        <w:t xml:space="preserve">.</w:t>
      </w:r>
    </w:p>
    <w:bookmarkEnd w:id="86"/>
    <w:bookmarkStart w:id="88"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7">
        <w:r>
          <w:rPr>
            <w:rStyle w:val="Hyperlink"/>
          </w:rPr>
          <w:t xml:space="preserve">10.1016/j.fsidi.2026.302051</w:t>
        </w:r>
      </w:hyperlink>
      <w:r>
        <w:t xml:space="preserve">.</w:t>
      </w:r>
    </w:p>
    <w:bookmarkEnd w:id="88"/>
    <w:bookmarkStart w:id="89"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89"/>
    <w:bookmarkStart w:id="91"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0">
        <w:r>
          <w:rPr>
            <w:rStyle w:val="Hyperlink"/>
          </w:rPr>
          <w:t xml:space="preserve">10.1145/2382577.2382579</w:t>
        </w:r>
      </w:hyperlink>
      <w:r>
        <w:t xml:space="preserve">.</w:t>
      </w:r>
    </w:p>
    <w:bookmarkEnd w:id="91"/>
    <w:bookmarkStart w:id="93"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2">
        <w:r>
          <w:rPr>
            <w:rStyle w:val="Hyperlink"/>
          </w:rPr>
          <w:t xml:space="preserve">10.1016/j.patter.2023.100804</w:t>
        </w:r>
      </w:hyperlink>
      <w:r>
        <w:t xml:space="preserve">.</w:t>
      </w:r>
    </w:p>
    <w:bookmarkEnd w:id="93"/>
    <w:bookmarkStart w:id="95"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4">
        <w:r>
          <w:rPr>
            <w:rStyle w:val="Hyperlink"/>
          </w:rPr>
          <w:t xml:space="preserve">10.1177/0278364920966642</w:t>
        </w:r>
      </w:hyperlink>
      <w:r>
        <w:t xml:space="preserve">.</w:t>
      </w:r>
    </w:p>
    <w:bookmarkEnd w:id="95"/>
    <w:bookmarkStart w:id="97"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6">
        <w:r>
          <w:rPr>
            <w:rStyle w:val="Hyperlink"/>
          </w:rPr>
          <w:t xml:space="preserve">10.1177/02783649241305153</w:t>
        </w:r>
      </w:hyperlink>
      <w:r>
        <w:t xml:space="preserve">.</w:t>
      </w:r>
    </w:p>
    <w:bookmarkEnd w:id="97"/>
    <w:bookmarkStart w:id="98"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8"/>
    <w:bookmarkStart w:id="100"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99">
        <w:r>
          <w:rPr>
            <w:rStyle w:val="Hyperlink"/>
          </w:rPr>
          <w:t xml:space="preserve">10.3390/aerospace3030022</w:t>
        </w:r>
      </w:hyperlink>
      <w:r>
        <w:t xml:space="preserve">.</w:t>
      </w:r>
    </w:p>
    <w:bookmarkEnd w:id="100"/>
    <w:bookmarkStart w:id="101"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101"/>
    <w:bookmarkStart w:id="103"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2">
        <w:r>
          <w:rPr>
            <w:rStyle w:val="Hyperlink"/>
          </w:rPr>
          <w:t xml:space="preserve">10.1109/ICRA.2015.7140074</w:t>
        </w:r>
      </w:hyperlink>
      <w:r>
        <w:t xml:space="preserve">.</w:t>
      </w:r>
    </w:p>
    <w:bookmarkEnd w:id="103"/>
    <w:bookmarkStart w:id="104"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4"/>
    <w:bookmarkStart w:id="105"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5"/>
    <w:bookmarkStart w:id="107"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6">
        <w:r>
          <w:rPr>
            <w:rStyle w:val="Hyperlink"/>
          </w:rPr>
          <w:t xml:space="preserve">10.3390/s26103188</w:t>
        </w:r>
      </w:hyperlink>
      <w:r>
        <w:t xml:space="preserve">.</w:t>
      </w:r>
    </w:p>
    <w:bookmarkEnd w:id="107"/>
    <w:bookmarkStart w:id="109"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8">
        <w:r>
          <w:rPr>
            <w:rStyle w:val="Hyperlink"/>
          </w:rPr>
          <w:t xml:space="preserve">10.3390/drones6110330</w:t>
        </w:r>
      </w:hyperlink>
      <w:r>
        <w:t xml:space="preserve">.</w:t>
      </w:r>
    </w:p>
    <w:bookmarkEnd w:id="109"/>
    <w:bookmarkStart w:id="111"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10">
        <w:r>
          <w:rPr>
            <w:rStyle w:val="Hyperlink"/>
          </w:rPr>
          <w:t xml:space="preserve">10.1145/3146389</w:t>
        </w:r>
      </w:hyperlink>
      <w:r>
        <w:t xml:space="preserve">.</w:t>
      </w:r>
    </w:p>
    <w:bookmarkEnd w:id="111"/>
    <w:bookmarkStart w:id="113"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12">
        <w:r>
          <w:rPr>
            <w:rStyle w:val="Hyperlink"/>
          </w:rPr>
          <w:t xml:space="preserve">10.3389/frobt.2024.1123762</w:t>
        </w:r>
      </w:hyperlink>
      <w:r>
        <w:t xml:space="preserve">.</w:t>
      </w:r>
    </w:p>
    <w:bookmarkEnd w:id="113"/>
    <w:bookmarkStart w:id="115"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4">
        <w:r>
          <w:rPr>
            <w:rStyle w:val="Hyperlink"/>
          </w:rPr>
          <w:t xml:space="preserve">10.1145/3468264.3468559</w:t>
        </w:r>
      </w:hyperlink>
      <w:r>
        <w:t xml:space="preserve">.</w:t>
      </w:r>
    </w:p>
    <w:bookmarkEnd w:id="115"/>
    <w:bookmarkStart w:id="117" w:name="_4f9a794a6a4ddf2789379e73f8e74e34b9538b4"/>
    <w:p>
      <w:pPr>
        <w:pStyle w:val="Bibliography"/>
      </w:pPr>
      <w:r>
        <w:t xml:space="preserve">[23]</w:t>
      </w:r>
      <w:r>
        <w:t xml:space="preserve"> </w:t>
      </w:r>
      <w:r>
        <w:t xml:space="preserve">	</w:t>
      </w:r>
      <w:r>
        <w:t xml:space="preserve">E. Petritoli, F. Leccese, L. Ciani, Reliability and maintenance analysis of unmanned aerial vehicles, Sensors 18 (2018) 3171. https://doi.org/</w:t>
      </w:r>
      <w:hyperlink r:id="rId116">
        <w:r>
          <w:rPr>
            <w:rStyle w:val="Hyperlink"/>
          </w:rPr>
          <w:t xml:space="preserve">10.3390/s18093171</w:t>
        </w:r>
      </w:hyperlink>
      <w:r>
        <w:t xml:space="preserve">.</w:t>
      </w:r>
    </w:p>
    <w:bookmarkEnd w:id="117"/>
    <w:bookmarkStart w:id="118" w:name="_a0e369e89429aa426010697429f06415b068aab"/>
    <w:p>
      <w:pPr>
        <w:pStyle w:val="Bibliography"/>
      </w:pPr>
      <w:r>
        <w:t xml:space="preserve">[24]</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8"/>
    <w:bookmarkStart w:id="120" w:name="_06ffb55068ea9e0b3a7aa6e754cfcffab5f832f"/>
    <w:p>
      <w:pPr>
        <w:pStyle w:val="Bibliography"/>
      </w:pPr>
      <w:r>
        <w:t xml:space="preserve">[25]</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19">
        <w:r>
          <w:rPr>
            <w:rStyle w:val="Hyperlink"/>
          </w:rPr>
          <w:t xml:space="preserve">https://proceedings.mlr.press/v235/du24e.html</w:t>
        </w:r>
      </w:hyperlink>
      <w:r>
        <w:t xml:space="preserve">.</w:t>
      </w:r>
    </w:p>
    <w:bookmarkEnd w:id="120"/>
    <w:bookmarkStart w:id="122" w:name="_8a3cc11b1319c0fe6bf6179f8196eab503a64d0"/>
    <w:p>
      <w:pPr>
        <w:pStyle w:val="Bibliography"/>
      </w:pPr>
      <w:r>
        <w:t xml:space="preserve">[26]</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1">
        <w:r>
          <w:rPr>
            <w:rStyle w:val="Hyperlink"/>
          </w:rPr>
          <w:t xml:space="preserve">10.1145/3605764.3623985</w:t>
        </w:r>
      </w:hyperlink>
      <w:r>
        <w:t xml:space="preserve">.</w:t>
      </w:r>
    </w:p>
    <w:bookmarkEnd w:id="122"/>
    <w:bookmarkStart w:id="124" w:name="_ab8841c06958c924804c38799fc8ccd94ea102a"/>
    <w:p>
      <w:pPr>
        <w:pStyle w:val="Bibliography"/>
      </w:pPr>
      <w:r>
        <w:t xml:space="preserve">[27]</w:t>
      </w:r>
      <w:r>
        <w:t xml:space="preserve"> </w:t>
      </w:r>
      <w:r>
        <w:t xml:space="preserve">	</w:t>
      </w:r>
      <w:r>
        <w:t xml:space="preserve">B. Frénay, M. Verleysen, Classification in the presence of label noise: A survey, IEEE Transactions on Neural Networks and Learning Systems 25 (2014) 845–869. https://doi.org/</w:t>
      </w:r>
      <w:hyperlink r:id="rId123">
        <w:r>
          <w:rPr>
            <w:rStyle w:val="Hyperlink"/>
          </w:rPr>
          <w:t xml:space="preserve">10.1109/TNNLS.2013.2292894</w:t>
        </w:r>
      </w:hyperlink>
      <w:r>
        <w:t xml:space="preserve">.</w:t>
      </w:r>
    </w:p>
    <w:bookmarkEnd w:id="124"/>
    <w:bookmarkStart w:id="126" w:name="_90b58fdc380e5ffe19ed416545c54d06f184b09"/>
    <w:p>
      <w:pPr>
        <w:pStyle w:val="Bibliography"/>
      </w:pPr>
      <w:r>
        <w:t xml:space="preserve">[28]</w:t>
      </w:r>
      <w:r>
        <w:t xml:space="preserve"> </w:t>
      </w:r>
      <w:r>
        <w:t xml:space="preserve">	</w:t>
      </w:r>
      <w:r>
        <w:t xml:space="preserve">E.A. Stuart, Matching methods for causal inference: A review and a look forward, Statistical Science 25 (2010) 1–21. https://doi.org/</w:t>
      </w:r>
      <w:hyperlink r:id="rId125">
        <w:r>
          <w:rPr>
            <w:rStyle w:val="Hyperlink"/>
          </w:rPr>
          <w:t xml:space="preserve">10.1214/09-STS313</w:t>
        </w:r>
      </w:hyperlink>
      <w:r>
        <w:t xml:space="preserve">.</w:t>
      </w:r>
    </w:p>
    <w:bookmarkEnd w:id="126"/>
    <w:bookmarkStart w:id="128" w:name="_f6e66cea9a1ea78573b548bc5cf8461c81300ca"/>
    <w:p>
      <w:pPr>
        <w:pStyle w:val="Bibliography"/>
      </w:pPr>
      <w:r>
        <w:t xml:space="preserve">[29]</w:t>
      </w:r>
      <w:r>
        <w:t xml:space="preserve"> </w:t>
      </w:r>
      <w:r>
        <w:t xml:space="preserve">	</w:t>
      </w:r>
      <w:r>
        <w:t xml:space="preserve">B.A. Nosek, C.R. Ebersole, A.C. DeHaven, D.T. Mellor, The preregistration revolution, Proceedings of the National Academy of Sciences 115 (2018) 2600–2606. https://doi.org/</w:t>
      </w:r>
      <w:hyperlink r:id="rId127">
        <w:r>
          <w:rPr>
            <w:rStyle w:val="Hyperlink"/>
          </w:rPr>
          <w:t xml:space="preserve">10.1073/pnas.1708274114</w:t>
        </w:r>
      </w:hyperlink>
      <w:r>
        <w:t xml:space="preserve">.</w:t>
      </w:r>
    </w:p>
    <w:bookmarkEnd w:id="128"/>
    <w:bookmarkStart w:id="130" w:name="_ad8397d41f792404ea3ffa2c2145e851561e0cf"/>
    <w:p>
      <w:pPr>
        <w:pStyle w:val="Bibliography"/>
      </w:pPr>
      <w:r>
        <w:t xml:space="preserve">[30]</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29">
        <w:r>
          <w:rPr>
            <w:rStyle w:val="Hyperlink"/>
          </w:rPr>
          <w:t xml:space="preserve">10.1148/radiology.143.1.7063747</w:t>
        </w:r>
      </w:hyperlink>
      <w:r>
        <w:t xml:space="preserve">.</w:t>
      </w:r>
    </w:p>
    <w:bookmarkEnd w:id="130"/>
    <w:bookmarkStart w:id="132" w:name="_7ae2e06bcfe80442633569f5f6b1e21460598cb"/>
    <w:p>
      <w:pPr>
        <w:pStyle w:val="Bibliography"/>
      </w:pPr>
      <w:r>
        <w:t xml:space="preserve">[31]</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1">
        <w:r>
          <w:rPr>
            <w:rStyle w:val="Hyperlink"/>
          </w:rPr>
          <w:t xml:space="preserve">10.1214/aoms/1177730491</w:t>
        </w:r>
      </w:hyperlink>
      <w:r>
        <w:t xml:space="preserve">.</w:t>
      </w:r>
    </w:p>
    <w:bookmarkEnd w:id="132"/>
    <w:bookmarkStart w:id="133" w:name="_d0a9d29bfb3d63b968b17ba95db409a8b61dfda"/>
    <w:p>
      <w:pPr>
        <w:pStyle w:val="Bibliography"/>
      </w:pPr>
      <w:r>
        <w:t xml:space="preserve">[32]</w:t>
      </w:r>
      <w:r>
        <w:t xml:space="preserve"> </w:t>
      </w:r>
      <w:r>
        <w:t xml:space="preserve">	</w:t>
      </w:r>
      <w:r>
        <w:t xml:space="preserve">B. Efron, R.J. Tibshirani, An introduction to the bootstrap, Chapman &amp; Hall, New York, 1993.</w:t>
      </w:r>
    </w:p>
    <w:bookmarkEnd w:id="133"/>
    <w:bookmarkStart w:id="135" w:name="_89a013c1487ff07275d04a7e5b79d7551b6a9f6"/>
    <w:p>
      <w:pPr>
        <w:pStyle w:val="Bibliography"/>
      </w:pPr>
      <w:r>
        <w:t xml:space="preserve">[33]</w:t>
      </w:r>
      <w:r>
        <w:t xml:space="preserve"> </w:t>
      </w:r>
      <w:r>
        <w:t xml:space="preserve">	</w:t>
      </w:r>
      <w:r>
        <w:t xml:space="preserve">S. Holm, A simple sequentially rejective multiple test procedure, Scandinavian Journal of Statistics 6 (1979) 65–70.</w:t>
      </w:r>
      <w:r>
        <w:t xml:space="preserve"> </w:t>
      </w:r>
      <w:hyperlink r:id="rId134">
        <w:r>
          <w:rPr>
            <w:rStyle w:val="Hyperlink"/>
          </w:rPr>
          <w:t xml:space="preserve">https://www.jstor.org/stable/4615733</w:t>
        </w:r>
      </w:hyperlink>
      <w:r>
        <w:t xml:space="preserve">.</w:t>
      </w:r>
    </w:p>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png"/><Relationship Id="rId42" Type="http://schemas.openxmlformats.org/officeDocument/2006/relationships/image" Target="media/rId42.png"/><Relationship Id="rId54" Type="http://schemas.openxmlformats.org/officeDocument/2006/relationships/image" Target="media/rId54.png"/><Relationship Id="rId33" Type="http://schemas.openxmlformats.org/officeDocument/2006/relationships/image" Target="media/rId33.png"/><Relationship Id="rId17" Type="http://schemas.openxmlformats.org/officeDocument/2006/relationships/image" Target="media/rId17.png"/><Relationship Id="rId49" Type="http://schemas.openxmlformats.org/officeDocument/2006/relationships/image" Target="media/rId49.png"/><Relationship Id="rId87" Type="http://schemas.openxmlformats.org/officeDocument/2006/relationships/hyperlink" Target="https://doi.org/10.1016/j.fsidi.2026.302051" TargetMode="External"/><Relationship Id="rId92" Type="http://schemas.openxmlformats.org/officeDocument/2006/relationships/hyperlink" Target="https://doi.org/10.1016/j.patter.2023.100804" TargetMode="External"/><Relationship Id="rId127" Type="http://schemas.openxmlformats.org/officeDocument/2006/relationships/hyperlink" Target="https://doi.org/10.1073/pnas.1708274114" TargetMode="External"/><Relationship Id="rId102" Type="http://schemas.openxmlformats.org/officeDocument/2006/relationships/hyperlink" Target="https://doi.org/10.1109/ICRA.2015.7140074" TargetMode="External"/><Relationship Id="rId85" Type="http://schemas.openxmlformats.org/officeDocument/2006/relationships/hyperlink" Target="https://doi.org/10.1109/ICSE55347.2025.00223" TargetMode="External"/><Relationship Id="rId123" Type="http://schemas.openxmlformats.org/officeDocument/2006/relationships/hyperlink" Target="https://doi.org/10.1109/TNNLS.2013.2292894" TargetMode="External"/><Relationship Id="rId90"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1" Type="http://schemas.openxmlformats.org/officeDocument/2006/relationships/hyperlink" Target="https://doi.org/10.1145/3605764.3623985" TargetMode="External"/><Relationship Id="rId129" Type="http://schemas.openxmlformats.org/officeDocument/2006/relationships/hyperlink" Target="https://doi.org/10.1148/radiology.143.1.7063747" TargetMode="External"/><Relationship Id="rId94" Type="http://schemas.openxmlformats.org/officeDocument/2006/relationships/hyperlink" Target="https://doi.org/10.1177/0278364920966642" TargetMode="External"/><Relationship Id="rId96" Type="http://schemas.openxmlformats.org/officeDocument/2006/relationships/hyperlink" Target="https://doi.org/10.1177/02783649241305153" TargetMode="External"/><Relationship Id="rId125" Type="http://schemas.openxmlformats.org/officeDocument/2006/relationships/hyperlink" Target="https://doi.org/10.1214/09-STS313" TargetMode="External"/><Relationship Id="rId131" Type="http://schemas.openxmlformats.org/officeDocument/2006/relationships/hyperlink" Target="https://doi.org/10.1214/aoms/1177730491" TargetMode="External"/><Relationship Id="rId112" Type="http://schemas.openxmlformats.org/officeDocument/2006/relationships/hyperlink" Target="https://doi.org/10.3389/frobt.2024.1123762" TargetMode="External"/><Relationship Id="rId99"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69" Type="http://schemas.openxmlformats.org/officeDocument/2006/relationships/hyperlink" Target="https://github.com/AdityaPathare46/aerofleet" TargetMode="External"/><Relationship Id="rId119" Type="http://schemas.openxmlformats.org/officeDocument/2006/relationships/hyperlink" Target="https://proceedings.mlr.press/v235/du24e.html" TargetMode="External"/><Relationship Id="rId134"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7" Type="http://schemas.openxmlformats.org/officeDocument/2006/relationships/hyperlink" Target="https://doi.org/10.1016/j.fsidi.2026.302051" TargetMode="External"/><Relationship Id="rId92" Type="http://schemas.openxmlformats.org/officeDocument/2006/relationships/hyperlink" Target="https://doi.org/10.1016/j.patter.2023.100804" TargetMode="External"/><Relationship Id="rId127" Type="http://schemas.openxmlformats.org/officeDocument/2006/relationships/hyperlink" Target="https://doi.org/10.1073/pnas.1708274114" TargetMode="External"/><Relationship Id="rId102" Type="http://schemas.openxmlformats.org/officeDocument/2006/relationships/hyperlink" Target="https://doi.org/10.1109/ICRA.2015.7140074" TargetMode="External"/><Relationship Id="rId85" Type="http://schemas.openxmlformats.org/officeDocument/2006/relationships/hyperlink" Target="https://doi.org/10.1109/ICSE55347.2025.00223" TargetMode="External"/><Relationship Id="rId123" Type="http://schemas.openxmlformats.org/officeDocument/2006/relationships/hyperlink" Target="https://doi.org/10.1109/TNNLS.2013.2292894" TargetMode="External"/><Relationship Id="rId90" Type="http://schemas.openxmlformats.org/officeDocument/2006/relationships/hyperlink" Target="https://doi.org/10.1145/2382577.2382579" TargetMode="External"/><Relationship Id="rId110" Type="http://schemas.openxmlformats.org/officeDocument/2006/relationships/hyperlink" Target="https://doi.org/10.1145/3146389" TargetMode="External"/><Relationship Id="rId114" Type="http://schemas.openxmlformats.org/officeDocument/2006/relationships/hyperlink" Target="https://doi.org/10.1145/3468264.3468559" TargetMode="External"/><Relationship Id="rId121" Type="http://schemas.openxmlformats.org/officeDocument/2006/relationships/hyperlink" Target="https://doi.org/10.1145/3605764.3623985" TargetMode="External"/><Relationship Id="rId129" Type="http://schemas.openxmlformats.org/officeDocument/2006/relationships/hyperlink" Target="https://doi.org/10.1148/radiology.143.1.7063747" TargetMode="External"/><Relationship Id="rId94" Type="http://schemas.openxmlformats.org/officeDocument/2006/relationships/hyperlink" Target="https://doi.org/10.1177/0278364920966642" TargetMode="External"/><Relationship Id="rId96" Type="http://schemas.openxmlformats.org/officeDocument/2006/relationships/hyperlink" Target="https://doi.org/10.1177/02783649241305153" TargetMode="External"/><Relationship Id="rId125" Type="http://schemas.openxmlformats.org/officeDocument/2006/relationships/hyperlink" Target="https://doi.org/10.1214/09-STS313" TargetMode="External"/><Relationship Id="rId131" Type="http://schemas.openxmlformats.org/officeDocument/2006/relationships/hyperlink" Target="https://doi.org/10.1214/aoms/1177730491" TargetMode="External"/><Relationship Id="rId112" Type="http://schemas.openxmlformats.org/officeDocument/2006/relationships/hyperlink" Target="https://doi.org/10.3389/frobt.2024.1123762" TargetMode="External"/><Relationship Id="rId99" Type="http://schemas.openxmlformats.org/officeDocument/2006/relationships/hyperlink" Target="https://doi.org/10.3390/aerospace3030022" TargetMode="External"/><Relationship Id="rId108" Type="http://schemas.openxmlformats.org/officeDocument/2006/relationships/hyperlink" Target="https://doi.org/10.3390/drones6110330" TargetMode="External"/><Relationship Id="rId116" Type="http://schemas.openxmlformats.org/officeDocument/2006/relationships/hyperlink" Target="https://doi.org/10.3390/s18093171" TargetMode="External"/><Relationship Id="rId106" Type="http://schemas.openxmlformats.org/officeDocument/2006/relationships/hyperlink" Target="https://doi.org/10.3390/s26103188" TargetMode="External"/><Relationship Id="rId69" Type="http://schemas.openxmlformats.org/officeDocument/2006/relationships/hyperlink" Target="https://github.com/AdityaPathare46/aerofleet" TargetMode="External"/><Relationship Id="rId119" Type="http://schemas.openxmlformats.org/officeDocument/2006/relationships/hyperlink" Target="https://proceedings.mlr.press/v235/du24e.html" TargetMode="External"/><Relationship Id="rId134"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2026-10-27T08:00:25Z</dcterms:created>
  <dcterms:modified xsi:type="dcterms:W3CDTF">2026-10-27T08:00:25Z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