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widely expected to determine whether a drone crash was caused by the pilot or the aircraft. Across 590 public PX4 crash logs from an archive of 479,547 flights, we evaluate that expectation using declared protocols committed to version control prior to analysis. First, automatic crash attribution between pilot and aircraft is not achievable above chance: a fixed rule reached a balanced accuracy of 0.47 on held-out crashes, cross-validated logistic regression yielded AUCs of 0.45–0.46 (permutation null</w:t>
      </w:r>
      <w:r>
        <w:t xml:space="preserve"> </w:t>
      </w:r>
      <m:oMath>
        <m:r>
          <m:t>p</m:t>
        </m:r>
        <m:r>
          <m:rPr>
            <m:sty m:val="p"/>
          </m:rPr>
          <m:t>=</m:t>
        </m:r>
        <m:r>
          <m:t>0.51</m:t>
        </m:r>
      </m:oMath>
      <w:r>
        <w:t xml:space="preserve">), and gradient-boosted decision trees remained near chance once the impact was excluded. Second, apparent diagnostic success reflects crash data leakage: fault checks that appeared sensitive when including the crash failed without its final 10 s, and cross-sectional separation between crash and normal flights collapsed within the same drone (AUC 0.58). Third, drones that later crashed exhibited higher baseline vibration on ordinary flights than matched peers on older estimator metrics (mean rank 0.67, Holm</w:t>
      </w:r>
      <w:r>
        <w:t xml:space="preserve"> </w:t>
      </w:r>
      <m:oMath>
        <m:r>
          <m:t>p</m:t>
        </m:r>
        <m:r>
          <m:rPr>
            <m:sty m:val="p"/>
          </m:rPr>
          <m:t>=</m:t>
        </m:r>
        <m:r>
          <m:t>0.016</m:t>
        </m:r>
      </m:oMath>
      <w:r>
        <w:t xml:space="preserve">), though replication on newer accelerometer metrics was inconclusive (</w:t>
      </w:r>
      <m:oMath>
        <m:r>
          <m:t>p</m:t>
        </m:r>
        <m:r>
          <m:rPr>
            <m:sty m:val="p"/>
          </m:rPr>
          <m:t>=</m:t>
        </m:r>
        <m:r>
          <m:t>0.25</m:t>
        </m:r>
      </m:oMath>
      <w:r>
        <w:t xml:space="preserve">). Flagging upper-quartile vibration identifies 63.3% of crashed airframes (relative risk</w:t>
      </w:r>
      <w:r>
        <w:t xml:space="preserve"> </w:t>
      </w:r>
      <m:oMath>
        <m:r>
          <m:t>5.0</m:t>
        </m:r>
        <m:r>
          <m:rPr>
            <m:sty m:val="p"/>
          </m:rPr>
          <m:t>×</m:t>
        </m:r>
      </m:oMath>
      <w:r>
        <w:t xml:space="preserve">, positive predictive value 3.8% [95% CI 3.2–4.6%], 26 inspections per crash). Language-model panels introduced classification errors and consensus manipulation. AeroFleet 2.0, an open-source assurance tool, presents longitudinal evidence without issuing automatic verdicts.</w:t>
      </w:r>
    </w:p>
    <w:p>
      <w:pPr>
        <w:pStyle w:val="BodyText"/>
      </w:pPr>
      <w:r>
        <w:rPr>
          <w:b/>
          <w:bCs/>
        </w:rPr>
        <w:t xml:space="preserve">Keywords:</w:t>
      </w:r>
      <w:r>
        <w:t xml:space="preserve"> </w:t>
      </w:r>
      <w:r>
        <w:t xml:space="preserve">Unmanned aircraft systems; Flight log analysis; Crash investigation; Fault diagnosis; Data leakage; Declared protocols;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an answer to the first question has, to our knowledge, not been tested on real crashes at scale. Public fault</w:t>
      </w:r>
      <w:r>
        <w:t xml:space="preserve"> </w:t>
      </w:r>
      <w:r>
        <w:t xml:space="preserve">datasets are dominated by simulation or by faults injected on purpose</w:t>
      </w:r>
      <w:r>
        <w:t xml:space="preserve"> </w:t>
      </w:r>
      <w:r>
        <w:t xml:space="preserve">[</w:t>
      </w:r>
      <w:hyperlink w:anchor="_d75d7cf63098afa5d33e189bc1a163022e7ecdc">
        <w:r>
          <w:rPr>
            <w:rStyle w:val="Hyperlink"/>
          </w:rPr>
          <w:t xml:space="preserve">8</w:t>
        </w:r>
      </w:hyperlink>
      <w:r>
        <w:t xml:space="preserve">–</w:t>
      </w:r>
      <w:hyperlink w:anchor="_973650d78dc352a8b25ace59ab002a1d91cdfc9">
        <w:r>
          <w:rPr>
            <w:rStyle w:val="Hyperlink"/>
          </w:rPr>
          <w:t xml:space="preserve">10</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11</w:t>
        </w:r>
      </w:hyperlink>
      <w:r>
        <w:t xml:space="preserve">,</w:t>
      </w:r>
      <w:hyperlink w:anchor="_b513b568a9a02649a1ddc461a1dd01e876732a2">
        <w:r>
          <w:rPr>
            <w:rStyle w:val="Hyperlink"/>
          </w:rPr>
          <w:t xml:space="preserve">12</w:t>
        </w:r>
      </w:hyperlink>
      <w:r>
        <w:t xml:space="preserve">]</w:t>
      </w:r>
      <w:r>
        <w:t xml:space="preserve">. Two pitfalls make optimistic results</w:t>
      </w:r>
      <w:r>
        <w:t xml:space="preserve"> </w:t>
      </w:r>
      <w:r>
        <w:t xml:space="preserve">easy to obtain. First, a log that contains a crash also contains its consequences: saturated motors, extreme attitudes</w:t>
      </w:r>
      <w:r>
        <w:t xml:space="preserve"> </w:t>
      </w:r>
      <w:r>
        <w:t xml:space="preserve">and estimator errors. A detector can learn these instead of the cause, a form of data leakage</w:t>
      </w:r>
      <w:r>
        <w:t xml:space="preserve"> </w:t>
      </w:r>
      <w:r>
        <w:t xml:space="preserve">[</w:t>
      </w:r>
      <w:hyperlink w:anchor="_3541019a36f31423dbace231a12fca4d5e5f1ad">
        <w:r>
          <w:rPr>
            <w:rStyle w:val="Hyperlink"/>
          </w:rPr>
          <w:t xml:space="preserve">13</w:t>
        </w:r>
      </w:hyperlink>
      <w:r>
        <w:t xml:space="preserve">,</w:t>
      </w:r>
      <w:hyperlink w:anchor="_77239db318a405bdd9ca0cc5db74d4c41b2a03f">
        <w:r>
          <w:rPr>
            <w:rStyle w:val="Hyperlink"/>
          </w:rPr>
          <w:t xml:space="preserve">14</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w:t>
      </w:r>
    </w:p>
    <w:p>
      <w:pPr>
        <w:pStyle w:val="BodyText"/>
      </w:pPr>
      <w:r>
        <w:t xml:space="preserve">This paper asks four questions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w:t>
      </w:r>
    </w:p>
    <w:p>
      <w:pPr>
        <w:pStyle w:val="BodyText"/>
      </w:pPr>
      <w:r>
        <w:rPr>
          <w:b/>
          <w:bCs/>
        </w:rPr>
        <w:t xml:space="preserve">Q1</w:t>
      </w:r>
      <w:r>
        <w:t xml:space="preserve"> </w:t>
      </w:r>
      <w:r>
        <w:t xml:space="preserve">Do configuration settings differ between crash flights and normal flights?</w:t>
      </w:r>
    </w:p>
    <w:p>
      <w:pPr>
        <w:pStyle w:val="BodyText"/>
      </w:pPr>
      <w:r>
        <w:rPr>
          <w:b/>
          <w:bCs/>
        </w:rPr>
        <w:t xml:space="preserve">Q2</w:t>
      </w:r>
      <w:r>
        <w:t xml:space="preserve"> </w:t>
      </w:r>
      <w:r>
        <w:t xml:space="preserve">Can a log separate crashes caused by the pilot from crashes caused by the aircraft?</w:t>
      </w:r>
    </w:p>
    <w:p>
      <w:pPr>
        <w:pStyle w:val="BodyText"/>
      </w:pPr>
      <w:r>
        <w:rPr>
          <w:b/>
          <w:bCs/>
        </w:rPr>
        <w:t xml:space="preserve">Q3</w:t>
      </w:r>
      <w:r>
        <w:t xml:space="preserve"> </w:t>
      </w:r>
      <w:r>
        <w:t xml:space="preserve">Does the flight that crashed show warning signs relative to the same drone’s history, or are the</w:t>
      </w:r>
      <w:r>
        <w:t xml:space="preserve"> </w:t>
      </w:r>
      <w:r>
        <w:t xml:space="preserve">differences between drones?</w:t>
      </w:r>
    </w:p>
    <w:p>
      <w:pPr>
        <w:pStyle w:val="BodyText"/>
      </w:pPr>
      <w:r>
        <w:rPr>
          <w:b/>
          <w:bCs/>
        </w:rPr>
        <w:t xml:space="preserve">Q4</w:t>
      </w:r>
      <w:r>
        <w:t xml:space="preserve"> </w:t>
      </w:r>
      <w:r>
        <w:t xml:space="preserve">Do expert diagnoses agree with uploader labels, and do automatic checks find the faults experts name?</w:t>
      </w:r>
    </w:p>
    <w:p>
      <w:pPr>
        <w:pStyle w:val="BodyText"/>
      </w:pPr>
      <w:r>
        <w:t xml:space="preserve">Because language-model assistants are now proposed for exactly this task, we also report a controlled test of small</w:t>
      </w:r>
      <w:r>
        <w:t xml:space="preserve"> </w:t>
      </w:r>
      <w:r>
        <w:t xml:space="preserve">local models used as a review panel.</w:t>
      </w:r>
    </w:p>
    <w:p>
      <w:pPr>
        <w:pStyle w:val="BodyText"/>
      </w:pPr>
      <w:r>
        <w:t xml:space="preserve">The contributions are as follows. (i) We assemble a real-flight crash benchmark from public logs and check its labels</w:t>
      </w:r>
      <w:r>
        <w:t xml:space="preserve"> </w:t>
      </w:r>
      <w:r>
        <w:t xml:space="preserve">against expert diagnoses. (ii) Every confirmatory test was declared, with its threshold and pass mark, in public version</w:t>
      </w:r>
      <w:r>
        <w:t xml:space="preserve"> </w:t>
      </w:r>
      <w:r>
        <w:t xml:space="preserve">control before the data it used were analysed, and decisive tests were repeated on held-out data, following declared</w:t>
      </w:r>
      <w:r>
        <w:t xml:space="preserve"> </w:t>
      </w:r>
      <w:r>
        <w:t xml:space="preserve">test protocols committed prior to analysis</w:t>
      </w:r>
      <w:r>
        <w:t xml:space="preserve"> </w:t>
      </w:r>
      <w:r>
        <w:t xml:space="preserve">[</w:t>
      </w:r>
      <w:hyperlink w:anchor="_f6e66cea9a1ea78573b548bc5cf8461c81300ca">
        <w:r>
          <w:rPr>
            <w:rStyle w:val="Hyperlink"/>
          </w:rPr>
          <w:t xml:space="preserve">17</w:t>
        </w:r>
      </w:hyperlink>
      <w:r>
        <w:t xml:space="preserve">]</w:t>
      </w:r>
      <w:r>
        <w:t xml:space="preserve">; secondary sensitivity and diagnostic analyses added</w:t>
      </w:r>
      <w:r>
        <w:t xml:space="preserve"> </w:t>
      </w:r>
      <w:r>
        <w:t xml:space="preserve">during revision are explicitly designated as exploratory. (iii) We show that crash attribution from logs was not</w:t>
      </w:r>
      <w:r>
        <w:t xml:space="preserve"> </w:t>
      </w:r>
      <w:r>
        <w:t xml:space="preserve">achievable with these labels and features, and that apparent diagnostic accuracy can come from the crash itself. (iv)</w:t>
      </w:r>
      <w:r>
        <w:t xml:space="preserve"> </w:t>
      </w:r>
      <w:r>
        <w:t xml:space="preserve">We report one positive screening signal: drones that later crash are rougher on their ordinary flights than matched</w:t>
      </w:r>
      <w:r>
        <w:t xml:space="preserve"> </w:t>
      </w:r>
      <w:r>
        <w:t xml:space="preserve">drones on older estimator metrics, though replication on newer accelerometer metrics was inconclusive (</w:t>
      </w:r>
      <m:oMath>
        <m:r>
          <m:t>p</m:t>
        </m:r>
        <m:r>
          <m:rPr>
            <m:sty m:val="p"/>
          </m:rPr>
          <m:t>=</m:t>
        </m:r>
        <m:r>
          <m:t>0.25</m:t>
        </m:r>
      </m:oMath>
      <w:r>
        <w:t xml:space="preserve">) and</w:t>
      </w:r>
      <w:r>
        <w:t xml:space="preserve"> </w:t>
      </w:r>
      <w:r>
        <w:t xml:space="preserve">fleet screening yields an operational positive predictive value of 3.8% for upper-quartile flagging (relative risk</w:t>
      </w:r>
      <w:r>
        <w:t xml:space="preserve"> </w:t>
      </w:r>
      <w:r>
        <w:t xml:space="preserve">5.0</w:t>
      </w:r>
      <m:oMath>
        <m:r>
          <m:rPr>
            <m:sty m:val="p"/>
          </m:rPr>
          <m:t>×</m:t>
        </m:r>
      </m:oMath>
      <w:r>
        <w:t xml:space="preserve">; 3.3% for top-rank flagging). (v) We show how these results translate into the design of an open-source</w:t>
      </w:r>
      <w:r>
        <w:t xml:space="preserve"> </w:t>
      </w:r>
      <w:r>
        <w:t xml:space="preserve">assurance tool, AeroFleet 2.0, and report engineering checks of its parts, including one negative result</w:t>
      </w:r>
      <w:r>
        <w:t xml:space="preserve"> </w:t>
      </w:r>
      <w:r>
        <w:t xml:space="preserve">(Section 6).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8</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9</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10</w:t>
        </w:r>
      </w:hyperlink>
      <w:r>
        <w:t xml:space="preserve">]</w:t>
      </w:r>
      <w:r>
        <w:t xml:space="preserve">, used by later anomaly-mining work</w:t>
      </w:r>
      <w:r>
        <w:t xml:space="preserve"> </w:t>
      </w:r>
      <w:r>
        <w:t xml:space="preserve">[</w:t>
      </w:r>
      <w:hyperlink w:anchor="_c1fc4b225b7dfa71f64cc84e83afba5f24698c2">
        <w:r>
          <w:rPr>
            <w:rStyle w:val="Hyperlink"/>
          </w:rPr>
          <w:t xml:space="preserve">18</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19</w:t>
        </w:r>
      </w:hyperlink>
      <w:r>
        <w:t xml:space="preserve">]</w:t>
      </w:r>
      <w:r>
        <w:t xml:space="preserve">. These</w:t>
      </w:r>
      <w:r>
        <w:t xml:space="preserve"> </w:t>
      </w:r>
      <w:r>
        <w:t xml:space="preserve">resources target anomaly or fault detection under known faults. None labels real crashes by responsibility, and none</w:t>
      </w:r>
      <w:r>
        <w:t xml:space="preserve"> </w:t>
      </w:r>
      <w:r>
        <w:t xml:space="preserve">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8</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9</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10</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20</w:t>
        </w:r>
      </w:hyperlink>
      <w:r>
        <w:t xml:space="preserve">,</w:t>
      </w:r>
      <w:hyperlink w:anchor="_1ece912d6a7cc2c7f97bdecc84d0912f3af390e">
        <w:r>
          <w:rPr>
            <w:rStyle w:val="Hyperlink"/>
          </w:rPr>
          <w:t xml:space="preserve">21</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22</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23</w:t>
        </w:r>
      </w:hyperlink>
      <w:r>
        <w:t xml:space="preserve">]</w:t>
      </w:r>
      <w:r>
        <w:t xml:space="preserve">.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24</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11</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25</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26</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27</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13</w:t>
        </w:r>
      </w:hyperlink>
      <w:r>
        <w:t xml:space="preserve">,</w:t>
      </w:r>
      <w:hyperlink w:anchor="_77239db318a405bdd9ca0cc5db74d4c41b2a03f">
        <w:r>
          <w:rPr>
            <w:rStyle w:val="Hyperlink"/>
          </w:rPr>
          <w:t xml:space="preserve">14</w:t>
        </w:r>
      </w:hyperlink>
      <w:r>
        <w:t xml:space="preserve">]</w:t>
      </w:r>
      <w:r>
        <w:t xml:space="preserve">; label noise</w:t>
      </w:r>
      <w:r>
        <w:t xml:space="preserve"> </w:t>
      </w:r>
      <w:r>
        <w:t xml:space="preserve">likewise biases evaluation</w:t>
      </w:r>
      <w:r>
        <w:t xml:space="preserve"> </w:t>
      </w:r>
      <w:r>
        <w:t xml:space="preserve">[</w:t>
      </w:r>
      <w:hyperlink w:anchor="_ab8841c06958c924804c38799fc8ccd94ea102a">
        <w:r>
          <w:rPr>
            <w:rStyle w:val="Hyperlink"/>
          </w:rPr>
          <w:t xml:space="preserve">28</w:t>
        </w:r>
      </w:hyperlink>
      <w:r>
        <w:t xml:space="preserve">]</w:t>
      </w:r>
      <w:r>
        <w:t xml:space="preserve">. Matching reduces confounding in observational comparisons</w:t>
      </w:r>
      <w:r>
        <w:t xml:space="preserve"> </w:t>
      </w:r>
      <w:r>
        <w:t xml:space="preserve">[</w:t>
      </w:r>
      <w:hyperlink w:anchor="_90b58fdc380e5ffe19ed416545c54d06f184b09">
        <w:r>
          <w:rPr>
            <w:rStyle w:val="Hyperlink"/>
          </w:rPr>
          <w:t xml:space="preserve">29</w:t>
        </w:r>
      </w:hyperlink>
      <w:r>
        <w:t xml:space="preserve">]</w:t>
      </w:r>
      <w:r>
        <w:t xml:space="preserve">, and declaring hypotheses and analysis scripts in version control prior to running tests</w:t>
      </w:r>
      <w:r>
        <w:t xml:space="preserve"> </w:t>
      </w:r>
      <w:r>
        <w:t xml:space="preserve">separates confirmatory from exploratory analysis</w:t>
      </w:r>
      <w:r>
        <w:t xml:space="preserve"> </w:t>
      </w:r>
      <w:r>
        <w:t xml:space="preserve">[</w:t>
      </w:r>
      <w:hyperlink w:anchor="_f6e66cea9a1ea78573b548bc5cf8461c81300ca">
        <w:r>
          <w:rPr>
            <w:rStyle w:val="Hyperlink"/>
          </w:rPr>
          <w:t xml:space="preserve">17</w:t>
        </w:r>
      </w:hyperlink>
      <w:r>
        <w:t xml:space="preserve">]</w:t>
      </w:r>
      <w:r>
        <w:t xml:space="preserve">. We apply these ideas to drone logs.</w:t>
      </w:r>
    </w:p>
    <w:p>
      <w:pPr>
        <w:pStyle w:val="BodyText"/>
      </w:pPr>
      <w:r>
        <w:rPr>
          <w:b/>
          <w:bCs/>
        </w:rPr>
        <w:t xml:space="preserve">Tools for operators.</w:t>
      </w:r>
      <w:r>
        <w:t xml:space="preserve"> </w:t>
      </w:r>
      <w:r>
        <w:t xml:space="preserve">Retrieving similar past cases and reusing their solutions is the basis of</w:t>
      </w:r>
      <w:r>
        <w:t xml:space="preserve"> </w:t>
      </w:r>
      <w:r>
        <w:t xml:space="preserve">case-based reasoning</w:t>
      </w:r>
      <w:r>
        <w:t xml:space="preserve"> </w:t>
      </w:r>
      <w:r>
        <w:t xml:space="preserve">[</w:t>
      </w:r>
      <w:hyperlink w:anchor="_73ca53b3200da47e1a054effa9b6f4174075f9a">
        <w:r>
          <w:rPr>
            <w:rStyle w:val="Hyperlink"/>
          </w:rPr>
          <w:t xml:space="preserve">30</w:t>
        </w:r>
      </w:hyperlink>
      <w:r>
        <w:t xml:space="preserve">]</w:t>
      </w:r>
      <w:r>
        <w:t xml:space="preserve">; ranking text by word overlap with BM25 is a standard, deterministic</w:t>
      </w:r>
      <w:r>
        <w:t xml:space="preserve"> </w:t>
      </w:r>
      <w:r>
        <w:t xml:space="preserve">retrieval method</w:t>
      </w:r>
      <w:r>
        <w:t xml:space="preserve"> </w:t>
      </w:r>
      <w:r>
        <w:t xml:space="preserve">[</w:t>
      </w:r>
      <w:hyperlink w:anchor="_aa8360ba2eb3daad7a46f1986f0c2c353067603">
        <w:r>
          <w:rPr>
            <w:rStyle w:val="Hyperlink"/>
          </w:rPr>
          <w:t xml:space="preserve">31</w:t>
        </w:r>
      </w:hyperlink>
      <w:r>
        <w:t xml:space="preserve">]</w:t>
      </w:r>
      <w:r>
        <w:t xml:space="preserve">. A hand-held miniature of the environment lets a person grasp and</w:t>
      </w:r>
      <w:r>
        <w:t xml:space="preserve"> </w:t>
      </w:r>
      <w:r>
        <w:t xml:space="preserve">inspect a spatial scene at a glance</w:t>
      </w:r>
      <w:r>
        <w:t xml:space="preserve"> </w:t>
      </w:r>
      <w:r>
        <w:t xml:space="preserve">[</w:t>
      </w:r>
      <w:hyperlink w:anchor="_587a2a13103f5a9c7c9f5fbc8ef0c5dfd686e3c">
        <w:r>
          <w:rPr>
            <w:rStyle w:val="Hyperlink"/>
          </w:rPr>
          <w:t xml:space="preserve">32</w:t>
        </w:r>
      </w:hyperlink>
      <w:r>
        <w:t xml:space="preserve">]</w:t>
      </w:r>
      <w:r>
        <w:t xml:space="preserve">, the idea behind the tabletop view in</w:t>
      </w:r>
      <w:r>
        <w:t xml:space="preserve"> </w:t>
      </w:r>
      <w:r>
        <w:t xml:space="preserve">Section 6. We use these as engineering choices and test them only as far as stated.</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Table 2 details the 520 crash-rated logs from real hardware with</w:t>
      </w:r>
      <w:r>
        <w:t xml:space="preserve"> </w:t>
      </w:r>
      <w:r>
        <w:t xml:space="preserve">complete duration and firmware version records.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5.6). On the 14</w:t>
      </w:r>
      <w:r>
        <w:t xml:space="preserve"> </w:t>
      </w:r>
      <w:r>
        <w:t xml:space="preserve">overlapping logs carrying an uploader aircraft crash rating, experts agreed in 11 and were unclear in 3 (none blamed the</w:t>
      </w:r>
      <w:r>
        <w:t xml:space="preserve"> </w:t>
      </w:r>
      <w:r>
        <w:t xml:space="preserve">pilot). This gap suggests potential politeness bias on public developer forums, selection bias in which incidents operators</w:t>
      </w:r>
      <w:r>
        <w:t xml:space="preserve"> </w:t>
      </w:r>
      <w:r>
        <w:t xml:space="preserve">submit for community assistance, or a narrower definition of pilot error among autopilot developers compared to end users.</w:t>
      </w:r>
      <w:r>
        <w:t xml:space="preserve"> </w:t>
      </w:r>
      <w:r>
        <w:t xml:space="preserve">Furthermore, while expert coding showed strong agreement on aircraft-rated logs, forum threads did not provide an</w:t>
      </w:r>
      <w:r>
        <w:t xml:space="preserve"> </w:t>
      </w:r>
      <w:r>
        <w:t xml:space="preserve">expert-diagnosed pilot-rated sample to verify the validity of pilot-blamed labels independently. 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 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5.6).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drones, three randomly chosen flights each, seed 7). Control drones were sampled without replacement, so no control served</w:t>
      </w:r>
      <w:r>
        <w:t xml:space="preserve"> </w:t>
      </w:r>
      <w:r>
        <w:t xml:space="preserve">two cases. The three exposure flights of a crashed drone were its most recent non-crash flights dated on or before the crash;</w:t>
      </w:r>
      <w:r>
        <w:t xml:space="preserve"> </w:t>
      </w:r>
      <w:r>
        <w:t xml:space="preserve">flights on the crash day were included in the declared test because the archive does not give their order within a day, and</w:t>
      </w:r>
      <w:r>
        <w:t xml:space="preserve"> </w:t>
      </w:r>
      <w:r>
        <w:t xml:space="preserve">removed in a sensitivity analysis.</w:t>
      </w:r>
    </w:p>
    <w:p>
      <w:pPr>
        <w:pStyle w:val="BodyText"/>
      </w:pPr>
      <w:r>
        <w:t xml:space="preserve">Not all selected flights enter every test. In the within-drone sample (101 crashes selected), 55 logs could not be</w:t>
      </w:r>
      <w:r>
        <w:t xml:space="preserve"> </w:t>
      </w:r>
      <w:r>
        <w:t xml:space="preserve">read or had under 10 s before the cut-off; a drone enters a feature’s test only if the crash flight and earlier</w:t>
      </w:r>
      <w:r>
        <w:t xml:space="preserve"> </w:t>
      </w:r>
      <w:r>
        <w:t xml:space="preserve">flights have that feature from the same measurement source, and rate-tracking error is rotary-wing only and requires</w:t>
      </w:r>
      <w:r>
        <w:t xml:space="preserve"> </w:t>
      </w:r>
      <w:r>
        <w:t xml:space="preserve">rate setpoints, leaving 61 analysed drones for vibration and 46 for tracking. In the between-drone sample (66 matched</w:t>
      </w:r>
      <w:r>
        <w:t xml:space="preserve"> </w:t>
      </w:r>
      <w:r>
        <w:t xml:space="preserve">sets), 71 flights were unreadable or too short; a drone’s value requires at least two readable flights, and case and</w:t>
      </w:r>
      <w:r>
        <w:t xml:space="preserve"> </w:t>
      </w:r>
      <w:r>
        <w:t xml:space="preserve">controls must share the measurement source, leaving 60 analysed sets for vibration and 47 for tracking. In the</w:t>
      </w:r>
      <w:r>
        <w:t xml:space="preserve"> </w:t>
      </w:r>
      <w:r>
        <w:t xml:space="preserve">between-drone sample, 124 matched control drones contributed 372 flights (</w:t>
      </w:r>
      <m:oMath>
        <m:r>
          <m:t>124</m:t>
        </m:r>
        <m:r>
          <m:rPr>
            <m:sty m:val="p"/>
          </m:rPr>
          <m:t>×</m:t>
        </m:r>
        <m:r>
          <m:t>3</m:t>
        </m:r>
      </m:oMath>
      <w:r>
        <w:t xml:space="preserve">), distinct from the 372 flights</w:t>
      </w:r>
      <w:r>
        <w:t xml:space="preserve"> </w:t>
      </w:r>
      <w:r>
        <w:t xml:space="preserve">(67 crash flights and 305 earlier flights) evaluated in the within-drone predictive model.</w:t>
      </w:r>
    </w:p>
    <w:bookmarkStart w:id="20" w:name="_43eadb6bdc2e4f778444eb9134cf25c02e7400a"/>
    <w:p>
      <w:pPr>
        <w:pStyle w:val="CaptionedFigure"/>
        <w:jc w:val="center"/>
      </w:pPr>
      <w:r>
        <w:drawing>
          <wp:inline>
            <wp:extent cx="5334000" cy="3112193"/>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112193"/>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w:t>
      </w:r>
    </w:p>
    <w:tbl>
      <w:tblPr>
        <w:tblStyle w:val="Table"/>
        <w:tblW w:type="pct" w:w="5000"/>
        <w:tblLook w:firstRow="1" w:lastRow="0" w:firstColumn="0" w:lastColumn="0" w:noHBand="0" w:noVBand="0" w:val="0020"/>
        <w:tblCaption w:val="Table 3. Analysis sample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w:t>
            </w:r>
          </w:p>
        </w:tc>
        <w:tc>
          <w:tcPr/>
          <w:p>
            <w:pPr>
              <w:pStyle w:val="Compact"/>
              <w:spacing w:line="240" w:lineRule="auto"/>
              <w:jc w:val="left"/>
            </w:pPr>
            <w:r>
              <w:rPr>
                <w:sz w:val="19"/>
              </w:rPr>
              <w:t xml:space="preserve">477 normal (settings section only)</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p>
        </w:tc>
        <w:tc>
          <w:tcPr/>
          <w:p>
            <w:pPr>
              <w:pStyle w:val="Compact"/>
              <w:spacing w:line="240" w:lineRule="auto"/>
              <w:jc w:val="left"/>
            </w:pPr>
            <w:r>
              <w:rPr>
                <w:sz w:val="19"/>
              </w:rPr>
              <w:t xml:space="preserve">139 normal</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Forum threads</w:t>
            </w:r>
          </w:p>
        </w:tc>
        <w:tc>
          <w:tcPr/>
          <w:p>
            <w:pPr>
              <w:pStyle w:val="Compact"/>
              <w:spacing w:line="240" w:lineRule="auto"/>
              <w:jc w:val="left"/>
            </w:pPr>
            <w:r>
              <w:rPr>
                <w:sz w:val="19"/>
              </w:rPr>
              <w:t xml:space="preserve">148 real crashes</w:t>
            </w:r>
          </w:p>
        </w:tc>
        <w:tc>
          <w:tcPr/>
          <w:p>
            <w:pPr>
              <w:pStyle w:val="Compact"/>
              <w:spacing w:line="240" w:lineRule="auto"/>
              <w:jc w:val="left"/>
            </w:pPr>
            <w:r>
              <w:rPr>
                <w:sz w:val="19"/>
              </w:rPr>
              <w:t xml:space="preserve">38 logs downloadable (37 checkable cause)</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For each test, the selection, features, statistic, threshold and pass mark were committed and pushed to a public git</w:t>
      </w:r>
      <w:r>
        <w:t xml:space="preserve"> </w:t>
      </w:r>
      <w:r>
        <w:t xml:space="preserve">repository before the data it used were downloaded or analysed. Unlike third-party registries (such as the Open Science</w:t>
      </w:r>
      <w:r>
        <w:t xml:space="preserve"> </w:t>
      </w:r>
      <w:r>
        <w:t xml:space="preserve">Framework, Zenodo or Software Heritage), git commits on self-hosted repositories remain under author control until an</w:t>
      </w:r>
      <w:r>
        <w:t xml:space="preserve"> </w:t>
      </w:r>
      <w:r>
        <w:t xml:space="preserve">archived DOI release is minted on acceptance; commit identifiers and hashes are preserved in public version control.</w:t>
      </w:r>
      <w:r>
        <w:t xml:space="preserve"> </w:t>
      </w:r>
      <w:r>
        <w:t xml:space="preserve">One amendment was data-dependent: after observing that the firmware filter of the within-drone test left only 12 eligible</w:t>
      </w:r>
      <w:r>
        <w:t xml:space="preserve"> </w:t>
      </w:r>
      <w:r>
        <w:t xml:space="preserve">cases (without inspecting any outcome data), the firmware filter was removed and a fallback for older firmware was added.</w:t>
      </w:r>
      <w:r>
        <w:t xml:space="preserve"> </w:t>
      </w:r>
      <w:r>
        <w:t xml:space="preserve">One coding error was corrected after a first run (logs whose CPU-load record lacked the load field were being skipped); no</w:t>
      </w:r>
      <w:r>
        <w:t xml:space="preserve"> </w:t>
      </w:r>
      <w:r>
        <w:t xml:space="preserve">threshold changed. Secondary sensitivity analyses and diagnostic evaluations added during peer review are explicitly</w:t>
      </w:r>
      <w:r>
        <w:t xml:space="preserve"> </w:t>
      </w:r>
      <w:r>
        <w:t xml:space="preserve">designated as exploratory and documented with commit hashes in Section 5.8.</w:t>
      </w:r>
    </w:p>
    <w:p>
      <w:pPr>
        <w:pStyle w:val="Heading2"/>
      </w:pPr>
      <w:bookmarkStart w:id="25" w:name="_3e02a71fb6433a5b51224604e9029e12073209c"/>
      <w:r>
        <w:rPr>
          <w:rStyle w:val="SectionNumber"/>
        </w:rPr>
        <w:t xml:space="preserve">4.2</w:t>
      </w:r>
      <w:r>
        <w:tab/>
      </w:r>
      <w:r>
        <w:t xml:space="preserve">Crash moment and analysis window</w:t>
      </w:r>
      <w:bookmarkEnd w:id="25"/>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6" w:name="_features"/>
      <w:r>
        <w:rPr>
          <w:rStyle w:val="SectionNumber"/>
        </w:rPr>
        <w:t xml:space="preserve">4.3</w:t>
      </w:r>
      <w:r>
        <w:tab/>
      </w:r>
      <w:r>
        <w:t xml:space="preserve">Features</w:t>
      </w:r>
      <w:bookmarkEnd w:id="26"/>
    </w:p>
    <w:p>
      <w:pPr>
        <w:pStyle w:val="FirstParagraph"/>
      </w:pPr>
      <w:r>
        <w:t xml:space="preserve">Table 4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7" w:name="_0539061cd554f718c415e1281e932bfa97c3551"/>
    <w:p>
      <w:pPr>
        <w:pStyle w:val="TableCaption"/>
      </w:pPr>
      <w:r>
        <w:t xml:space="preserve">Table 4. Features computed on each analysis window.</w:t>
      </w:r>
    </w:p>
    <w:tbl>
      <w:tblPr>
        <w:tblStyle w:val="Table"/>
        <w:tblW w:type="pct" w:w="5000"/>
        <w:tblLook w:firstRow="1" w:lastRow="0" w:firstColumn="0" w:lastColumn="0" w:noHBand="0" w:noVBand="0" w:val="0020"/>
        <w:tblCaption w:val="Table 4.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7"/>
    <w:p>
      <w:pPr>
        <w:pStyle w:val="Heading2"/>
      </w:pPr>
      <w:bookmarkStart w:id="28" w:name="_tests"/>
      <w:r>
        <w:rPr>
          <w:rStyle w:val="SectionNumber"/>
        </w:rPr>
        <w:t xml:space="preserve">4.4</w:t>
      </w:r>
      <w:r>
        <w:tab/>
      </w:r>
      <w:r>
        <w:t xml:space="preserve">Tests</w:t>
      </w:r>
      <w:bookmarkEnd w:id="28"/>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33</w:t>
        </w:r>
      </w:hyperlink>
      <w:r>
        <w:t xml:space="preserve">]</w:t>
      </w:r>
      <w:r>
        <w:t xml:space="preserve">. As an exploratory sensitivity analysis, non-linear feature interactions were</w:t>
      </w:r>
      <w:r>
        <w:t xml:space="preserve"> </w:t>
      </w:r>
      <w:r>
        <w:t xml:space="preserve">evaluated using depth-3 gradient-boosted decision trees.</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34</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35</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checks for the fault the</w:t>
      </w:r>
      <w:r>
        <w:t xml:space="preserve"> </w:t>
      </w:r>
      <w:r>
        <w:t xml:space="preserve">expert named (tuning, vibration, GPS or compass, motor, battery) were declared useful if they fired on at least 50% of</w:t>
      </w:r>
      <w:r>
        <w:t xml:space="preserve"> </w:t>
      </w:r>
      <w:r>
        <w:t xml:space="preserve">the logs with that diagnosis and at most 10% of normal flights, first with the full window and then with</w:t>
      </w:r>
      <w:r>
        <w:t xml:space="preserve">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Appendix B.</w:t>
      </w:r>
    </w:p>
    <w:p>
      <w:pPr>
        <w:pStyle w:val="BodyText"/>
      </w:pPr>
      <w:r>
        <w:rPr>
          <w:b/>
          <w:bCs/>
        </w:rPr>
        <w:t xml:space="preserve">Multiplicity.</w:t>
      </w:r>
      <w:r>
        <w:t xml:space="preserve"> </w:t>
      </w:r>
      <w:r>
        <w:t xml:space="preserve">Seven confirmatory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36</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w:t>
      </w:r>
    </w:p>
    <w:p>
      <w:pPr>
        <w:pStyle w:val="Heading1"/>
      </w:pPr>
      <w:bookmarkStart w:id="29" w:name="_a28f169358a053f7b171a621bd02ee9ea3d1d28"/>
      <w:r>
        <w:rPr>
          <w:rStyle w:val="SectionNumber"/>
        </w:rPr>
        <w:t xml:space="preserve">5</w:t>
      </w:r>
      <w:r>
        <w:tab/>
      </w:r>
      <w:r>
        <w:t xml:space="preserve">Results</w:t>
      </w:r>
      <w:bookmarkEnd w:id="29"/>
    </w:p>
    <w:p>
      <w:pPr>
        <w:pStyle w:val="Heading2"/>
      </w:pPr>
      <w:bookmarkStart w:id="30" w:name="_b5aaa7ca938fd555382c3a03c84ed52c113cbc5"/>
      <w:r>
        <w:rPr>
          <w:rStyle w:val="SectionNumber"/>
        </w:rPr>
        <w:t xml:space="preserve">5.1</w:t>
      </w:r>
      <w:r>
        <w:tab/>
      </w:r>
      <w:r>
        <w:t xml:space="preserve">Configuration settings (Q1)</w:t>
      </w:r>
      <w:bookmarkEnd w:id="30"/>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and does not</w:t>
      </w:r>
      <w:r>
        <w:t xml:space="preserve"> </w:t>
      </w:r>
      <w:r>
        <w:t xml:space="preserve">reach statistical significance unadjusted (Fisher’s exact two-sided</w:t>
      </w:r>
      <w:r>
        <w:t xml:space="preserve"> </w:t>
      </w:r>
      <m:oMath>
        <m:r>
          <m:t>p</m:t>
        </m:r>
        <m:r>
          <m:rPr>
            <m:sty m:val="p"/>
          </m:rPr>
          <m:t>=</m:t>
        </m:r>
        <m:r>
          <m:t>0.052</m:t>
        </m:r>
      </m:oMath>
      <w:r>
        <w:t xml:space="preserve">, Holm-adjusted</w:t>
      </w:r>
      <w:r>
        <w:t xml:space="preserve"> </w:t>
      </w:r>
      <m:oMath>
        <m:r>
          <m:t>p</m:t>
        </m:r>
        <m:r>
          <m:rPr>
            <m:sty m:val="p"/>
          </m:rPr>
          <m:t>=</m:t>
        </m:r>
        <m:r>
          <m:t>0.36</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1" w:name="_bc236d91abaf2a23bc2f285e523b2a4d0211234"/>
      <w:r>
        <w:rPr>
          <w:rStyle w:val="SectionNumber"/>
        </w:rPr>
        <w:t xml:space="preserve">5.2</w:t>
      </w:r>
      <w:r>
        <w:tab/>
      </w:r>
      <w:r>
        <w:t xml:space="preserve">Attributing a crash to the pilot or the aircraft (Q2)</w:t>
      </w:r>
      <w:bookmarkEnd w:id="31"/>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5).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Across all 148 crashes with complete features evaluated across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the cross-validated</w:t>
      </w:r>
      <w:r>
        <w:t xml:space="preserve"> </w:t>
      </w:r>
      <w:r>
        <w:t xml:space="preserve">logistic regression model on Task B yielded ROC AUCs between 0.449 and 0.458 (</w:t>
      </w:r>
      <m:oMath>
        <m:r>
          <m:t>0.450</m:t>
        </m:r>
        <m:r>
          <m:rPr>
            <m:sty m:val="p"/>
          </m:rPr>
          <m:t>±</m:t>
        </m:r>
        <m:r>
          <m:t>0.015</m:t>
        </m:r>
      </m:oMath>
      <w:r>
        <w:t xml:space="preserve"> </w:t>
      </w:r>
      <w:r>
        <w:t xml:space="preserve">at</w:t>
      </w:r>
      <w:r>
        <w:t xml:space="preserve"> </w:t>
      </w:r>
      <m:oMath>
        <m:r>
          <m:t>m</m:t>
        </m:r>
        <m:r>
          <m:rPr>
            <m:sty m:val="p"/>
          </m:rPr>
          <m:t>=</m:t>
        </m:r>
        <m:r>
          <m:t>0</m:t>
        </m:r>
      </m:oMath>
      <w:r>
        <w:t xml:space="preserve"> s,</w:t>
      </w:r>
      <w:r>
        <w:t xml:space="preserve"> </w:t>
      </w:r>
      <m:oMath>
        <m:r>
          <m:t>0.449</m:t>
        </m:r>
        <m:r>
          <m:rPr>
            <m:sty m:val="p"/>
          </m:rPr>
          <m:t>±</m:t>
        </m:r>
        <m:r>
          <m:t>0.022</m:t>
        </m:r>
      </m:oMath>
      <w:r>
        <w:t xml:space="preserve"> </w:t>
      </w:r>
      <w:r>
        <w:t xml:space="preserve">at</w:t>
      </w:r>
      <w:r>
        <w:t xml:space="preserve"> </w:t>
      </w:r>
      <m:oMath>
        <m:r>
          <m:t>m</m:t>
        </m:r>
        <m:r>
          <m:rPr>
            <m:sty m:val="p"/>
          </m:rPr>
          <m:t>=</m:t>
        </m:r>
        <m:r>
          <m:t>10</m:t>
        </m:r>
      </m:oMath>
      <w:r>
        <w:t xml:space="preserve"> s, and</w:t>
      </w:r>
      <w:r>
        <w:t xml:space="preserve"> </w:t>
      </w:r>
      <m:oMath>
        <m:r>
          <m:t>0.458</m:t>
        </m:r>
        <m:r>
          <m:rPr>
            <m:sty m:val="p"/>
          </m:rPr>
          <m:t>±</m:t>
        </m:r>
        <m:r>
          <m:t>0.034</m:t>
        </m:r>
      </m:oMath>
      <w:r>
        <w:t xml:space="preserve"> </w:t>
      </w:r>
      <w:r>
        <w:t xml:space="preserve">at</w:t>
      </w:r>
      <w:r>
        <w:t xml:space="preserve"> </w:t>
      </w:r>
      <m:oMath>
        <m:r>
          <m:t>m</m:t>
        </m:r>
        <m:r>
          <m:rPr>
            <m:sty m:val="p"/>
          </m:rPr>
          <m:t>=</m:t>
        </m:r>
        <m:r>
          <m:t>30</m:t>
        </m:r>
      </m:oMath>
      <w:r>
        <w:t xml:space="preserve"> s; Fig. 3). To test whether these</w:t>
      </w:r>
      <w:r>
        <w:t xml:space="preserve"> </w:t>
      </w:r>
      <w:r>
        <w:t xml:space="preserve">below-chance AUCs represent an inverted physical signal or finite-sample noise, we computed a 1,000-iteration permutation</w:t>
      </w:r>
      <w:r>
        <w:t xml:space="preserve"> </w:t>
      </w:r>
      <w:r>
        <w:t xml:space="preserve">null distribution on Task B by randomly shuffling crash attribution labels across folds: the null distribution had mean</w:t>
      </w:r>
      <w:r>
        <w:t xml:space="preserve"> </w:t>
      </w:r>
      <w:r>
        <w:t xml:space="preserve">0.497 (SD 0.090) with an empirical 95% interval of 0.313–0.660. The observed cross-validated AUC of 0.449 falls</w:t>
      </w:r>
      <w:r>
        <w:t xml:space="preserve"> </w:t>
      </w:r>
      <w:r>
        <w:t xml:space="preserve">comfortably within this chance range (two-sided permutation</w:t>
      </w:r>
      <w:r>
        <w:t xml:space="preserve"> </w:t>
      </w:r>
      <m:oMath>
        <m:r>
          <m:t>p</m:t>
        </m:r>
        <m:r>
          <m:rPr>
            <m:sty m:val="p"/>
          </m:rPr>
          <m:t>=</m:t>
        </m:r>
        <m:r>
          <m:t>0.509</m:t>
        </m:r>
      </m:oMath>
      <w:r>
        <w:t xml:space="preserve">).</w:t>
      </w:r>
    </w:p>
    <w:p>
      <w:pPr>
        <w:pStyle w:val="BodyText"/>
      </w:pPr>
      <w:r>
        <w:t xml:space="preserve">To evaluate whether non-linear feature interactions could extract subtle pre-crash signatures, we trained depth-3</w:t>
      </w:r>
      <w:r>
        <w:t xml:space="preserve"> </w:t>
      </w:r>
      <w:r>
        <w:t xml:space="preserve">gradient-boosted decision trees on Task B. While reaching an AUC of</w:t>
      </w:r>
      <w:r>
        <w:t xml:space="preserve"> </w:t>
      </w:r>
      <m:oMath>
        <m:r>
          <m:t>0.595</m:t>
        </m:r>
        <m:r>
          <m:rPr>
            <m:sty m:val="p"/>
          </m:rPr>
          <m:t>±</m:t>
        </m:r>
        <m:r>
          <m:t>0.130</m:t>
        </m:r>
      </m:oMath>
      <w:r>
        <w:t xml:space="preserve"> </w:t>
      </w:r>
      <w:r>
        <w:t xml:space="preserve">at</w:t>
      </w:r>
      <w:r>
        <w:t xml:space="preserve"> </w:t>
      </w:r>
      <m:oMath>
        <m:r>
          <m:t>m</m:t>
        </m:r>
        <m:r>
          <m:rPr>
            <m:sty m:val="p"/>
          </m:rPr>
          <m:t>=</m:t>
        </m:r>
        <m:r>
          <m:t>0</m:t>
        </m:r>
      </m:oMath>
      <w:r>
        <w:t xml:space="preserve"> s, performance fell to</w:t>
      </w:r>
      <w:r>
        <w:t xml:space="preserve"> </w:t>
      </w:r>
      <m:oMath>
        <m:r>
          <m:t>0.553</m:t>
        </m:r>
        <m:r>
          <m:rPr>
            <m:sty m:val="p"/>
          </m:rPr>
          <m:t>±</m:t>
        </m:r>
        <m:r>
          <m:t>0.171</m:t>
        </m:r>
      </m:oMath>
      <w:r>
        <w:t xml:space="preserve"> </w:t>
      </w:r>
      <w:r>
        <w:t xml:space="preserve">at</w:t>
      </w:r>
      <w:r>
        <w:t xml:space="preserve"> </w:t>
      </w:r>
      <m:oMath>
        <m:r>
          <m:t>m</m:t>
        </m:r>
        <m:r>
          <m:rPr>
            <m:sty m:val="p"/>
          </m:rPr>
          <m:t>=</m:t>
        </m:r>
        <m:r>
          <m:t>10</m:t>
        </m:r>
      </m:oMath>
      <w:r>
        <w:t xml:space="preserve"> s and</w:t>
      </w:r>
      <w:r>
        <w:t xml:space="preserve"> </w:t>
      </w:r>
      <m:oMath>
        <m:r>
          <m:t>0.548</m:t>
        </m:r>
        <m:r>
          <m:rPr>
            <m:sty m:val="p"/>
          </m:rPr>
          <m:t>±</m:t>
        </m:r>
        <m:r>
          <m:t>0.104</m:t>
        </m:r>
      </m:oMath>
      <w:r>
        <w:t xml:space="preserve"> </w:t>
      </w:r>
      <w:r>
        <w:t xml:space="preserve">at</w:t>
      </w:r>
      <w:r>
        <w:t xml:space="preserve"> </w:t>
      </w:r>
      <m:oMath>
        <m:r>
          <m:t>m</m:t>
        </m:r>
        <m:r>
          <m:rPr>
            <m:sty m:val="p"/>
          </m:rPr>
          <m:t>=</m:t>
        </m:r>
        <m:r>
          <m:t>30</m:t>
        </m:r>
      </m:oMath>
      <w:r>
        <w:t xml:space="preserve"> s (with intermediate margins yielding</w:t>
      </w:r>
      <w:r>
        <w:t xml:space="preserve"> </w:t>
      </w:r>
      <m:oMath>
        <m:r>
          <m:t>0.604</m:t>
        </m:r>
        <m:r>
          <m:rPr>
            <m:sty m:val="p"/>
          </m:rPr>
          <m:t>±</m:t>
        </m:r>
        <m:r>
          <m:t>0.095</m:t>
        </m:r>
      </m:oMath>
      <w:r>
        <w:t xml:space="preserve"> </w:t>
      </w:r>
      <w:r>
        <w:t xml:space="preserve">at</w:t>
      </w:r>
      <w:r>
        <w:t xml:space="preserve"> </w:t>
      </w:r>
      <m:oMath>
        <m:r>
          <m:t>m</m:t>
        </m:r>
        <m:r>
          <m:rPr>
            <m:sty m:val="p"/>
          </m:rPr>
          <m:t>=</m:t>
        </m:r>
        <m:r>
          <m:t>2</m:t>
        </m:r>
      </m:oMath>
      <w:r>
        <w:t xml:space="preserve"> s,</w:t>
      </w:r>
      <w:r>
        <w:t xml:space="preserve"> </w:t>
      </w:r>
      <m:oMath>
        <m:r>
          <m:t>0.621</m:t>
        </m:r>
        <m:r>
          <m:rPr>
            <m:sty m:val="p"/>
          </m:rPr>
          <m:t>±</m:t>
        </m:r>
        <m:r>
          <m:t>0.105</m:t>
        </m:r>
      </m:oMath>
      <w:r>
        <w:t xml:space="preserve"> </w:t>
      </w:r>
      <w:r>
        <w:t xml:space="preserve">at</w:t>
      </w:r>
      <w:r>
        <w:t xml:space="preserve"> </w:t>
      </w:r>
      <m:oMath>
        <m:r>
          <m:t>m</m:t>
        </m:r>
        <m:r>
          <m:rPr>
            <m:sty m:val="p"/>
          </m:rPr>
          <m:t>=</m:t>
        </m:r>
        <m:r>
          <m:t>5</m:t>
        </m:r>
      </m:oMath>
      <w:r>
        <w:t xml:space="preserve"> s, and</w:t>
      </w:r>
      <w:r>
        <w:t xml:space="preserve"> </w:t>
      </w:r>
      <m:oMath>
        <m:r>
          <m:t>0.579</m:t>
        </m:r>
        <m:r>
          <m:rPr>
            <m:sty m:val="p"/>
          </m:rPr>
          <m:t>±</m:t>
        </m:r>
        <m:r>
          <m:t>0.150</m:t>
        </m:r>
      </m:oMath>
      <w:r>
        <w:t xml:space="preserve"> </w:t>
      </w:r>
      <w:r>
        <w:t xml:space="preserve">at</w:t>
      </w:r>
      <w:r>
        <w:t xml:space="preserve"> </w:t>
      </w:r>
      <m:oMath>
        <m:r>
          <m:t>m</m:t>
        </m:r>
        <m:r>
          <m:rPr>
            <m:sty m:val="p"/>
          </m:rPr>
          <m:t>=</m:t>
        </m:r>
        <m:r>
          <m:t>20</m:t>
        </m:r>
      </m:oMath>
      <w:r>
        <w:t xml:space="preserve"> s). Modeling non-linear interactions does</w:t>
      </w:r>
      <w:r>
        <w:t xml:space="preserve"> </w:t>
      </w:r>
      <w:r>
        <w:t xml:space="preserve">not rescue crash attribution; once the impact window is excluded, classification remains near chance. We conclude that</w:t>
      </w:r>
      <w:r>
        <w:t xml:space="preserve"> </w:t>
      </w:r>
      <w:r>
        <w:t xml:space="preserve">crash attribution is not achievable with these features and labels.</w:t>
      </w:r>
    </w:p>
    <w:bookmarkStart w:id="35" w:name="_049e4e3e8c6150f6efca473eb560bdd9d2e8e6a"/>
    <w:p>
      <w:pPr>
        <w:pStyle w:val="CaptionedFigure"/>
        <w:jc w:val="center"/>
      </w:pPr>
      <w:r>
        <w:drawing>
          <wp:inline>
            <wp:extent cx="4160520" cy="2627404"/>
            <wp:effectExtent b="0" l="0" r="0" t="0"/>
            <wp:docPr descr="" title="" id="33" name="Picture"/>
            <a:graphic>
              <a:graphicData uri="http://schemas.openxmlformats.org/drawingml/2006/picture">
                <pic:pic>
                  <pic:nvPicPr>
                    <pic:cNvPr descr="fig_sign_rates.png" id="34" name="Picture"/>
                    <pic:cNvPicPr>
                      <a:picLocks noChangeArrowheads="1" noChangeAspect="1"/>
                    </pic:cNvPicPr>
                  </pic:nvPicPr>
                  <pic:blipFill>
                    <a:blip r:embed="rId32"/>
                    <a:stretch>
                      <a:fillRect/>
                    </a:stretch>
                  </pic:blipFill>
                  <pic:spPr bwMode="auto">
                    <a:xfrm>
                      <a:off x="0" y="0"/>
                      <a:ext cx="4160520" cy="2627404"/>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5"/>
    <w:bookmarkStart w:id="36" w:name="_febe7c87a633d14485235b1c570b7dc3553a6bb"/>
    <w:p>
      <w:pPr>
        <w:pStyle w:val="TableCaption"/>
      </w:pPr>
      <w:r>
        <w:t xml:space="preserve">Table 5. Confirmatory tests, their declared pass marks and outcomes. Holm adjustment over the seven</w:t>
      </w:r>
      <w:r>
        <w:t xml:space="preserve"> </w:t>
      </w:r>
      <m:oMath>
        <m:r>
          <m:t>p</m:t>
        </m:r>
      </m:oMath>
      <w:r>
        <w:t xml:space="preserve">-valued tests.</w:t>
      </w:r>
    </w:p>
    <w:tbl>
      <w:tblPr>
        <w:tblStyle w:val="Table"/>
        <w:tblW w:type="pct" w:w="5000"/>
        <w:tblLook w:firstRow="1" w:lastRow="0" w:firstColumn="0" w:lastColumn="0" w:noHBand="0" w:noVBand="0" w:val="0020"/>
        <w:tblCaption w:val="Table 5. Confirmatory tests, their declared pass marks and outcomes. Holm adjustment over the seven p-valued tes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p>
        </w:tc>
        <w:tc>
          <w:tcPr/>
          <w:p>
            <w:pPr>
              <w:pStyle w:val="Compact"/>
              <w:spacing w:line="240" w:lineRule="auto"/>
              <w:jc w:val="center"/>
            </w:pPr>
            <w:r>
              <w:rPr>
                <w:sz w:val="19"/>
              </w:rPr>
              <w:t xml:space="preserve">0.016</w:t>
            </w:r>
          </w:p>
        </w:tc>
        <w:tc>
          <w:tcPr/>
          <w:p>
            <w:pPr>
              <w:pStyle w:val="Compact"/>
              <w:spacing w:line="240" w:lineRule="auto"/>
              <w:jc w:val="left"/>
            </w:pPr>
            <w:r>
              <w:rPr>
                <w:sz w:val="19"/>
              </w:rPr>
              <w:t xml:space="preserve">Supported on older metric only;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6"/>
    <w:p>
      <w:pPr>
        <w:pStyle w:val="Heading2"/>
      </w:pPr>
      <w:bookmarkStart w:id="37" w:name="_656df57dd7f44abd09b995cf6c71ccccfcfebca"/>
      <w:r>
        <w:rPr>
          <w:rStyle w:val="SectionNumber"/>
        </w:rPr>
        <w:t xml:space="preserve">5.3</w:t>
      </w:r>
      <w:r>
        <w:tab/>
      </w:r>
      <w:r>
        <w:t xml:space="preserve">The crash window (Q3a)</w:t>
      </w:r>
      <w:bookmarkEnd w:id="37"/>
    </w:p>
    <w:p>
      <w:pPr>
        <w:pStyle w:val="FirstParagraph"/>
      </w:pP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and 0.87 (SD 0.01) at</w:t>
      </w:r>
      <w:r>
        <w:t xml:space="preserve"> </w:t>
      </w:r>
      <m:oMath>
        <m:r>
          <m:t>m</m:t>
        </m:r>
        <m:r>
          <m:rPr>
            <m:sty m:val="p"/>
          </m:rPr>
          <m:t>=</m:t>
        </m:r>
        <m:r>
          <m:t>10</m:t>
        </m:r>
      </m:oMath>
      <w:r>
        <w:t xml:space="preserve"> s (</w:t>
      </w:r>
      <m:oMath>
        <m:r>
          <m:t>n</m:t>
        </m:r>
        <m:r>
          <m:rPr>
            <m:sty m:val="p"/>
          </m:rPr>
          <m:t>=</m:t>
        </m:r>
        <m:r>
          <m:t>114</m:t>
        </m:r>
      </m:oMath>
      <w:r>
        <w:t xml:space="preserve"> </w:t>
      </w:r>
      <w:r>
        <w:t xml:space="preserve">crashes, 137 normal</w:t>
      </w:r>
      <w:r>
        <w:t xml:space="preserve"> </w:t>
      </w:r>
      <w:r>
        <w:t xml:space="preserve">flights), declining to 0.86 at</w:t>
      </w:r>
      <w:r>
        <w:t xml:space="preserve"> </w:t>
      </w:r>
      <m:oMath>
        <m:r>
          <m:t>m</m:t>
        </m:r>
        <m:r>
          <m:rPr>
            <m:sty m:val="p"/>
          </m:rPr>
          <m:t>=</m:t>
        </m:r>
        <m:r>
          <m:t>30</m:t>
        </m:r>
      </m:oMath>
      <w:r>
        <w:t xml:space="preserve"> s (</w:t>
      </w:r>
      <m:oMath>
        <m:r>
          <m:t>n</m:t>
        </m:r>
        <m:r>
          <m:rPr>
            <m:sty m:val="p"/>
          </m:rPr>
          <m:t>=</m:t>
        </m:r>
        <m:r>
          <m:t>89</m:t>
        </m:r>
      </m:oMath>
      <w:r>
        <w:t xml:space="preserve"> </w:t>
      </w:r>
      <w:r>
        <w:t xml:space="preserve">crashes, 124 normal flights); the declared drop of 0.10 was not</w:t>
      </w:r>
      <w:r>
        <w:t xml:space="preserve"> </w:t>
      </w:r>
      <w:r>
        <w:t xml:space="preserve">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holds on</w:t>
      </w:r>
      <w:r>
        <w:t xml:space="preserve"> </w:t>
      </w:r>
      <w:r>
        <w:t xml:space="preserve">identical flights, confirming that changing sample composition across cut-offs did not mask a collapse.</w:t>
      </w:r>
    </w:p>
    <w:p>
      <w:pPr>
        <w:pStyle w:val="BodyText"/>
      </w:pPr>
      <w:r>
        <w:t xml:space="preserve">Leakage was nevertheless present for individual checks. The rate-tracking feature alone fell from an AUC of 0.81 to 0.69</w:t>
      </w:r>
      <w:r>
        <w:t xml:space="preserve"> </w:t>
      </w:r>
      <w:r>
        <w:t xml:space="preserve">as the crash was excluded, while vibration stayed between 0.74 and 0.77. A fixed tuning check that found 10 of 12</w:t>
      </w:r>
      <w:r>
        <w:t xml:space="preserve"> </w:t>
      </w:r>
      <w:r>
        <w:t xml:space="preserve">expert-diagnosed tuning faults with the crash included found 1 of 9 once the last 10 s were removed</w:t>
      </w:r>
      <w:r>
        <w:t xml:space="preserve"> </w:t>
      </w:r>
      <w:r>
        <w:t xml:space="preserve">(Section 5.6).</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firmware era</w:t>
      </w:r>
      <w:r>
        <w:t xml:space="preserve"> </w:t>
      </w:r>
      <w:r>
        <w:t xml:space="preserve">distribution, and operational flight envelope. Table 6 gives the single-feature AUCs. Values below 0.5</w:t>
      </w:r>
      <w:r>
        <w:t xml:space="preserve"> </w:t>
      </w:r>
      <w:r>
        <w:t xml:space="preserve">indicate features that are lower in crash flights: crash flights reached lower tilt and smaller stick deflections over the</w:t>
      </w:r>
      <w:r>
        <w:t xml:space="preserve"> </w:t>
      </w:r>
      <w:r>
        <w:t xml:space="preserve">whole flight than normal flights, consistent with short, aborted or cautious testing flights. When the exact same</w:t>
      </w:r>
      <w:r>
        <w:t xml:space="preserve"> </w:t>
      </w:r>
      <w:r>
        <w:t xml:space="preserve">11-feature model was evaluated</w:t>
      </w:r>
      <w:r>
        <w:t xml:space="preserve"> </w:t>
      </w:r>
      <w:r>
        <w:rPr>
          <w:i/>
          <w:iCs/>
        </w:rPr>
        <w:t xml:space="preserve">within the same drone</w:t>
      </w:r>
      <w:r>
        <w:t xml:space="preserve">—separating each crashed drone’s pre-crash window (cut 10 s</w:t>
      </w:r>
      <w:r>
        <w:t xml:space="preserve"> </w:t>
      </w:r>
      <w:r>
        <w:t xml:space="preserve">before impact) from its own earlier flights across 67 multi-flight drones (372 flights: 67 pre-crash flights and 305 earlier</w:t>
      </w:r>
      <w:r>
        <w:t xml:space="preserve"> </w:t>
      </w:r>
      <w:r>
        <w:t xml:space="preserve">flights, distinct from the 372 between-drone control flights)—the pooled Group-CV AUC fell from 0.88 to 0.580 (95%</w:t>
      </w:r>
      <w:r>
        <w:t xml:space="preserve"> </w:t>
      </w:r>
      <w:r>
        <w:t xml:space="preserve">bootstrap CI 0.528–0.633), and the mean within-drone pairwise AUC was 0.605 (95% bootstrap CI 0.516–0.692). Matching</w:t>
      </w:r>
      <w:r>
        <w:t xml:space="preserve"> </w:t>
      </w:r>
      <w:r>
        <w:t xml:space="preserve">on the airframe substantially attenuates the apparent separation, demonstrating that cross-sectional models are dominated</w:t>
      </w:r>
      <w:r>
        <w:t xml:space="preserve"> </w:t>
      </w:r>
      <w:r>
        <w:t xml:space="preserve">by differences between drone types, flight styles, and durations rather than detecting impending failure.</w:t>
      </w:r>
    </w:p>
    <w:bookmarkStart w:id="38" w:name="_332204dfa69e2fa6bf2a39cf9288ea52d0052a5"/>
    <w:p>
      <w:pPr>
        <w:pStyle w:val="TableCaption"/>
      </w:pPr>
      <w:r>
        <w:t xml:space="preserve">Table 6.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6.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38"/>
    <w:bookmarkStart w:id="42" w:name="_179740080c2f044957e517342c2187737980646"/>
    <w:p>
      <w:pPr>
        <w:pStyle w:val="CaptionedFigure"/>
        <w:jc w:val="center"/>
      </w:pPr>
      <w:r>
        <w:drawing>
          <wp:inline>
            <wp:extent cx="3840479" cy="2497053"/>
            <wp:effectExtent b="0" l="0" r="0" t="0"/>
            <wp:docPr descr="" title="" id="40" name="Picture"/>
            <a:graphic>
              <a:graphicData uri="http://schemas.openxmlformats.org/drawingml/2006/picture">
                <pic:pic>
                  <pic:nvPicPr>
                    <pic:cNvPr descr="fig_leak_curve.png" id="41" name="Picture"/>
                    <pic:cNvPicPr>
                      <a:picLocks noChangeArrowheads="1" noChangeAspect="1"/>
                    </pic:cNvPicPr>
                  </pic:nvPicPr>
                  <pic:blipFill>
                    <a:blip r:embed="rId39"/>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as the end of the analysis window moves away from the crash moment. Bars: standard</w:t>
      </w:r>
      <w:r>
        <w:t xml:space="preserve"> </w:t>
      </w:r>
      <w:r>
        <w:t xml:space="preserve">deviation over five repeats of five-fold cross-validation.</w:t>
      </w:r>
    </w:p>
    <w:bookmarkEnd w:id="42"/>
    <w:p>
      <w:pPr>
        <w:pStyle w:val="Heading2"/>
      </w:pPr>
      <w:bookmarkStart w:id="43" w:name="_5846d4e1f7d339306b7a0b27ddc7510c7fb5e0d"/>
      <w:r>
        <w:rPr>
          <w:rStyle w:val="SectionNumber"/>
        </w:rPr>
        <w:t xml:space="preserve">5.4</w:t>
      </w:r>
      <w:r>
        <w:tab/>
      </w:r>
      <w:r>
        <w:t xml:space="preserve">Within the same drone and between drones (Q3b, Q3c)</w:t>
      </w:r>
      <w:bookmarkEnd w:id="43"/>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rules out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is governed by the base rate of crashes. In the archive,</w:t>
      </w:r>
      <w:r>
        <w:t xml:space="preserve"> </w:t>
      </w:r>
      <w:r>
        <w:t xml:space="preserve">590 crashes occurred across 38,320 vehicles (a baseline risk of 1.54%; 520 crashes or 1.36% from real hardware).</w:t>
      </w:r>
      <w:r>
        <w:t xml:space="preserve"> </w:t>
      </w:r>
      <w:r>
        <w:t xml:space="preserve">Flagging drones exceeding the upper quartile in a fleet-wide reference distribution (a 25% flag rate) yields an estimated</w:t>
      </w:r>
      <w:r>
        <w:t xml:space="preserve"> </w:t>
      </w:r>
      <w:r>
        <w:t xml:space="preserve">risk of 3.81% in flagged drones versus 0.76% in unflagged drones—a relative risk (lift) of</w:t>
      </w:r>
      <w:r>
        <w:t xml:space="preserve"> </w:t>
      </w:r>
      <m:oMath>
        <m:r>
          <m:t>5.02</m:t>
        </m:r>
        <m:r>
          <m:rPr>
            <m:sty m:val="p"/>
          </m:rPr>
          <m:t>×</m:t>
        </m:r>
      </m:oMath>
      <w:r>
        <w:t xml:space="preserve"> </w:t>
      </w:r>
      <w:r>
        <w:t xml:space="preserve">over unflagged</w:t>
      </w:r>
      <w:r>
        <w:t xml:space="preserve"> </w:t>
      </w:r>
      <w:r>
        <w:t xml:space="preserve">drones (</w:t>
      </w:r>
      <m:oMath>
        <m:r>
          <m:t>2.53</m:t>
        </m:r>
        <m:r>
          <m:rPr>
            <m:sty m:val="p"/>
          </m:rPr>
          <m:t>×</m:t>
        </m:r>
      </m:oMath>
      <w:r>
        <w:t xml:space="preserve"> </w:t>
      </w:r>
      <w:r>
        <w:t xml:space="preserve">over base rate, 95% bootstrap CI 2.07–3.00), with an operational PPV of 3.81% (95% bootstrap CI</w:t>
      </w:r>
      <w:r>
        <w:t xml:space="preserve"> </w:t>
      </w:r>
      <w:r>
        <w:t xml:space="preserve">3.18–4.62%; 3.36% [95% CI 2.81–4.07%] at the real-hardware base rate), requiring 26.2 inspections per detected</w:t>
      </w:r>
      <w:r>
        <w:t xml:space="preserve"> </w:t>
      </w:r>
      <w:r>
        <w:t xml:space="preserve">crash. Flagging the single top-ranked drone in each set yields an estimated risk of 3.33% in flagged versus 0.93% in</w:t>
      </w:r>
      <w:r>
        <w:t xml:space="preserve"> </w:t>
      </w:r>
      <w:r>
        <w:t xml:space="preserve">unflagged (lift</w:t>
      </w:r>
      <w:r>
        <w:t xml:space="preserve"> </w:t>
      </w:r>
      <m:oMath>
        <m:r>
          <m:t>3.58</m:t>
        </m:r>
        <m:r>
          <m:rPr>
            <m:sty m:val="p"/>
          </m:rPr>
          <m:t>×</m:t>
        </m:r>
      </m:oMath>
      <w:r>
        <w:t xml:space="preserve">, 30.1 inspections per detected crash). In both cases, the metric serves as a broad maintenance</w:t>
      </w:r>
      <w:r>
        <w:t xml:space="preserve"> </w:t>
      </w:r>
      <w:r>
        <w:t xml:space="preserve">inspection filter rather than an operational crash warning.</w:t>
      </w:r>
    </w:p>
    <w:bookmarkStart w:id="47" w:name="_9361c5dba1dea8da31b0aed692bc5b019a98a7f"/>
    <w:p>
      <w:pPr>
        <w:pStyle w:val="CaptionedFigure"/>
        <w:jc w:val="center"/>
      </w:pPr>
      <w:r>
        <w:drawing>
          <wp:inline>
            <wp:extent cx="4160520" cy="2277307"/>
            <wp:effectExtent b="0" l="0" r="0" t="0"/>
            <wp:docPr descr="" title="" id="45" name="Picture"/>
            <a:graphic>
              <a:graphicData uri="http://schemas.openxmlformats.org/drawingml/2006/picture">
                <pic:pic>
                  <pic:nvPicPr>
                    <pic:cNvPr descr="fig_within_between.png" id="46" name="Picture"/>
                    <pic:cNvPicPr>
                      <a:picLocks noChangeArrowheads="1" noChangeAspect="1"/>
                    </pic:cNvPicPr>
                  </pic:nvPicPr>
                  <pic:blipFill>
                    <a:blip r:embed="rId44"/>
                    <a:stretch>
                      <a:fillRect/>
                    </a:stretch>
                  </pic:blipFill>
                  <pic:spPr bwMode="auto">
                    <a:xfrm>
                      <a:off x="0" y="0"/>
                      <a:ext cx="4160520" cy="2277307"/>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47"/>
    <w:p>
      <w:pPr>
        <w:pStyle w:val="Heading2"/>
      </w:pPr>
      <w:bookmarkStart w:id="48" w:name="_c68dcf7b88a01fcf500c8e00d7b03511ec2fbc1"/>
      <w:r>
        <w:rPr>
          <w:rStyle w:val="SectionNumber"/>
        </w:rPr>
        <w:t xml:space="preserve">5.5</w:t>
      </w:r>
      <w:r>
        <w:tab/>
      </w:r>
      <w:r>
        <w:t xml:space="preserve">Robustness of the between-drone result (exploratory)</w:t>
      </w:r>
      <w:bookmarkEnd w:id="48"/>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 though parsing raw GPS timestamps in future work could establish whether</w:t>
      </w:r>
      <w:r>
        <w:t xml:space="preserve"> </w:t>
      </w:r>
      <w:r>
        <w:t xml:space="preserve">crash-day flights immediately preceded the crash. This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so controls from the same operator were not clustered.</w:t>
      </w:r>
    </w:p>
    <w:p>
      <w:pPr>
        <w:pStyle w:val="BodyText"/>
      </w:pPr>
      <w:r>
        <w:t xml:space="preserve">The effect was carried by the older estimator vibration estimate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 the newer</w:t>
      </w:r>
      <w:r>
        <w:t xml:space="preserve"> </w:t>
      </w:r>
      <w:r>
        <w:t xml:space="preserve">accelerometer vibration metric the difference was smaller and not significant (</w:t>
      </w:r>
      <m:oMath>
        <m:acc>
          <m:accPr>
            <m:chr m:val="‾"/>
          </m:accPr>
          <m:e>
            <m:r>
              <m:t>r</m:t>
            </m:r>
          </m:e>
        </m:acc>
        <m:r>
          <m:rPr>
            <m:sty m:val="p"/>
          </m:rPr>
          <m:t>=</m:t>
        </m:r>
        <m:r>
          <m:t>0.58</m:t>
        </m:r>
      </m:oMath>
      <w:r>
        <w:t xml:space="preserve">,</w:t>
      </w:r>
      <w:r>
        <w:t xml:space="preserve"> </w:t>
      </w:r>
      <m:oMath>
        <m:r>
          <m:t>p</m:t>
        </m:r>
        <m:r>
          <m:rPr>
            <m:sty m:val="p"/>
          </m:rPr>
          <m:t>=</m:t>
        </m:r>
        <m:r>
          <m:t>0.25</m:t>
        </m:r>
      </m:oMath>
      <w:r>
        <w:t xml:space="preserve">, 19 sets, 12 of them</w:t>
      </w:r>
      <w:r>
        <w:t xml:space="preserve"> </w:t>
      </w:r>
      <w:r>
        <w:t xml:space="preserve">with a non-crash flight). Power for this second test, given the observed effect size on the first, was 0.28, so the</w:t>
      </w:r>
      <w:r>
        <w:t xml:space="preserve"> </w:t>
      </w:r>
      <w:r>
        <w:t xml:space="preserve">accelerometer result is inconclusive rather than negative; replication on a powered sample of newer logs is needed.</w:t>
      </w:r>
    </w:p>
    <w:bookmarkStart w:id="52" w:name="_f3665d09ec22ddd60812b28fa68e496f60eecb2"/>
    <w:p>
      <w:pPr>
        <w:pStyle w:val="CaptionedFigure"/>
        <w:jc w:val="center"/>
      </w:pPr>
      <w:r>
        <w:drawing>
          <wp:inline>
            <wp:extent cx="4160520" cy="1636752"/>
            <wp:effectExtent b="0" l="0" r="0" t="0"/>
            <wp:docPr descr="" title="" id="50" name="Picture"/>
            <a:graphic>
              <a:graphicData uri="http://schemas.openxmlformats.org/drawingml/2006/picture">
                <pic:pic>
                  <pic:nvPicPr>
                    <pic:cNvPr descr="fig_robustness.png" id="51" name="Picture"/>
                    <pic:cNvPicPr>
                      <a:picLocks noChangeArrowheads="1" noChangeAspect="1"/>
                    </pic:cNvPicPr>
                  </pic:nvPicPr>
                  <pic:blipFill>
                    <a:blip r:embed="rId49"/>
                    <a:stretch>
                      <a:fillRect/>
                    </a:stretch>
                  </pic:blipFill>
                  <pic:spPr bwMode="auto">
                    <a:xfrm>
                      <a:off x="0" y="0"/>
                      <a:ext cx="4160520" cy="1636752"/>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Blue:</w:t>
      </w:r>
      <w:r>
        <w:t xml:space="preserve"> </w:t>
      </w:r>
      <m:oMath>
        <m:r>
          <m:t>p</m:t>
        </m:r>
        <m:r>
          <m:rPr>
            <m:sty m:val="p"/>
          </m:rPr>
          <m:t>&lt;</m:t>
        </m:r>
        <m:r>
          <m:t>0.025</m:t>
        </m:r>
      </m:oMath>
      <w:r>
        <w:t xml:space="preserve">.</w:t>
      </w:r>
    </w:p>
    <w:bookmarkEnd w:id="52"/>
    <w:p>
      <w:pPr>
        <w:pStyle w:val="Heading2"/>
      </w:pPr>
      <w:bookmarkStart w:id="53" w:name="_440012d4f1ae87c72168f87fd4eb66e49627717"/>
      <w:r>
        <w:rPr>
          <w:rStyle w:val="SectionNumber"/>
        </w:rPr>
        <w:t xml:space="preserve">5.6</w:t>
      </w:r>
      <w:r>
        <w:tab/>
      </w:r>
      <w:r>
        <w:t xml:space="preserve">Expert diagnoses (Q4)</w:t>
      </w:r>
      <w:bookmarkEnd w:id="53"/>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the</w:t>
      </w:r>
      <w:r>
        <w:t xml:space="preserve"> </w:t>
      </w:r>
      <w:r>
        <w:t xml:space="preserve">expert agreed in 11 and was unclear in 3; none attributed the crash to the pilot. Only 37 of the 73 logs behind aircraft</w:t>
      </w:r>
      <w:r>
        <w:t xml:space="preserve"> </w:t>
      </w:r>
      <w:r>
        <w:t xml:space="preserve">diagnoses with a checkable cause could still be downloaded (38 total aircraft crash logs). Table 7 shows the fault checks with and without the crash window. With the window ending 10 s before</w:t>
      </w:r>
      <w:r>
        <w:t xml:space="preserve"> </w:t>
      </w:r>
      <w:r>
        <w:t xml:space="preserve">the crash, no check met the declared criterion. The tuning check illustrates the leakage described in Section 5.3: its apparent</w:t>
      </w:r>
      <w:r>
        <w:t xml:space="preserve"> </w:t>
      </w:r>
      <w:r>
        <w:t xml:space="preserve">sensitivity fell from 83% to 11% when the last 10 s were removed, while its rate on normal flights fell only from</w:t>
      </w:r>
      <w:r>
        <w:t xml:space="preserve"> </w:t>
      </w:r>
      <w:r>
        <w:t xml:space="preserve">13% to 5%.</w:t>
      </w:r>
    </w:p>
    <w:p>
      <w:pPr>
        <w:pStyle w:val="BodyText"/>
      </w:pPr>
      <w:r>
        <w:t xml:space="preserve">To test diagnostic attribution on independently evaluated incidents, we examined all 38 downloadable logs behind expert</w:t>
      </w:r>
      <w:r>
        <w:t xml:space="preserve"> </w:t>
      </w:r>
      <w:r>
        <w:t xml:space="preserve">forum threads with checkable aircraft diagnoses. All 38 incidents were independently determined by community experts to be</w:t>
      </w:r>
      <w:r>
        <w:t xml:space="preserve"> </w:t>
      </w:r>
      <w:r>
        <w:t xml:space="preserve">aircraft faults. When evaluated on these real incidents, the fixed rule predicted</w:t>
      </w:r>
      <w:r>
        <w:t xml:space="preserve"> </w:t>
      </w:r>
      <w:r>
        <w:t xml:space="preserve">“aircraft”</w:t>
      </w:r>
      <w:r>
        <w:t xml:space="preserve"> </w:t>
      </w:r>
      <w:r>
        <w:t xml:space="preserve">in 18 (47.4%),</w:t>
      </w:r>
      <w:r>
        <w:t xml:space="preserve"> </w:t>
      </w:r>
      <w:r>
        <w:t xml:space="preserve">“pilot”</w:t>
      </w:r>
      <w:r>
        <w:t xml:space="preserve"> </w:t>
      </w:r>
      <w:r>
        <w:t xml:space="preserve">in 14 (36.8%), and</w:t>
      </w:r>
      <w:r>
        <w:t xml:space="preserve"> </w:t>
      </w:r>
      <w:r>
        <w:t xml:space="preserve">“unknown”</w:t>
      </w:r>
      <w:r>
        <w:t xml:space="preserve"> </w:t>
      </w:r>
      <w:r>
        <w:t xml:space="preserve">in 6 (15.8%). On decided cases (</w:t>
      </w:r>
      <m:oMath>
        <m:r>
          <m:t>n</m:t>
        </m:r>
        <m:r>
          <m:rPr>
            <m:sty m:val="p"/>
          </m:rPr>
          <m:t>=</m:t>
        </m:r>
        <m:r>
          <m:t>32</m:t>
        </m:r>
      </m:oMath>
      <w:r>
        <w:t xml:space="preserve">), the rule was wrong on 43.8% (14/32), erroneously</w:t>
      </w:r>
      <w:r>
        <w:t xml:space="preserve"> </w:t>
      </w:r>
      <w:r>
        <w:t xml:space="preserve">attributing the failure to the pilot simply because the aircraft entered manual or stabilized mode prior to ground impact.</w:t>
      </w:r>
      <w:r>
        <w:t xml:space="preserve"> </w:t>
      </w:r>
      <w:r>
        <w:t xml:space="preserve">Similarly, the cross-validated logistic regression model evaluated on the 30 logs with complete features predicted</w:t>
      </w:r>
      <w:r>
        <w:t xml:space="preserve"> </w:t>
      </w:r>
      <w:r>
        <w:t xml:space="preserve">“aircraft”</w:t>
      </w:r>
      <w:r>
        <w:t xml:space="preserve"> </w:t>
      </w:r>
      <w:r>
        <w:t xml:space="preserve">in 27 (90.0%) and</w:t>
      </w:r>
      <w:r>
        <w:t xml:space="preserve"> </w:t>
      </w:r>
      <w:r>
        <w:t xml:space="preserve">“pilot”</w:t>
      </w:r>
      <w:r>
        <w:t xml:space="preserve"> </w:t>
      </w:r>
      <w:r>
        <w:t xml:space="preserve">in 3 (10.0%), defaulting strongly toward the 72.3% aircraft training prior.</w:t>
      </w:r>
      <w:r>
        <w:t xml:space="preserve"> </w:t>
      </w:r>
      <w:r>
        <w:t xml:space="preserve">This empirical test on expert-diagnosed cases confirms that telemetry rules and models cannot reliably attribute</w:t>
      </w:r>
      <w:r>
        <w:t xml:space="preserve"> </w:t>
      </w:r>
      <w:r>
        <w:t xml:space="preserve">responsibility.</w:t>
      </w:r>
    </w:p>
    <w:bookmarkStart w:id="54" w:name="_83343f61327e522fa9ffc9aa8f722d134b07ff7"/>
    <w:p>
      <w:pPr>
        <w:pStyle w:val="TableCaption"/>
      </w:pPr>
      <w:r>
        <w:t xml:space="preserve">Table 7. Fault checks on logs whose expert named the matching fault, with the full window and with the last 10 s</w:t>
      </w:r>
      <w:r>
        <w:t xml:space="preserve"> </w:t>
      </w:r>
      <w:r>
        <w:t xml:space="preserve">before the crash removed. Declared criterion: at least 50% of diagnosed logs and at most 10% of normal flights.</w:t>
      </w:r>
    </w:p>
    <w:tbl>
      <w:tblPr>
        <w:tblStyle w:val="Table"/>
        <w:tblW w:type="pct" w:w="5000"/>
        <w:tblLook w:firstRow="1" w:lastRow="0" w:firstColumn="0" w:lastColumn="0" w:noHBand="0" w:noVBand="0" w:val="0020"/>
        <w:tblCaption w:val="Table 7. Fault checks on logs whose expert named the matching fault, with the full window and with the last 10 s before the crash removed. Declared criterion: at least 50% of diagnosed logs and at most 10% of normal flights."/>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Expert-named fault</w:t>
            </w:r>
          </w:p>
        </w:tc>
        <w:tc>
          <w:tcPr/>
          <w:p>
            <w:pPr>
              <w:pStyle w:val="Compact"/>
              <w:spacing w:line="240" w:lineRule="auto"/>
              <w:jc w:val="left"/>
            </w:pPr>
            <w:r>
              <w:rPr>
                <w:sz w:val="19"/>
              </w:rPr>
              <w:t xml:space="preserve">Full window: diagnosed</w:t>
            </w:r>
          </w:p>
        </w:tc>
        <w:tc>
          <w:tcPr/>
          <w:p>
            <w:pPr>
              <w:pStyle w:val="Compact"/>
              <w:spacing w:line="240" w:lineRule="auto"/>
              <w:jc w:val="left"/>
            </w:pPr>
            <w:r>
              <w:rPr>
                <w:sz w:val="19"/>
              </w:rPr>
              <w:t xml:space="preserve">Full window: normal</w:t>
            </w:r>
          </w:p>
        </w:tc>
        <w:tc>
          <w:tcPr/>
          <w:p>
            <w:pPr>
              <w:pStyle w:val="Compact"/>
              <w:spacing w:line="240" w:lineRule="auto"/>
              <w:jc w:val="left"/>
            </w:pPr>
            <m:oMath>
              <m:r>
                <m:t>m</m:t>
              </m:r>
              <m:r>
                <m:rPr>
                  <m:sty m:val="p"/>
                </m:rPr>
                <m:t>=</m:t>
              </m:r>
              <m:r>
                <m:t>10</m:t>
              </m:r>
            </m:oMath>
            <w:r>
              <w:rPr>
                <w:sz w:val="19"/>
              </w:rPr>
              <w:t xml:space="preserve"> s: diagnosed</w:t>
            </w:r>
          </w:p>
        </w:tc>
        <w:tc>
          <w:tcPr/>
          <w:p>
            <w:pPr>
              <w:pStyle w:val="Compact"/>
              <w:spacing w:line="240" w:lineRule="auto"/>
              <w:jc w:val="left"/>
            </w:pPr>
            <m:oMath>
              <m:r>
                <m:t>m</m:t>
              </m:r>
              <m:r>
                <m:rPr>
                  <m:sty m:val="p"/>
                </m:rPr>
                <m:t>=</m:t>
              </m:r>
              <m:r>
                <m:t>10</m:t>
              </m:r>
            </m:oMath>
            <w:r>
              <w:rPr>
                <w:sz w:val="19"/>
              </w:rPr>
              <w:t xml:space="preserve"> s: normal</w:t>
            </w:r>
          </w:p>
        </w:tc>
      </w:tr>
      <w:tr>
        <w:tc>
          <w:tcPr/>
          <w:p>
            <w:pPr>
              <w:pStyle w:val="Compact"/>
              <w:spacing w:line="240" w:lineRule="auto"/>
              <w:jc w:val="left"/>
            </w:pPr>
            <w:r>
              <w:rPr>
                <w:sz w:val="19"/>
              </w:rPr>
              <w:t xml:space="preserve">Tuning or configuration</w:t>
            </w:r>
          </w:p>
        </w:tc>
        <w:tc>
          <w:tcPr/>
          <w:p>
            <w:pPr>
              <w:pStyle w:val="Compact"/>
              <w:spacing w:line="240" w:lineRule="auto"/>
              <w:jc w:val="left"/>
            </w:pPr>
            <w:r>
              <w:rPr>
                <w:sz w:val="19"/>
              </w:rPr>
              <w:t xml:space="preserve">10/12 (83%)</w:t>
            </w:r>
          </w:p>
        </w:tc>
        <w:tc>
          <w:tcPr/>
          <w:p>
            <w:pPr>
              <w:pStyle w:val="Compact"/>
              <w:spacing w:line="240" w:lineRule="auto"/>
              <w:jc w:val="left"/>
            </w:pPr>
            <w:r>
              <w:rPr>
                <w:sz w:val="19"/>
              </w:rPr>
              <w:t xml:space="preserve">18/142 (13%)</w:t>
            </w:r>
          </w:p>
        </w:tc>
        <w:tc>
          <w:tcPr/>
          <w:p>
            <w:pPr>
              <w:pStyle w:val="Compact"/>
              <w:spacing w:line="240" w:lineRule="auto"/>
              <w:jc w:val="left"/>
            </w:pPr>
            <w:r>
              <w:rPr>
                <w:sz w:val="19"/>
              </w:rPr>
              <w:t xml:space="preserve">1/9 (11%)</w:t>
            </w:r>
          </w:p>
        </w:tc>
        <w:tc>
          <w:tcPr/>
          <w:p>
            <w:pPr>
              <w:pStyle w:val="Compact"/>
              <w:spacing w:line="240" w:lineRule="auto"/>
              <w:jc w:val="left"/>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left"/>
            </w:pPr>
            <w:r>
              <w:rPr>
                <w:sz w:val="19"/>
              </w:rPr>
              <w:t xml:space="preserve">3/5 (60%)</w:t>
            </w:r>
          </w:p>
        </w:tc>
        <w:tc>
          <w:tcPr/>
          <w:p>
            <w:pPr>
              <w:pStyle w:val="Compact"/>
              <w:spacing w:line="240" w:lineRule="auto"/>
              <w:jc w:val="left"/>
            </w:pPr>
            <w:r>
              <w:rPr>
                <w:sz w:val="19"/>
              </w:rPr>
              <w:t xml:space="preserve">7/48 (15%)</w:t>
            </w:r>
          </w:p>
        </w:tc>
        <w:tc>
          <w:tcPr/>
          <w:p>
            <w:pPr>
              <w:pStyle w:val="Compact"/>
              <w:spacing w:line="240" w:lineRule="auto"/>
              <w:jc w:val="left"/>
            </w:pPr>
            <w:r>
              <w:rPr>
                <w:sz w:val="19"/>
              </w:rPr>
              <w:t xml:space="preserve">3/5 (60%)</w:t>
            </w:r>
          </w:p>
        </w:tc>
        <w:tc>
          <w:tcPr/>
          <w:p>
            <w:pPr>
              <w:pStyle w:val="Compact"/>
              <w:spacing w:line="240" w:lineRule="auto"/>
              <w:jc w:val="left"/>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left"/>
            </w:pPr>
            <w:r>
              <w:rPr>
                <w:sz w:val="19"/>
              </w:rPr>
              <w:t xml:space="preserve">1/5 (20%)</w:t>
            </w:r>
          </w:p>
        </w:tc>
        <w:tc>
          <w:tcPr/>
          <w:p>
            <w:pPr>
              <w:pStyle w:val="Compact"/>
              <w:spacing w:line="240" w:lineRule="auto"/>
              <w:jc w:val="left"/>
            </w:pPr>
            <w:r>
              <w:rPr>
                <w:sz w:val="19"/>
              </w:rPr>
              <w:t xml:space="preserve">10/143 (7%)</w:t>
            </w:r>
          </w:p>
        </w:tc>
        <w:tc>
          <w:tcPr/>
          <w:p>
            <w:pPr>
              <w:pStyle w:val="Compact"/>
              <w:spacing w:line="240" w:lineRule="auto"/>
              <w:jc w:val="left"/>
            </w:pPr>
            <w:r>
              <w:rPr>
                <w:sz w:val="19"/>
              </w:rPr>
              <w:t xml:space="preserve">1/4 (25%)</w:t>
            </w:r>
          </w:p>
        </w:tc>
        <w:tc>
          <w:tcPr/>
          <w:p>
            <w:pPr>
              <w:pStyle w:val="Compact"/>
              <w:spacing w:line="240" w:lineRule="auto"/>
              <w:jc w:val="left"/>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left"/>
            </w:pPr>
            <w:r>
              <w:rPr>
                <w:sz w:val="19"/>
              </w:rPr>
              <w:t xml:space="preserve">1/9 (11%)</w:t>
            </w:r>
          </w:p>
        </w:tc>
        <w:tc>
          <w:tcPr/>
          <w:p>
            <w:pPr>
              <w:pStyle w:val="Compact"/>
              <w:spacing w:line="240" w:lineRule="auto"/>
              <w:jc w:val="left"/>
            </w:pPr>
            <w:r>
              <w:rPr>
                <w:sz w:val="19"/>
              </w:rPr>
              <w:t xml:space="preserve">8/143 (6%)</w:t>
            </w:r>
          </w:p>
        </w:tc>
        <w:tc>
          <w:tcPr/>
          <w:p>
            <w:pPr>
              <w:pStyle w:val="Compact"/>
              <w:spacing w:line="240" w:lineRule="auto"/>
              <w:jc w:val="left"/>
            </w:pPr>
            <w:r>
              <w:rPr>
                <w:sz w:val="19"/>
              </w:rPr>
              <w:t xml:space="preserve">0/4</w:t>
            </w:r>
          </w:p>
        </w:tc>
        <w:tc>
          <w:tcPr/>
          <w:p>
            <w:pPr>
              <w:pStyle w:val="Compact"/>
              <w:spacing w:line="240" w:lineRule="auto"/>
              <w:jc w:val="left"/>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left"/>
            </w:pPr>
            <w:r>
              <w:rPr>
                <w:sz w:val="19"/>
              </w:rPr>
              <w:t xml:space="preserve">0/4</w:t>
            </w:r>
          </w:p>
        </w:tc>
        <w:tc>
          <w:tcPr/>
          <w:p>
            <w:pPr>
              <w:pStyle w:val="Compact"/>
              <w:spacing w:line="240" w:lineRule="auto"/>
              <w:jc w:val="left"/>
            </w:pPr>
            <w:r>
              <w:rPr>
                <w:sz w:val="19"/>
              </w:rPr>
              <w:t xml:space="preserve">4/143 (3%)</w:t>
            </w:r>
          </w:p>
        </w:tc>
        <w:tc>
          <w:tcPr/>
          <w:p>
            <w:pPr>
              <w:pStyle w:val="Compact"/>
              <w:spacing w:line="240" w:lineRule="auto"/>
              <w:jc w:val="left"/>
            </w:pPr>
            <w:r>
              <w:rPr>
                <w:sz w:val="19"/>
              </w:rPr>
              <w:t xml:space="preserve">0/2</w:t>
            </w:r>
          </w:p>
        </w:tc>
        <w:tc>
          <w:tcPr/>
          <w:p>
            <w:pPr>
              <w:pStyle w:val="Compact"/>
              <w:spacing w:line="240" w:lineRule="auto"/>
              <w:jc w:val="left"/>
            </w:pPr>
            <w:r>
              <w:rPr>
                <w:sz w:val="19"/>
              </w:rPr>
              <w:t xml:space="preserve">1/130 (1%)</w:t>
            </w:r>
          </w:p>
        </w:tc>
      </w:tr>
    </w:tbl>
    <w:bookmarkEnd w:id="54"/>
    <w:bookmarkStart w:id="58" w:name="_c0d72e502cb8722b270509e9f977263b14fe2c0"/>
    <w:p>
      <w:pPr>
        <w:pStyle w:val="CaptionedFigure"/>
        <w:jc w:val="center"/>
      </w:pPr>
      <w:r>
        <w:drawing>
          <wp:inline>
            <wp:extent cx="4160520" cy="2603928"/>
            <wp:effectExtent b="0" l="0" r="0" t="0"/>
            <wp:docPr descr="" title="" id="56" name="Picture"/>
            <a:graphic>
              <a:graphicData uri="http://schemas.openxmlformats.org/drawingml/2006/picture">
                <pic:pic>
                  <pic:nvPicPr>
                    <pic:cNvPr descr="fig_forum_causes.png" id="57" name="Picture"/>
                    <pic:cNvPicPr>
                      <a:picLocks noChangeArrowheads="1" noChangeAspect="1"/>
                    </pic:cNvPicPr>
                  </pic:nvPicPr>
                  <pic:blipFill>
                    <a:blip r:embed="rId55"/>
                    <a:stretch>
                      <a:fillRect/>
                    </a:stretch>
                  </pic:blipFill>
                  <pic:spPr bwMode="auto">
                    <a:xfrm>
                      <a:off x="0" y="0"/>
                      <a:ext cx="4160520" cy="2603928"/>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58"/>
    <w:p>
      <w:pPr>
        <w:pStyle w:val="Heading2"/>
      </w:pPr>
      <w:bookmarkStart w:id="59" w:name="_fb365ced420b86c8cd60024101a350b346a0a31"/>
      <w:r>
        <w:rPr>
          <w:rStyle w:val="SectionNumber"/>
        </w:rPr>
        <w:t xml:space="preserve">5.7</w:t>
      </w:r>
      <w:r>
        <w:tab/>
      </w:r>
      <w:r>
        <w:t xml:space="preserve">Language-model review panels (summary)</w:t>
      </w:r>
      <w:bookmarkEnd w:id="59"/>
    </w:p>
    <w:p>
      <w:pPr>
        <w:pStyle w:val="FirstParagraph"/>
      </w:pPr>
      <w:r>
        <w:t xml:space="preserve">Because language-model assistants are increasingly proposed for log review, we conducted a controlled exploratory evaluation</w:t>
      </w:r>
      <w:r>
        <w:t xml:space="preserve"> </w:t>
      </w:r>
      <w:r>
        <w:t xml:space="preserve">of local models (3–4B parameters) configured as single agents and multi-agent review panels on 60 author-generated fault</w:t>
      </w:r>
      <w:r>
        <w:t xml:space="preserve"> </w:t>
      </w:r>
      <w:r>
        <w:t xml:space="preserve">cases and worst-case adversarial prompts. As detailed in Appendix B, the fixed rule reached 75% right and 0%</w:t>
      </w:r>
      <w:r>
        <w:t xml:space="preserve"> </w:t>
      </w:r>
      <w:r>
        <w:t xml:space="preserve">wrong (referring 25% to humans), whereas local language models produced substantial error rates (10–63% wrong), suffered</w:t>
      </w:r>
      <w:r>
        <w:t xml:space="preserve"> </w:t>
      </w:r>
      <w:r>
        <w:t xml:space="preserve">from mode collapse or abstention on active causes, and proved vulnerable to consensus manipulation by a single compromised</w:t>
      </w:r>
      <w:r>
        <w:t xml:space="preserve"> </w:t>
      </w:r>
      <w:r>
        <w:t xml:space="preserve">reviewer (flipping 45–56 of 60 cases). In contrast, deterministic numeric telemetry extraction prevented direct prompt</w:t>
      </w:r>
      <w:r>
        <w:t xml:space="preserve"> </w:t>
      </w:r>
      <w:r>
        <w:t xml:space="preserve">injection by construction.</w:t>
      </w:r>
    </w:p>
    <w:p>
      <w:pPr>
        <w:pStyle w:val="Heading2"/>
      </w:pPr>
      <w:bookmarkStart w:id="60" w:name="_000b339d75a155a848ca0c43e54b0b02b7b82d8"/>
      <w:r>
        <w:rPr>
          <w:rStyle w:val="SectionNumber"/>
        </w:rPr>
        <w:t xml:space="preserve">5.8</w:t>
      </w:r>
      <w:r>
        <w:tab/>
      </w:r>
      <w:r>
        <w:t xml:space="preserve">Analyses added during revision (exploratory)</w:t>
      </w:r>
      <w:bookmarkEnd w:id="60"/>
    </w:p>
    <w:p>
      <w:pPr>
        <w:pStyle w:val="FirstParagraph"/>
      </w:pPr>
      <w:r>
        <w:t xml:space="preserve">To preserve the boundary between pre-declared confirmatory hypotheses and exploratory post-hoc investigations</w:t>
      </w:r>
      <w:r>
        <w:t xml:space="preserve"> </w:t>
      </w:r>
      <w:r>
        <w:t xml:space="preserve">[</w:t>
      </w:r>
      <w:hyperlink w:anchor="_f6e66cea9a1ea78573b548bc5cf8461c81300ca">
        <w:r>
          <w:rPr>
            <w:rStyle w:val="Hyperlink"/>
          </w:rPr>
          <w:t xml:space="preserve">17</w:t>
        </w:r>
      </w:hyperlink>
      <w:r>
        <w:t xml:space="preserve">]</w:t>
      </w:r>
      <w:r>
        <w:t xml:space="preserve">, Table 8 documents the analyses added during peer review, their motivation, key</w:t>
      </w:r>
      <w:r>
        <w:t xml:space="preserve"> </w:t>
      </w:r>
      <w:r>
        <w:t xml:space="preserve">results, and the git commit hashes where their declarations or implementations were introduced. None of these exploratory</w:t>
      </w:r>
      <w:r>
        <w:t xml:space="preserve"> </w:t>
      </w:r>
      <w:r>
        <w:t xml:space="preserve">additions altered the conclusions of the pre-declared tests; rather, they provided empirical bounds on confounding, evaluated</w:t>
      </w:r>
      <w:r>
        <w:t xml:space="preserve"> </w:t>
      </w:r>
      <w:r>
        <w:t xml:space="preserve">alternative non-linear architectures, and quantified operational screening performance.</w:t>
      </w:r>
    </w:p>
    <w:bookmarkStart w:id="61" w:name="_fb475224272a447d57b77f14dfc8774bb10ba7c"/>
    <w:p>
      <w:pPr>
        <w:pStyle w:val="TableCaption"/>
      </w:pPr>
      <w:r>
        <w:t xml:space="preserve">Table 8. Exploratory analyses added during peer review, their motivation, key results, and git commit hashes.</w:t>
      </w:r>
    </w:p>
    <w:tbl>
      <w:tblPr>
        <w:tblStyle w:val="Table"/>
        <w:tblW w:type="pct" w:w="5000"/>
        <w:tblLook w:firstRow="1" w:lastRow="0" w:firstColumn="0" w:lastColumn="0" w:noHBand="0" w:noVBand="0" w:val="0020"/>
        <w:tblCaption w:val="Table 8. Exploratory analyses added during peer review, their motivation, key results, and git commit hashe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Result</w:t>
            </w:r>
          </w:p>
        </w:tc>
        <w:tc>
          <w:tcPr/>
          <w:p>
            <w:pPr>
              <w:pStyle w:val="Compact"/>
              <w:spacing w:line="240" w:lineRule="auto"/>
              <w:jc w:val="left"/>
            </w:pPr>
            <w:r>
              <w:rPr>
                <w:sz w:val="19"/>
              </w:rPr>
              <w:t xml:space="preserve">Commit</w:t>
            </w:r>
          </w:p>
        </w:tc>
      </w:tr>
      <w:tr>
        <w:tc>
          <w:tcPr/>
          <w:p>
            <w:pPr>
              <w:pStyle w:val="Compact"/>
              <w:spacing w:line="240" w:lineRule="auto"/>
              <w:jc w:val="left"/>
            </w:pPr>
            <w:r>
              <w:rPr>
                <w:sz w:val="19"/>
              </w:rPr>
              <w:t xml:space="preserve">1,000-permutation null (Task B)</w:t>
            </w:r>
          </w:p>
        </w:tc>
        <w:tc>
          <w:tcPr/>
          <w:p>
            <w:pPr>
              <w:pStyle w:val="Compact"/>
              <w:spacing w:line="240" w:lineRule="auto"/>
              <w:jc w:val="left"/>
            </w:pPr>
            <w:r>
              <w:rPr>
                <w:sz w:val="19"/>
              </w:rPr>
              <w:t xml:space="preserve">Calibrate below-chance CV AUC</w:t>
            </w:r>
          </w:p>
        </w:tc>
        <w:tc>
          <w:tcPr/>
          <w:p>
            <w:pPr>
              <w:pStyle w:val="Compact"/>
              <w:spacing w:line="240" w:lineRule="auto"/>
              <w:jc w:val="left"/>
            </w:pPr>
            <w:r>
              <w:rPr>
                <w:sz w:val="19"/>
              </w:rPr>
              <w:t xml:space="preserve">Null mean 0.497 [0.313, 0.660]; two-sided</w:t>
            </w:r>
            <w:r>
              <w:rPr>
                <w:sz w:val="19"/>
              </w:rPr>
              <w:t xml:space="preserve"> </w:t>
            </w:r>
            <m:oMath>
              <m:r>
                <m:t>p</m:t>
              </m:r>
              <m:r>
                <m:rPr>
                  <m:sty m:val="p"/>
                </m:rPr>
                <m:t>=</m:t>
              </m:r>
              <m:r>
                <m:t>0.509</m:t>
              </m:r>
            </m:oMath>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Depth-3 boosted trees (Task B)</w:t>
            </w:r>
          </w:p>
        </w:tc>
        <w:tc>
          <w:tcPr/>
          <w:p>
            <w:pPr>
              <w:pStyle w:val="Compact"/>
              <w:spacing w:line="240" w:lineRule="auto"/>
              <w:jc w:val="left"/>
            </w:pPr>
            <w:r>
              <w:rPr>
                <w:sz w:val="19"/>
              </w:rPr>
              <w:t xml:space="preserve">Test non-linear feature interactions</w:t>
            </w:r>
          </w:p>
        </w:tc>
        <w:tc>
          <w:tcPr/>
          <w:p>
            <w:pPr>
              <w:pStyle w:val="Compact"/>
              <w:spacing w:line="240" w:lineRule="auto"/>
              <w:jc w:val="left"/>
            </w:pPr>
            <w:r>
              <w:rPr>
                <w:sz w:val="19"/>
              </w:rPr>
              <w:t xml:space="preserve">AUC</w:t>
            </w:r>
            <w:r>
              <w:rPr>
                <w:sz w:val="19"/>
              </w:rPr>
              <w:t xml:space="preserve"> </w:t>
            </w:r>
            <m:oMath>
              <m:r>
                <m:t>0.595</m:t>
              </m:r>
              <m:r>
                <m:rPr>
                  <m:sty m:val="p"/>
                </m:rPr>
                <m:t>→</m:t>
              </m:r>
              <m:r>
                <m:t>0.553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w:t>
            </w:r>
            <w:r>
              <w:rPr>
                <w:sz w:val="19"/>
              </w:rPr>
              <w:t xml:space="preserve"> </w:t>
            </w:r>
            <m:oMath>
              <m:r>
                <m:t>0.548</m:t>
              </m:r>
            </m:oMath>
            <w:r>
              <w:rPr>
                <w:sz w:val="19"/>
              </w:rPr>
              <w:t xml:space="preserve"> </w:t>
            </w:r>
            <w:r>
              <w:rPr>
                <w:sz w:val="19"/>
              </w:rPr>
              <w:t xml:space="preserve">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left"/>
            </w:pPr>
            <w:r>
              <w:rPr>
                <w:rStyle w:val="VerbatimChar"/>
                <w:sz w:val="19"/>
              </w:rPr>
              <w:t xml:space="preserve">bbdd042</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Account for airframe confounding</w:t>
            </w:r>
          </w:p>
        </w:tc>
        <w:tc>
          <w:tcPr/>
          <w:p>
            <w:pPr>
              <w:pStyle w:val="Compact"/>
              <w:spacing w:line="240" w:lineRule="auto"/>
              <w:jc w:val="left"/>
            </w:pPr>
            <w:r>
              <w:rPr>
                <w:sz w:val="19"/>
              </w:rPr>
              <w:t xml:space="preserve">Group-CV AUC 0.580; mean within-drone AUC 0.605</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Poisson-binomial set null</w:t>
            </w:r>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Screening PPV and CIs</w:t>
            </w:r>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Q3 PPV 3.81% [3.18, 4.62%], lift</w:t>
            </w:r>
            <w:r>
              <w:rPr>
                <w:sz w:val="19"/>
              </w:rPr>
              <w:t xml:space="preserve"> </w:t>
            </w:r>
            <m:oMath>
              <m:r>
                <m:t>5.02</m:t>
              </m:r>
              <m:r>
                <m:rPr>
                  <m:sty m:val="p"/>
                </m:rPr>
                <m:t>×</m:t>
              </m:r>
            </m:oMath>
            <w:r>
              <w:rPr>
                <w:sz w:val="19"/>
              </w:rPr>
              <w:t xml:space="preserve">, 26.2 insp./crash</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Sensitivity by vibration source</w:t>
            </w:r>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38 expert crash logs attribution</w:t>
            </w:r>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Rule wrong on 43.8% of decided cases; model 90% drone</w:t>
            </w:r>
          </w:p>
        </w:tc>
        <w:tc>
          <w:tcPr/>
          <w:p>
            <w:pPr>
              <w:pStyle w:val="Compact"/>
              <w:spacing w:line="240" w:lineRule="auto"/>
              <w:jc w:val="left"/>
            </w:pPr>
            <w:r>
              <w:rPr>
                <w:rStyle w:val="VerbatimChar"/>
                <w:sz w:val="19"/>
              </w:rPr>
              <w:t xml:space="preserve">bad06ff</w:t>
            </w:r>
          </w:p>
        </w:tc>
      </w:tr>
    </w:tbl>
    <w:bookmarkEnd w:id="61"/>
    <w:p>
      <w:pPr>
        <w:pStyle w:val="Heading1"/>
      </w:pPr>
      <w:bookmarkStart w:id="62" w:name="_5197750e0310900a35791fde6fc3b970851116d"/>
      <w:r>
        <w:rPr>
          <w:rStyle w:val="SectionNumber"/>
        </w:rPr>
        <w:t xml:space="preserve">6</w:t>
      </w:r>
      <w:r>
        <w:tab/>
      </w:r>
      <w:r>
        <w:t xml:space="preserve">Design implications: an assurance tool built on the findings</w:t>
      </w:r>
      <w:bookmarkEnd w:id="62"/>
    </w:p>
    <w:p>
      <w:pPr>
        <w:pStyle w:val="FirstParagraph"/>
      </w:pPr>
      <w:r>
        <w:t xml:space="preserve">The authors develop AeroFleet 2.0, an open-source, ground-side assurance tool for PX4 and ArduPilot fleets. It reads</w:t>
      </w:r>
      <w:r>
        <w:t xml:space="preserve"> </w:t>
      </w:r>
      <w:r>
        <w:t xml:space="preserve">the files an operator already has (parameter files, mission files and flight logs), contacts no aircraft and calls no</w:t>
      </w:r>
      <w:r>
        <w:t xml:space="preserve"> </w:t>
      </w:r>
      <w:r>
        <w:t xml:space="preserve">language model. This section reports design consequences and engineering checks; the paper’s empirical evidence is</w:t>
      </w:r>
      <w:r>
        <w:t xml:space="preserve"> </w:t>
      </w:r>
      <w:r>
        <w:t xml:space="preserve">presented in Sections 3–5. Table 9 links each result above to a design decision and to the check that was made of</w:t>
      </w:r>
      <w:r>
        <w:t xml:space="preserve"> </w:t>
      </w:r>
      <w:r>
        <w:t xml:space="preserve">it. AeroFleet 2.0’s checks are primarily engineering validation tests, not evidence of improved operational safety;</w:t>
      </w:r>
      <w:r>
        <w:t xml:space="preserve"> </w:t>
      </w:r>
      <w:r>
        <w:t xml:space="preserve">demonstrating safety benefits in field operations requires prospective fleet evaluation and user studies, which remain</w:t>
      </w:r>
      <w:r>
        <w:t xml:space="preserve"> </w:t>
      </w:r>
      <w:r>
        <w:t xml:space="preserve">future work (Section 7). The injection, search, and replay validation checks are detailed in</w:t>
      </w:r>
      <w:r>
        <w:t xml:space="preserve"> </w:t>
      </w:r>
      <w:r>
        <w:t xml:space="preserve">Appendix A.</w:t>
      </w:r>
    </w:p>
    <w:bookmarkStart w:id="63" w:name="_4816a700d4290cff51a6fa69217ee9f1521b64f"/>
    <w:p>
      <w:pPr>
        <w:pStyle w:val="TableCaption"/>
      </w:pPr>
      <w:r>
        <w:t xml:space="preserve">Table 9. From findings to design decisions in the AeroFleet 2.0 assurance tool, and how each part was checked.</w:t>
      </w:r>
    </w:p>
    <w:tbl>
      <w:tblPr>
        <w:tblStyle w:val="Table"/>
        <w:tblW w:type="pct" w:w="5000"/>
        <w:tblLook w:firstRow="1" w:lastRow="0" w:firstColumn="0" w:lastColumn="0" w:noHBand="0" w:noVBand="0" w:val="0020"/>
        <w:tblCaption w:val="Table 9. From findings to design decisions in the AeroFleet 2.0 assurance tool, and how each part was checked."/>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Design decision</w:t>
            </w:r>
          </w:p>
        </w:tc>
        <w:tc>
          <w:tcPr/>
          <w:p>
            <w:pPr>
              <w:pStyle w:val="Compact"/>
              <w:spacing w:line="240" w:lineRule="auto"/>
              <w:jc w:val="left"/>
            </w:pPr>
            <w:r>
              <w:rPr>
                <w:sz w:val="19"/>
              </w:rPr>
              <w:t xml:space="preserve">Check</w:t>
            </w:r>
          </w:p>
        </w:tc>
      </w:tr>
      <w:tr>
        <w:tc>
          <w:tcPr/>
          <w:p>
            <w:pPr>
              <w:pStyle w:val="Compact"/>
              <w:spacing w:line="240" w:lineRule="auto"/>
              <w:jc w:val="left"/>
            </w:pPr>
            <w:r>
              <w:rPr>
                <w:sz w:val="19"/>
              </w:rPr>
              <w:t xml:space="preserve">Logs did not attribute crashes (Q2); checks fired on the crash (Q4)</w:t>
            </w:r>
          </w:p>
        </w:tc>
        <w:tc>
          <w:tcPr/>
          <w:p>
            <w:pPr>
              <w:pStyle w:val="Compact"/>
              <w:spacing w:line="240" w:lineRule="auto"/>
              <w:jc w:val="left"/>
            </w:pPr>
            <w:r>
              <w:rPr>
                <w:sz w:val="19"/>
              </w:rPr>
              <w:t xml:space="preserve">A flight review lists the log’s events in time</w:t>
            </w:r>
            <w:r>
              <w:rPr>
                <w:sz w:val="19"/>
              </w:rPr>
              <w:t xml:space="preserve"> </w:t>
            </w:r>
            <w:r>
              <w:rPr>
                <w:sz w:val="19"/>
              </w:rPr>
              <w:t xml:space="preserve">order and states the quality of its evidence; it names no cause</w:t>
            </w:r>
          </w:p>
        </w:tc>
        <w:tc>
          <w:tcPr/>
          <w:p>
            <w:pPr>
              <w:pStyle w:val="Compact"/>
              <w:spacing w:line="240" w:lineRule="auto"/>
              <w:jc w:val="left"/>
            </w:pPr>
            <w:r>
              <w:rPr>
                <w:sz w:val="19"/>
              </w:rPr>
              <w:t xml:space="preserve">Unit and API tests</w:t>
            </w:r>
          </w:p>
        </w:tc>
      </w:tr>
      <w:tr>
        <w:tc>
          <w:tcPr/>
          <w:p>
            <w:pPr>
              <w:pStyle w:val="Compact"/>
              <w:spacing w:line="240" w:lineRule="auto"/>
              <w:jc w:val="left"/>
            </w:pPr>
            <w:r>
              <w:rPr>
                <w:sz w:val="19"/>
              </w:rPr>
              <w:t xml:space="preserve">Roughness marked drones, not flights (Q3b, Q3c)</w:t>
            </w:r>
          </w:p>
        </w:tc>
        <w:tc>
          <w:tcPr/>
          <w:p>
            <w:pPr>
              <w:pStyle w:val="Compact"/>
              <w:spacing w:line="240" w:lineRule="auto"/>
              <w:jc w:val="left"/>
            </w:pPr>
            <w:r>
              <w:rPr>
                <w:sz w:val="19"/>
              </w:rPr>
              <w:t xml:space="preserve">Drones ranked by vibration within a fleet, measured the same way;</w:t>
            </w:r>
            <w:r>
              <w:rPr>
                <w:sz w:val="19"/>
              </w:rPr>
              <w:t xml:space="preserve"> </w:t>
            </w:r>
            <w:r>
              <w:rPr>
                <w:sz w:val="19"/>
              </w:rPr>
              <w:t xml:space="preserve">the upper quartile flagged for inspection</w:t>
            </w:r>
          </w:p>
        </w:tc>
        <w:tc>
          <w:tcPr/>
          <w:p>
            <w:pPr>
              <w:pStyle w:val="Compact"/>
              <w:spacing w:line="240" w:lineRule="auto"/>
              <w:jc w:val="left"/>
            </w:pPr>
            <w:r>
              <w:rPr>
                <w:sz w:val="19"/>
              </w:rPr>
              <w:t xml:space="preserve">Unit tests; no prospective evaluation yet</w:t>
            </w:r>
          </w:p>
        </w:tc>
      </w:tr>
      <w:tr>
        <w:tc>
          <w:tcPr/>
          <w:p>
            <w:pPr>
              <w:pStyle w:val="Compact"/>
              <w:spacing w:line="240" w:lineRule="auto"/>
              <w:jc w:val="left"/>
            </w:pPr>
            <w:r>
              <w:rPr>
                <w:sz w:val="19"/>
              </w:rPr>
              <w:t xml:space="preserve">Useful evidence is longitudinal</w:t>
            </w:r>
          </w:p>
        </w:tc>
        <w:tc>
          <w:tcPr/>
          <w:p>
            <w:pPr>
              <w:pStyle w:val="Compact"/>
              <w:spacing w:line="240" w:lineRule="auto"/>
              <w:jc w:val="left"/>
            </w:pPr>
            <w:r>
              <w:rPr>
                <w:sz w:val="19"/>
              </w:rPr>
              <w:t xml:space="preserve">Every upload, approval and review appended to a hash-chained, Ed25519-signed record</w:t>
            </w:r>
            <w:r>
              <w:rPr>
                <w:sz w:val="19"/>
              </w:rPr>
              <w:t xml:space="preserve"> </w:t>
            </w:r>
            <w:r>
              <w:rPr>
                <w:sz w:val="19"/>
              </w:rPr>
              <w:t xml:space="preserve">with SHA-256 fingerprints of the files received</w:t>
            </w:r>
          </w:p>
        </w:tc>
        <w:tc>
          <w:tcPr/>
          <w:p>
            <w:pPr>
              <w:pStyle w:val="Compact"/>
              <w:spacing w:line="240" w:lineRule="auto"/>
              <w:jc w:val="left"/>
            </w:pPr>
            <w:r>
              <w:rPr>
                <w:sz w:val="19"/>
              </w:rPr>
              <w:t xml:space="preserve">Tamper tests: edited, deleted, reordered and re-signed records</w:t>
            </w:r>
            <w:r>
              <w:rPr>
                <w:sz w:val="19"/>
              </w:rPr>
              <w:t xml:space="preserve"> </w:t>
            </w:r>
            <w:r>
              <w:rPr>
                <w:sz w:val="19"/>
              </w:rPr>
              <w:t xml:space="preserve">detected</w:t>
            </w:r>
          </w:p>
        </w:tc>
      </w:tr>
      <w:tr>
        <w:tc>
          <w:tcPr/>
          <w:p>
            <w:pPr>
              <w:pStyle w:val="Compact"/>
              <w:spacing w:line="240" w:lineRule="auto"/>
              <w:jc w:val="left"/>
            </w:pPr>
            <w:r>
              <w:rPr>
                <w:sz w:val="19"/>
              </w:rPr>
              <w:t xml:space="preserve">A plan proves nothing if something else was flown</w:t>
            </w:r>
          </w:p>
        </w:tc>
        <w:tc>
          <w:tcPr/>
          <w:p>
            <w:pPr>
              <w:pStyle w:val="Compact"/>
              <w:spacing w:line="240" w:lineRule="auto"/>
              <w:jc w:val="left"/>
            </w:pPr>
            <w:r>
              <w:rPr>
                <w:sz w:val="19"/>
              </w:rPr>
              <w:t xml:space="preserve">Planned-versus-flown check: deviations beyond a fleet’s corridor</w:t>
            </w:r>
            <w:r>
              <w:rPr>
                <w:sz w:val="19"/>
              </w:rPr>
              <w:t xml:space="preserve"> </w:t>
            </w:r>
            <w:r>
              <w:rPr>
                <w:sz w:val="19"/>
              </w:rPr>
              <w:t xml:space="preserve">and height tolerance</w:t>
            </w:r>
          </w:p>
        </w:tc>
        <w:tc>
          <w:tcPr/>
          <w:p>
            <w:pPr>
              <w:pStyle w:val="Compact"/>
              <w:spacing w:line="240" w:lineRule="auto"/>
              <w:jc w:val="left"/>
            </w:pPr>
            <w:r>
              <w:rPr>
                <w:sz w:val="19"/>
              </w:rPr>
              <w:t xml:space="preserve">Known deviations injected into 40 real flights (Appendix A.1)</w:t>
            </w:r>
          </w:p>
        </w:tc>
      </w:tr>
      <w:tr>
        <w:tc>
          <w:tcPr/>
          <w:p>
            <w:pPr>
              <w:pStyle w:val="Compact"/>
              <w:spacing w:line="240" w:lineRule="auto"/>
              <w:jc w:val="left"/>
            </w:pPr>
            <w:r>
              <w:rPr>
                <w:sz w:val="19"/>
              </w:rPr>
              <w:t xml:space="preserve">Expert diagnoses as precedents (Q4)</w:t>
            </w:r>
          </w:p>
        </w:tc>
        <w:tc>
          <w:tcPr/>
          <w:p>
            <w:pPr>
              <w:pStyle w:val="Compact"/>
              <w:spacing w:line="240" w:lineRule="auto"/>
              <w:jc w:val="left"/>
            </w:pPr>
            <w:r>
              <w:rPr>
                <w:sz w:val="19"/>
              </w:rPr>
              <w:t xml:space="preserve">Description search over 161 expert-labelled threads; checklist in order of</w:t>
            </w:r>
            <w:r>
              <w:rPr>
                <w:sz w:val="19"/>
              </w:rPr>
              <w:t xml:space="preserve"> </w:t>
            </w:r>
            <w:r>
              <w:rPr>
                <w:sz w:val="19"/>
              </w:rPr>
              <w:t xml:space="preserve">expert frequency</w:t>
            </w:r>
          </w:p>
        </w:tc>
        <w:tc>
          <w:tcPr/>
          <w:p>
            <w:pPr>
              <w:pStyle w:val="Compact"/>
              <w:spacing w:line="240" w:lineRule="auto"/>
              <w:jc w:val="left"/>
            </w:pPr>
            <w:r>
              <w:rPr>
                <w:sz w:val="19"/>
              </w:rPr>
              <w:t xml:space="preserve">Leave-one-out test on 96 cases (Appendix A.2)</w:t>
            </w:r>
          </w:p>
        </w:tc>
      </w:tr>
      <w:tr>
        <w:tc>
          <w:tcPr/>
          <w:p>
            <w:pPr>
              <w:pStyle w:val="Compact"/>
              <w:spacing w:line="240" w:lineRule="auto"/>
              <w:jc w:val="left"/>
            </w:pPr>
            <w:r>
              <w:rPr>
                <w:sz w:val="19"/>
              </w:rPr>
              <w:t xml:space="preserve">Separation and deviations are three-dimensional</w:t>
            </w:r>
          </w:p>
        </w:tc>
        <w:tc>
          <w:tcPr/>
          <w:p>
            <w:pPr>
              <w:pStyle w:val="Compact"/>
              <w:spacing w:line="240" w:lineRule="auto"/>
              <w:jc w:val="left"/>
            </w:pPr>
            <w:r>
              <w:rPr>
                <w:sz w:val="19"/>
              </w:rPr>
              <w:t xml:space="preserve">Tabletop 3D replay of a reviewed flight and rehearsal of planned</w:t>
            </w:r>
            <w:r>
              <w:rPr>
                <w:sz w:val="19"/>
              </w:rPr>
              <w:t xml:space="preserve"> </w:t>
            </w:r>
            <w:r>
              <w:rPr>
                <w:sz w:val="19"/>
              </w:rPr>
              <w:t xml:space="preserve">missions, on screen or in a headset</w:t>
            </w:r>
          </w:p>
        </w:tc>
        <w:tc>
          <w:tcPr/>
          <w:p>
            <w:pPr>
              <w:pStyle w:val="Compact"/>
              <w:spacing w:line="240" w:lineRule="auto"/>
              <w:jc w:val="left"/>
            </w:pPr>
            <w:r>
              <w:rPr>
                <w:sz w:val="19"/>
              </w:rPr>
              <w:t xml:space="preserve">Functional checks only; no user study (Appendix A.3)</w:t>
            </w:r>
          </w:p>
        </w:tc>
      </w:tr>
    </w:tbl>
    <w:bookmarkEnd w:id="63"/>
    <w:p>
      <w:pPr>
        <w:pStyle w:val="FirstParagraph"/>
      </w:pPr>
      <w:r>
        <w:rPr>
          <w:b/>
          <w:bCs/>
        </w:rPr>
        <w:t xml:space="preserve">Evidence, not verdicts.</w:t>
      </w:r>
      <w:r>
        <w:t xml:space="preserve"> </w:t>
      </w:r>
      <w:r>
        <w:t xml:space="preserve">A flight review reads an ArduPilot or PX4 log and the approved mission file and</w:t>
      </w:r>
      <w:r>
        <w:t xml:space="preserve"> </w:t>
      </w:r>
      <w:r>
        <w:t xml:space="preserve">lists, in time order, mode changes (with a pilot taking over from an automatic mode flagged), settings changed in</w:t>
      </w:r>
      <w:r>
        <w:t xml:space="preserve"> </w:t>
      </w:r>
      <w:r>
        <w:t xml:space="preserve">flight, battery and voltage warnings, poor GPS and deviations from the plan. It reports the quality of that evidence</w:t>
      </w:r>
      <w:r>
        <w:t xml:space="preserve"> </w:t>
      </w:r>
      <w:r>
        <w:t xml:space="preserve">(sample rate, satellite count and dilution of precision, height reference, clock source) so that a reader can judge</w:t>
      </w:r>
      <w:r>
        <w:t xml:space="preserve"> </w:t>
      </w:r>
      <w:r>
        <w:t xml:space="preserve">how far to trust it, and leaves the conclusion to a person. Given the attribution results, a tool that issued a</w:t>
      </w:r>
      <w:r>
        <w:t xml:space="preserve"> </w:t>
      </w:r>
      <w:r>
        <w:t xml:space="preserve">pilot-or-aircraft verdict would claim more than the log supports.</w:t>
      </w:r>
    </w:p>
    <w:p>
      <w:pPr>
        <w:pStyle w:val="BodyText"/>
      </w:pPr>
      <w:r>
        <w:rPr>
          <w:b/>
          <w:bCs/>
        </w:rPr>
        <w:t xml:space="preserve">Ranking drones, not predicting flights.</w:t>
      </w:r>
      <w:r>
        <w:t xml:space="preserve"> </w:t>
      </w:r>
      <w:r>
        <w:t xml:space="preserve">Each reviewed flight’s vibration is stored with its measurement</w:t>
      </w:r>
      <w:r>
        <w:t xml:space="preserve"> </w:t>
      </w:r>
      <w:r>
        <w:t xml:space="preserve">source; drones are ranked against others measured the same way, and those above their group’s upper quartile are</w:t>
      </w:r>
      <w:r>
        <w:t xml:space="preserve"> </w:t>
      </w:r>
      <w:r>
        <w:t xml:space="preserve">flagged for mechanical inspection. In the archive, this ranking identified the drone that later crashed as the roughest</w:t>
      </w:r>
      <w:r>
        <w:t xml:space="preserve"> </w:t>
      </w:r>
      <w:r>
        <w:t xml:space="preserve">in 55.0% of matched sets (against 40.3% expected under the exact Poisson-binomial null,</w:t>
      </w:r>
      <w:r>
        <w:t xml:space="preserve"> </w:t>
      </w:r>
      <m:oMath>
        <m:r>
          <m:t>p</m:t>
        </m:r>
        <m:r>
          <m:rPr>
            <m:sty m:val="p"/>
          </m:rPr>
          <m:t>=</m:t>
        </m:r>
        <m:r>
          <m:t>0.014</m:t>
        </m:r>
      </m:oMath>
      <w:r>
        <w:t xml:space="preserve">; lift</w:t>
      </w:r>
      <w:r>
        <w:t xml:space="preserve"> </w:t>
      </w:r>
      <m:oMath>
        <m:r>
          <m:t>3.6</m:t>
        </m:r>
        <m:r>
          <m:rPr>
            <m:sty m:val="p"/>
          </m:rPr>
          <m:t>×</m:t>
        </m:r>
      </m:oMath>
      <w:r>
        <w:t xml:space="preserve">),</w:t>
      </w:r>
      <w:r>
        <w:t xml:space="preserve"> </w:t>
      </w:r>
      <w:r>
        <w:t xml:space="preserve">and 63.3% exceeded the control third quartile (lift</w:t>
      </w:r>
      <w:r>
        <w:t xml:space="preserve"> </w:t>
      </w:r>
      <m:oMath>
        <m:r>
          <m:t>5.0</m:t>
        </m:r>
        <m:r>
          <m:rPr>
            <m:sty m:val="p"/>
          </m:rPr>
          <m:t>×</m:t>
        </m:r>
      </m:oMath>
      <w:r>
        <w:t xml:space="preserve">, positive predictive value 3.8% [95% bootstrap CI</w:t>
      </w:r>
      <w:r>
        <w:t xml:space="preserve"> </w:t>
      </w:r>
      <w:r>
        <w:t xml:space="preserve">3.2–4.6%] at 1.54% base rate, 26.2 inspections per crash detected). The flag is therefore a maintenance inspection prompt,</w:t>
      </w:r>
      <w:r>
        <w:t xml:space="preserve"> </w:t>
      </w:r>
      <w:r>
        <w:t xml:space="preserve">not a crash warning.</w:t>
      </w:r>
    </w:p>
    <w:p>
      <w:pPr>
        <w:pStyle w:val="BodyText"/>
      </w:pPr>
      <w:r>
        <w:rPr>
          <w:b/>
          <w:bCs/>
        </w:rPr>
        <w:t xml:space="preserve">A record that can be checked.</w:t>
      </w:r>
      <w:r>
        <w:t xml:space="preserve"> </w:t>
      </w:r>
      <w:r>
        <w:t xml:space="preserve">Because the useful evidence accumulates per aircraft, results are appended to</w:t>
      </w:r>
      <w:r>
        <w:t xml:space="preserve"> </w:t>
      </w:r>
      <w:r>
        <w:t xml:space="preserve">a hash-chained record in which each entry is signed and carries the SHA-256 of the exact files it came from; each new</w:t>
      </w:r>
      <w:r>
        <w:t xml:space="preserve"> </w:t>
      </w:r>
      <w:r>
        <w:t xml:space="preserve">head is also written to a separate file intended to be copied elsewhere. A standalone verifier checks an exported</w:t>
      </w:r>
      <w:r>
        <w:t xml:space="preserve"> </w:t>
      </w:r>
      <w:r>
        <w:t xml:space="preserve">record; in tests it detected an edited field, a deleted entry, a reordering, and a chain rebuilt with a new key</w:t>
      </w:r>
      <w:r>
        <w:t xml:space="preserve"> </w:t>
      </w:r>
      <w:r>
        <w:t xml:space="preserve">(the last only against a pinned key fingerprint or the separately kept heads, which is the stated limit of the design).</w:t>
      </w:r>
    </w:p>
    <w:p>
      <w:pPr>
        <w:pStyle w:val="Heading1"/>
      </w:pPr>
      <w:bookmarkStart w:id="64" w:name="_074802e0e16f6322e726b21f081c01c392e8fbd"/>
      <w:r>
        <w:rPr>
          <w:rStyle w:val="SectionNumber"/>
        </w:rPr>
        <w:t xml:space="preserve">7</w:t>
      </w:r>
      <w:r>
        <w:tab/>
      </w:r>
      <w:r>
        <w:t xml:space="preserve">Discussion</w:t>
      </w:r>
      <w:bookmarkEnd w:id="64"/>
    </w:p>
    <w:p>
      <w:pPr>
        <w:pStyle w:val="FirstParagraph"/>
      </w:pPr>
      <w:r>
        <w:rPr>
          <w:b/>
          <w:bCs/>
        </w:rPr>
        <w:t xml:space="preserve">Attribution.</w:t>
      </w:r>
      <w:r>
        <w:t xml:space="preserve"> </w:t>
      </w:r>
      <w:r>
        <w:t xml:space="preserve">A declared rule, its held-out replication and a cross-validated model all found no usable</w:t>
      </w:r>
      <w:r>
        <w:t xml:space="preserve"> </w:t>
      </w:r>
      <w:r>
        <w:t xml:space="preserve">separation between pilot- and aircraft-caused crashes with these labels and features. While commercial and legal</w:t>
      </w:r>
      <w:r>
        <w:t xml:space="preserve"> </w:t>
      </w:r>
      <w:r>
        <w:t xml:space="preserve">disputes often seek a binary verdict, aviation safety science demonstrates that accidents are multi-causal systemic</w:t>
      </w:r>
      <w:r>
        <w:t xml:space="preserve"> </w:t>
      </w:r>
      <w:r>
        <w:t xml:space="preserve">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 labels are noisy,</w:t>
      </w:r>
      <w:r>
        <w:t xml:space="preserve"> </w:t>
      </w:r>
      <w:r>
        <w:t xml:space="preserve">and the sharp divergence between uploader pilot blame (32%) and expert forum diagnoses (6%) points to politeness bias</w:t>
      </w:r>
      <w:r>
        <w:t xml:space="preserve"> </w:t>
      </w:r>
      <w:r>
        <w:t xml:space="preserve">on public forums or a narrower definition of pilot fault among autopilot engineers. A log records the combined physical</w:t>
      </w:r>
      <w:r>
        <w:t xml:space="preserve"> </w:t>
      </w:r>
      <w:r>
        <w:t xml:space="preserve">outcome of pilot inputs, environmental disturbances and vehicle response; disentangling responsibility from telemetry alone</w:t>
      </w:r>
      <w:r>
        <w:t xml:space="preserve"> </w:t>
      </w:r>
      <w:r>
        <w:t xml:space="preserve">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showed high apparent separation (AUC 0.88), this was</w:t>
      </w:r>
      <w:r>
        <w:t xml:space="preserve"> </w:t>
      </w:r>
      <w:r>
        <w:t xml:space="preserve">dominated by between-drone confounds; within-drone evaluation demonstrated attenuation to near-chance (AUC 0.58),</w:t>
      </w:r>
      <w:r>
        <w:t xml:space="preserve"> </w:t>
      </w:r>
      <w:r>
        <w:t xml:space="preserve">confirming that longitudinal baseline comparison is essential. Diagnostic checks also exhibited prominent leakage: a</w:t>
      </w:r>
      <w:r>
        <w:t xml:space="preserve"> </w:t>
      </w:r>
      <w:r>
        <w:t xml:space="preserve">tuning check appeared sensitive only because the crash window was included. Diagnostic evaluations must remove the crash</w:t>
      </w:r>
      <w:r>
        <w:t xml:space="preserve"> </w:t>
      </w:r>
      <w:r>
        <w:t xml:space="preserve">window and compare against an aircraft’s own operating baseline before claiming pre-crash anticipation.</w:t>
      </w:r>
    </w:p>
    <w:p>
      <w:pPr>
        <w:pStyle w:val="BodyText"/>
      </w:pPr>
      <w:r>
        <w:rPr>
          <w:b/>
          <w:bCs/>
        </w:rPr>
        <w:t xml:space="preserve">Drone-level risk.</w:t>
      </w:r>
      <w:r>
        <w:t xml:space="preserve"> </w:t>
      </w:r>
      <w:r>
        <w:t xml:space="preserve">The positive result concerns airframes, not flights.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24</w:t>
        </w:r>
      </w:hyperlink>
      <w:r>
        <w:t xml:space="preserve">]</w:t>
      </w:r>
      <w:r>
        <w:t xml:space="preserve">. However, two important qualifications apply. First,</w:t>
      </w:r>
      <w:r>
        <w:t xml:space="preserve"> </w:t>
      </w:r>
      <w:r>
        <w:t xml:space="preserve">removing crash-day flights reduced usable sets from 60 to 25, indicating that many flights occurred during the same</w:t>
      </w:r>
      <w:r>
        <w:t xml:space="preserve"> </w:t>
      </w:r>
      <w:r>
        <w:t xml:space="preserve">session; the</w:t>
      </w:r>
      <w:r>
        <w:t xml:space="preserve"> </w:t>
      </w:r>
      <w:r>
        <w:t xml:space="preserve">“maintenance degradation”</w:t>
      </w:r>
      <w:r>
        <w:t xml:space="preserve"> </w:t>
      </w:r>
      <w:r>
        <w:t xml:space="preserve">hypothesis therefore competes with an</w:t>
      </w:r>
      <w:r>
        <w:t xml:space="preserve"> </w:t>
      </w:r>
      <w:r>
        <w:t xml:space="preserve">“experimental airframe”</w:t>
      </w:r>
      <w:r>
        <w:t xml:space="preserve"> </w:t>
      </w:r>
      <w:r>
        <w:t xml:space="preserve">hypothesis,</w:t>
      </w:r>
      <w:r>
        <w:t xml:space="preserve"> </w:t>
      </w:r>
      <w:r>
        <w:t xml:space="preserve">where poorly tuned or prototype drones vibrate heavily and crash during initial testing. Second, the effect was supported</w:t>
      </w:r>
      <w:r>
        <w:t xml:space="preserve"> </w:t>
      </w:r>
      <w:r>
        <w:t xml:space="preserve">on the older estimator metric only; a declared replication on the newer accelerometer metric was inconclusive (</w:t>
      </w:r>
      <m:oMath>
        <m:r>
          <m:t>p</m:t>
        </m:r>
        <m:r>
          <m:rPr>
            <m:sty m:val="p"/>
          </m:rPr>
          <m:t>=</m:t>
        </m:r>
        <m:r>
          <m:t>0.25</m:t>
        </m:r>
      </m:oMath>
      <w:r>
        <w:t xml:space="preserve">).</w:t>
      </w:r>
      <w:r>
        <w:t xml:space="preserve"> </w:t>
      </w:r>
      <w:r>
        <w:t xml:space="preserve">Finally, given the low baseline crash rate in active fleets (</w:t>
      </w:r>
      <m:oMath>
        <m:r>
          <m:rPr>
            <m:sty m:val="p"/>
          </m:rPr>
          <m:t>∼</m:t>
        </m:r>
        <m:r>
          <m:t>1.5</m:t>
        </m:r>
        <m:r>
          <m:rPr>
            <m:sty m:val="p"/>
          </m:rPr>
          <m:t>%</m:t>
        </m:r>
      </m:oMath>
      <w:r>
        <w:t xml:space="preserve">), flagging upper-quartile vibration yields an</w:t>
      </w:r>
      <w:r>
        <w:t xml:space="preserve"> </w:t>
      </w:r>
      <w:r>
        <w:t xml:space="preserve">operational PPV of 3.8% (95% CI 3.2–4.6%; 3.3% for top-rank flagging). The metric provides a maintenance</w:t>
      </w:r>
      <w:r>
        <w:t xml:space="preserve"> </w:t>
      </w:r>
      <w:r>
        <w:t xml:space="preserve">prioritization signal, not an operational warning.</w:t>
      </w:r>
    </w:p>
    <w:p>
      <w:pPr>
        <w:pStyle w:val="BodyText"/>
      </w:pPr>
      <w:r>
        <w:rPr>
          <w:b/>
          <w:bCs/>
        </w:rPr>
        <w:t xml:space="preserve">From findings to a tool.</w:t>
      </w:r>
      <w:r>
        <w:t xml:space="preserve"> </w:t>
      </w:r>
      <w:r>
        <w:t xml:space="preserve">Section 6 turns these results into design decisions for AeroFleet 2.0,</w:t>
      </w:r>
      <w:r>
        <w:t xml:space="preserve"> </w:t>
      </w:r>
      <w:r>
        <w:t xml:space="preserve">an operator’s ground-side assurance tool. The common thread is that the tool shows evidence and ranks drones, and does not name a cause.</w:t>
      </w:r>
    </w:p>
    <w:p>
      <w:pPr>
        <w:pStyle w:val="BodyText"/>
      </w:pPr>
      <w:r>
        <w:rPr>
          <w:b/>
          <w:bCs/>
        </w:rPr>
        <w:t xml:space="preserve">Language models.</w:t>
      </w:r>
      <w:r>
        <w:t xml:space="preserve"> </w:t>
      </w:r>
      <w:r>
        <w:t xml:space="preserve">On this task small local models added errors and voting vulnerabilities rather than accuracy.</w:t>
      </w:r>
      <w:r>
        <w:t xml:space="preserve"> </w:t>
      </w:r>
      <w:r>
        <w:t xml:space="preserve">While deterministic numeric parsing prevented direct prompt injection by construction, multi-agent voting consensus was</w:t>
      </w:r>
      <w:r>
        <w:t xml:space="preserve"> </w:t>
      </w:r>
      <w:r>
        <w:t xml:space="preserve">easily manipulated by a single compromised reviewer. Larger models and blind evaluation cases remain to be tested.</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8</w:t>
        </w:r>
      </w:hyperlink>
      <w:r>
        <w:t xml:space="preserve">,</w:t>
      </w:r>
      <w:hyperlink w:anchor="_446d2d8311e3f2ab8e5f2830e712f064a3280b9">
        <w:r>
          <w:rPr>
            <w:rStyle w:val="Hyperlink"/>
          </w:rPr>
          <w:t xml:space="preserve">9</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10</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within-subjects user study comparing the three-dimensional views with a</w:t>
      </w:r>
      <w:r>
        <w:t xml:space="preserve"> </w:t>
      </w:r>
      <w:r>
        <w:t xml:space="preserve">two-dimensional map on tasks with known answers. Stronger replication of the between-drone vibration effect on modern</w:t>
      </w:r>
      <w:r>
        <w:t xml:space="preserve"> </w:t>
      </w:r>
      <w:r>
        <w:t xml:space="preserve">autopilots, evaluating operational safety impact across active fleets, testing sequence models or frequency-domain IMU</w:t>
      </w:r>
      <w:r>
        <w:t xml:space="preserve"> </w:t>
      </w:r>
      <w:r>
        <w:t xml:space="preserve">features for transient precursors that whole-window summaries miss, and evaluating a larger set of crashes with causes</w:t>
      </w:r>
      <w:r>
        <w:t xml:space="preserve"> </w:t>
      </w:r>
      <w:r>
        <w:t xml:space="preserve">verified by independent investigators would further strengthen the evidence.</w:t>
      </w:r>
    </w:p>
    <w:p>
      <w:pPr>
        <w:pStyle w:val="Heading1"/>
      </w:pPr>
      <w:bookmarkStart w:id="65" w:name="_82b82981e21bad8167d56d1f0b74a832e215810"/>
      <w:r>
        <w:rPr>
          <w:rStyle w:val="SectionNumber"/>
        </w:rPr>
        <w:t xml:space="preserve">8</w:t>
      </w:r>
      <w:r>
        <w:tab/>
      </w:r>
      <w:r>
        <w:t xml:space="preserve">Threats to validity</w:t>
      </w:r>
      <w:bookmarkEnd w:id="65"/>
    </w:p>
    <w:p>
      <w:pPr>
        <w:pStyle w:val="FirstParagraph"/>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The expert-diagnosed sample confirmed agreement on</w:t>
      </w:r>
      <w:r>
        <w:t xml:space="preserve"> </w:t>
      </w:r>
      <w:r>
        <w:t xml:space="preserve">aircraft-rated logs (11 of 14) but did not evaluate pilot-rated logs, and the gap between expert (6%) and uploader (32%)</w:t>
      </w:r>
      <w:r>
        <w:t xml:space="preserve"> </w:t>
      </w:r>
      <w:r>
        <w:t xml:space="preserve">pilot blame rates suggests reporting biases. Controls without a crash-rated log may have crashed without a rating, biasing</w:t>
      </w:r>
      <w:r>
        <w:t xml:space="preserve"> </w:t>
      </w:r>
      <w:r>
        <w:t xml:space="preserve">the between-drone test conservatively. Forum diagnoses were coded with good inter-rater reliability (</w:t>
      </w:r>
      <m:oMath>
        <m:r>
          <m:t>κ</m:t>
        </m:r>
        <m:r>
          <m:rPr>
            <m:sty m:val="p"/>
          </m:rPr>
          <m:t>≥</m:t>
        </m:r>
        <m:r>
          <m:t>0.73</m:t>
        </m:r>
      </m:oMath>
      <w:r>
        <w:t xml:space="preserve">),</w:t>
      </w:r>
      <w:r>
        <w:t xml:space="preserve"> </w:t>
      </w:r>
      <w:r>
        <w:t xml:space="preserve">but were limited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the within-drone result did not depend on the threshold.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main positive result needs stronger replication on newer firmware.</w:t>
      </w:r>
    </w:p>
    <w:p>
      <w:pPr>
        <w:pStyle w:val="BodyText"/>
      </w:pPr>
      <w:r>
        <w:rPr>
          <w:b/>
          <w:bCs/>
        </w:rPr>
        <w:t xml:space="preserve">Protocols and registration.</w:t>
      </w:r>
      <w:r>
        <w:t xml:space="preserve"> </w:t>
      </w:r>
      <w:r>
        <w:t xml:space="preserve">Protocols were declared and committed to public version control in advance of</w:t>
      </w:r>
      <w:r>
        <w:t xml:space="preserve"> </w:t>
      </w:r>
      <w:r>
        <w:t xml:space="preserve">analysis, but git repositories are self-hosted and lack third-party timestamped registries (e.g. OSF). One amendment</w:t>
      </w:r>
      <w:r>
        <w:t xml:space="preserve"> </w:t>
      </w:r>
      <w:r>
        <w:t xml:space="preserve">(lifting the within-drone firmware filter) was data-dependent after observing sample starvation (</w:t>
      </w:r>
      <m:oMath>
        <m:r>
          <m:t>n</m:t>
        </m:r>
        <m:r>
          <m:rPr>
            <m:sty m:val="p"/>
          </m:rPr>
          <m:t>=</m:t>
        </m:r>
        <m:r>
          <m:t>12</m:t>
        </m:r>
      </m:oMath>
      <w:r>
        <w:t xml:space="preserve">).</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Attrition.</w:t>
      </w:r>
      <w:r>
        <w:t xml:space="preserve"> </w:t>
      </w:r>
      <w:r>
        <w:t xml:space="preserve">Only 37 of the 73 logs behind expert aircraft diagnoses with a checkable cause could still be</w:t>
      </w:r>
      <w:r>
        <w:t xml:space="preserve"> </w:t>
      </w:r>
      <w:r>
        <w:t xml:space="preserve">downloaded, so several diagnostic comparisons in Table 7 have very small sample sizes (</w:t>
      </w:r>
      <m:oMath>
        <m:r>
          <m:t>n</m:t>
        </m:r>
        <m:r>
          <m:rPr>
            <m:sty m:val="p"/>
          </m:rPr>
          <m:t>=</m:t>
        </m:r>
        <m:r>
          <m:t>2</m:t>
        </m:r>
      </m:oMath>
      <w:r>
        <w:t xml:space="preserve"> </w:t>
      </w:r>
      <w:r>
        <w:t xml:space="preserve">to</w:t>
      </w:r>
      <w:r>
        <w:t xml:space="preserve"> </w:t>
      </w:r>
      <m:oMath>
        <m:r>
          <m:t>9</m:t>
        </m:r>
      </m:oMath>
      <w:r>
        <w:t xml:space="preserve">);</w:t>
      </w:r>
      <w:r>
        <w:t xml:space="preserve"> </w:t>
      </w:r>
      <w:r>
        <w:t xml:space="preserve">its results are indicative rather than definitive.</w:t>
      </w:r>
    </w:p>
    <w:p>
      <w:pPr>
        <w:pStyle w:val="BodyText"/>
      </w:pPr>
      <w:r>
        <w:rPr>
          <w:b/>
          <w:bCs/>
        </w:rPr>
        <w:t xml:space="preserve">Power.</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2.0’s checks are primarily engineering tests on archive data and synthetic fault injections,</w:t>
      </w:r>
      <w:r>
        <w:t xml:space="preserve"> </w:t>
      </w:r>
      <w:r>
        <w:t xml:space="preserve">not evidence of improved operational safety. Plans in the injection test were built from the flights themselves; the</w:t>
      </w:r>
      <w:r>
        <w:t xml:space="preserve"> </w:t>
      </w:r>
      <w:r>
        <w:t xml:space="preserve">description search was tested on forum titles, which are shorter and more varied than an operator’s report, and its symptom</w:t>
      </w:r>
      <w:r>
        <w:t xml:space="preserve"> </w:t>
      </w:r>
      <w:r>
        <w:t xml:space="preserve">lists were written by the authors; prospective fleet evaluation of the vibration ranking and user studies of the</w:t>
      </w:r>
      <w:r>
        <w:t xml:space="preserve"> </w:t>
      </w:r>
      <w:r>
        <w:t xml:space="preserve">three-dimensional views remain future work (Sections 6 and 7).</w:t>
      </w:r>
    </w:p>
    <w:p>
      <w:pPr>
        <w:pStyle w:val="Heading1"/>
      </w:pPr>
      <w:bookmarkStart w:id="66" w:name="_0cf7f8e9027f9f9352f3019b4ede1d43d537ff7"/>
      <w:r>
        <w:rPr>
          <w:rStyle w:val="SectionNumber"/>
        </w:rPr>
        <w:t xml:space="preserve">9</w:t>
      </w:r>
      <w:r>
        <w:tab/>
      </w:r>
      <w:r>
        <w:t xml:space="preserve">Conclusion</w:t>
      </w:r>
      <w:bookmarkEnd w:id="66"/>
    </w:p>
    <w:p>
      <w:pPr>
        <w:pStyle w:val="FirstParagraph"/>
      </w:pPr>
      <w:r>
        <w:t xml:space="preserve">Across 590 crash-rated logs from an archive index of 479,547 flights, flight logs did not distinguish pilot-caused from</w:t>
      </w:r>
      <w:r>
        <w:t xml:space="preserve"> </w:t>
      </w:r>
      <w:r>
        <w:t xml:space="preserve">aircraft-caused crashes above chance, configuration protections were disabled at similar rates, and the flight that</w:t>
      </w:r>
      <w:r>
        <w:t xml:space="preserve"> </w:t>
      </w:r>
      <w:r>
        <w:t xml:space="preserve">crashed showed no detectable difference in vibration or rate-tracking error relative to the same drone’s prior flights</w:t>
      </w:r>
      <w:r>
        <w:t xml:space="preserve"> </w:t>
      </w:r>
      <w:r>
        <w:t xml:space="preserve">(95% CI upper bounds 0.58 and 0.63). Apparent diagnostic success was largely driven by crash-impact data leakage.</w:t>
      </w:r>
      <w:r>
        <w:t xml:space="preserve"> </w:t>
      </w:r>
      <w:r>
        <w:t xml:space="preserve">What the logs did reveal, on older estimator metrics, was that drones that later crashed exhibited higher baseline</w:t>
      </w:r>
      <w:r>
        <w:t xml:space="preserve"> </w:t>
      </w:r>
      <w:r>
        <w:t xml:space="preserve">vibration on ordinary flights than matched peers, though replication on newer accelerometer metrics was inconclusive</w:t>
      </w:r>
      <w:r>
        <w:t xml:space="preserve"> </w:t>
      </w:r>
      <w:r>
        <w:t xml:space="preserve">and operational screening yields an operational positive predictive value of 3.8% for upper-quartile flagging (3.3%</w:t>
      </w:r>
      <w:r>
        <w:t xml:space="preserve"> </w:t>
      </w:r>
      <w:r>
        <w:t xml:space="preserve">for top-rank flagging). Flight log analytics for drone fleets should prioritize longitudinal airframe screening and</w:t>
      </w:r>
      <w:r>
        <w:t xml:space="preserve"> </w:t>
      </w:r>
      <w:r>
        <w:t xml:space="preserve">structured evidence review, not automated verdicts. AeroFleet 2.0 implements this approach as an open-source tool,</w:t>
      </w:r>
      <w:r>
        <w:t xml:space="preserve"> </w:t>
      </w:r>
      <w:r>
        <w:t xml:space="preserve">presenting verifiable evidence while leaving diagnostic decisions to human operators.</w:t>
      </w:r>
    </w:p>
    <w:p>
      <w:pPr>
        <w:pStyle w:val="Heading1"/>
      </w:pPr>
      <w:bookmarkStart w:id="67" w:name="_84dc18e74b75db6057c8c16a8f70e097972540a"/>
      <w:r>
        <w:t xml:space="preserve">Declaration of competing interest</w:t>
      </w:r>
      <w:bookmarkEnd w:id="67"/>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68" w:name="_1f74eb43af444059c7518034463b6c89b1cacf4"/>
      <w:r>
        <w:t xml:space="preserve">Declaration of generative AI and AI-assisted technologies in the manuscript preparation process</w:t>
      </w:r>
      <w:bookmarkEnd w:id="68"/>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69" w:name="_ea5c66868f283220c19382d0fdd5a852ec570ca"/>
      <w:r>
        <w:t xml:space="preserve">Data availability</w:t>
      </w:r>
      <w:bookmarkEnd w:id="69"/>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70">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71" w:name="_funding"/>
      <w:r>
        <w:t xml:space="preserve">Funding</w:t>
      </w:r>
      <w:bookmarkEnd w:id="71"/>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72" w:name="_2e4e683a75f4ea1e96c47404e8a75ca682e3575"/>
      <w:r>
        <w:rPr>
          <w:rStyle w:val="SectionNumber"/>
        </w:rPr>
        <w:t xml:space="preserve">10</w:t>
      </w:r>
      <w:r>
        <w:tab/>
      </w:r>
      <w:r>
        <w:t xml:space="preserve">Assurance tool implementation and validation checks</w:t>
      </w:r>
      <w:bookmarkEnd w:id="72"/>
    </w:p>
    <w:p>
      <w:pPr>
        <w:pStyle w:val="Heading2"/>
      </w:pPr>
      <w:bookmarkStart w:id="73" w:name="_e9cb5b0fd220e30d51d52748a99948ea06a1200"/>
      <w:r>
        <w:rPr>
          <w:rStyle w:val="SectionNumber"/>
        </w:rPr>
        <w:t xml:space="preserve">10.1</w:t>
      </w:r>
      <w:r>
        <w:tab/>
      </w:r>
      <w:r>
        <w:t xml:space="preserve">Planned versus flown trajectory checks</w:t>
      </w:r>
      <w:bookmarkEnd w:id="73"/>
    </w:p>
    <w:p>
      <w:pPr>
        <w:pStyle w:val="FirstParagraph"/>
      </w:pPr>
      <w:r>
        <w:t xml:space="preserve">The check aligns the flown track with the plan’s legs in flying order over the whole flight and reports stretches</w:t>
      </w:r>
      <w:r>
        <w:t xml:space="preserve"> </w:t>
      </w:r>
      <w:r>
        <w:t xml:space="preserve">beyond the fleet’s sideways and height tolerances (defaults 30 m and 15 m for at least 3 s). To test it, plans were</w:t>
      </w:r>
      <w:r>
        <w:t xml:space="preserve"> </w:t>
      </w:r>
      <w:r>
        <w:t xml:space="preserve">built from 40 real multirotor flights in the archive (a waypoint every 10 s of track), so that the unmodified</w:t>
      </w:r>
      <w:r>
        <w:t xml:space="preserve"> </w:t>
      </w:r>
      <w:r>
        <w:t xml:space="preserve">flight conformed by construction, and a known deviation was injected for 30 s. Sideways shifts of 35 m or more were</w:t>
      </w:r>
      <w:r>
        <w:t xml:space="preserve"> </w:t>
      </w:r>
      <w:r>
        <w:t xml:space="preserve">found in 90–98% of flights and upward shifts of 20 m or more in 92–98%, while shifts below the tolerances were</w:t>
      </w:r>
      <w:r>
        <w:t xml:space="preserve"> </w:t>
      </w:r>
      <w:r>
        <w:t xml:space="preserve">mostly not reported, as specified. The first version of the check, which matched each position to the nearest leg</w:t>
      </w:r>
      <w:r>
        <w:t xml:space="preserve"> </w:t>
      </w:r>
      <w:r>
        <w:t xml:space="preserve">anywhere, raised false alarms on 16 of 40 unmodified flights and detected only half of the 35 m shifts;</w:t>
      </w:r>
      <w:r>
        <w:t xml:space="preserve"> </w:t>
      </w:r>
      <w:r>
        <w:t xml:space="preserve">it was replaced. The current version raised false alarms on 9 of 40 (22%, 95% CI 12–38%), all on fast flights</w:t>
      </w:r>
      <w:r>
        <w:t xml:space="preserve"> </w:t>
      </w:r>
      <w:r>
        <w:t xml:space="preserve">cutting the corners of long legs built from the track; with a waypoint every 5 s (a post-hoc check) there were none.</w:t>
      </w:r>
      <w:r>
        <w:t xml:space="preserve"> </w:t>
      </w:r>
      <w:r>
        <w:t xml:space="preserve">A declared check on the archive logs that record the mission they flew found only six distinct missions; the check</w:t>
      </w:r>
      <w:r>
        <w:t xml:space="preserve"> </w:t>
      </w:r>
      <w:r>
        <w:t xml:space="preserve">reported no deviation while any of them flew in mission mode, and the two deviations it did report were stretches in</w:t>
      </w:r>
      <w:r>
        <w:t xml:space="preserve"> </w:t>
      </w:r>
      <w:r>
        <w:t xml:space="preserve">which the vehicle had left mission mode (return-to-launch, or the pilot taking over). Six missions are too few for a</w:t>
      </w:r>
      <w:r>
        <w:t xml:space="preserve"> </w:t>
      </w:r>
      <w:r>
        <w:t xml:space="preserve">rate (95% upper bound 39%), so the false-alarm rate on real plans remains unmeasured and a reported deviation is a</w:t>
      </w:r>
      <w:r>
        <w:t xml:space="preserve"> </w:t>
      </w:r>
      <w:r>
        <w:t xml:space="preserve">reason to look at the replay rather than a finding.</w:t>
      </w:r>
    </w:p>
    <w:p>
      <w:pPr>
        <w:pStyle w:val="Heading2"/>
      </w:pPr>
      <w:bookmarkStart w:id="74" w:name="_ba111e3b1ab1bf9cf9c89fdb5dcad017abb296d"/>
      <w:r>
        <w:rPr>
          <w:rStyle w:val="SectionNumber"/>
        </w:rPr>
        <w:t xml:space="preserve">10.2</w:t>
      </w:r>
      <w:r>
        <w:tab/>
      </w:r>
      <w:r>
        <w:t xml:space="preserve">Searching past community diagnoses</w:t>
      </w:r>
      <w:bookmarkEnd w:id="74"/>
    </w:p>
    <w:p>
      <w:pPr>
        <w:pStyle w:val="FirstParagraph"/>
      </w:pPr>
      <w:r>
        <w:t xml:space="preserve">An operator can describe a problem in words. The description is matched (BM25, no model) against the expert-labelled</w:t>
      </w:r>
      <w:r>
        <w:t xml:space="preserve"> </w:t>
      </w:r>
      <w:r>
        <w:t xml:space="preserve">forum threads, represented by their titles and up to 30 descriptive terms from the opening post, and against a short</w:t>
      </w:r>
      <w:r>
        <w:t xml:space="preserve"> </w:t>
      </w:r>
      <w:r>
        <w:t xml:space="preserve">list of symptom words for each cause. After a first release we declared and ran a test, holding out each of the 96 threads in</w:t>
      </w:r>
      <w:r>
        <w:t xml:space="preserve"> </w:t>
      </w:r>
      <w:r>
        <w:t xml:space="preserve">which the expert blamed the aircraft and named a cause and querying with the rest. The cause the words matched best</w:t>
      </w:r>
      <w:r>
        <w:t xml:space="preserve"> </w:t>
      </w:r>
      <w:r>
        <w:t xml:space="preserve">was the expert’s cause in 19 of 96 cases with the title alone (20%) and 21 of 96 with the title and opening-post</w:t>
      </w:r>
      <w:r>
        <w:t xml:space="preserve"> </w:t>
      </w:r>
      <w:r>
        <w:t xml:space="preserve">terms (22%, 95% CI 15–31%), below the 26 of 96 (27%) of always answering the most frequent cause; among the first</w:t>
      </w:r>
      <w:r>
        <w:t xml:space="preserve"> </w:t>
      </w:r>
      <w:r>
        <w:t xml:space="preserve">three it was 54% against 62%. The declared criterion (10 points above the base rate) was not met, as it was not with</w:t>
      </w:r>
      <w:r>
        <w:t xml:space="preserve"> </w:t>
      </w:r>
      <w:r>
        <w:t xml:space="preserve">the first recording (20% against 32%). A written description, like the log, did not reveal the cause. The tool</w:t>
      </w:r>
      <w:r>
        <w:t xml:space="preserve"> </w:t>
      </w:r>
      <w:r>
        <w:t xml:space="preserve">therefore orders its checklist by how often experts found each cause, marks the causes the description mentions, and</w:t>
      </w:r>
      <w:r>
        <w:t xml:space="preserve"> </w:t>
      </w:r>
      <w:r>
        <w:t xml:space="preserve">offers the most similar threads only as reading, with the measured accuracy shown beside the answer.</w:t>
      </w:r>
    </w:p>
    <w:p>
      <w:pPr>
        <w:pStyle w:val="Heading2"/>
      </w:pPr>
      <w:bookmarkStart w:id="75" w:name="_2fdde5e9aa4343cb9ee229a5abab9cb4de37fc8"/>
      <w:r>
        <w:rPr>
          <w:rStyle w:val="SectionNumber"/>
        </w:rPr>
        <w:t xml:space="preserve">10.3</w:t>
      </w:r>
      <w:r>
        <w:tab/>
      </w:r>
      <w:r>
        <w:t xml:space="preserve">Three-dimensional replay and mission rehearsal</w:t>
      </w:r>
      <w:bookmarkEnd w:id="75"/>
    </w:p>
    <w:p>
      <w:pPr>
        <w:pStyle w:val="FirstParagraph"/>
      </w:pPr>
      <w:r>
        <w:t xml:space="preserve">Deviations, heights and separation between drones are spatial, and a two-dimensional plot hides height. The tool</w:t>
      </w:r>
      <w:r>
        <w:t xml:space="preserve"> </w:t>
      </w:r>
      <w:r>
        <w:t xml:space="preserve">therefore draws flights on a virtual tabletop, a world in miniature</w:t>
      </w:r>
      <w:r>
        <w:t xml:space="preserve"> </w:t>
      </w:r>
      <w:r>
        <w:t xml:space="preserve">[</w:t>
      </w:r>
      <w:hyperlink w:anchor="_587a2a13103f5a9c7c9f5fbc8ef0c5dfd686e3c">
        <w:r>
          <w:rPr>
            <w:rStyle w:val="Hyperlink"/>
          </w:rPr>
          <w:t xml:space="preserve">32</w:t>
        </w:r>
      </w:hyperlink>
      <w:r>
        <w:t xml:space="preserve">]</w:t>
      </w:r>
      <w:r>
        <w:t xml:space="preserve">, that can be viewed in a</w:t>
      </w:r>
      <w:r>
        <w:t xml:space="preserve"> </w:t>
      </w:r>
      <w:r>
        <w:t xml:space="preserve">browser, in immersive virtual reality or, on a passthrough headset, in mixed reality on a real desk (WebXR).</w:t>
      </w:r>
    </w:p>
    <w:p>
      <w:pPr>
        <w:pStyle w:val="BodyText"/>
      </w:pPr>
      <w:r>
        <w:t xml:space="preserve">A</w:t>
      </w:r>
      <w:r>
        <w:t xml:space="preserve"> </w:t>
      </w:r>
      <w:r>
        <w:rPr>
          <w:i/>
          <w:iCs/>
        </w:rPr>
        <w:t xml:space="preserve">flight replay</w:t>
      </w:r>
      <w:r>
        <w:t xml:space="preserve"> </w:t>
      </w:r>
      <w:r>
        <w:t xml:space="preserve">shows a reviewed flight: the approved plan dashed, the flown track green within tolerance and</w:t>
      </w:r>
      <w:r>
        <w:t xml:space="preserve"> </w:t>
      </w:r>
      <w:r>
        <w:t xml:space="preserve">red during a deviation, the log’s events pinned where they happened, and a playhead that can be scrubbed or played at</w:t>
      </w:r>
      <w:r>
        <w:t xml:space="preserve"> </w:t>
      </w:r>
      <w:r>
        <w:t xml:space="preserve">ten times real speed.</w:t>
      </w:r>
    </w:p>
    <w:p>
      <w:pPr>
        <w:pStyle w:val="BodyText"/>
      </w:pPr>
      <w:r>
        <w:t xml:space="preserve">A</w:t>
      </w:r>
      <w:r>
        <w:t xml:space="preserve"> </w:t>
      </w:r>
      <w:r>
        <w:rPr>
          <w:i/>
          <w:iCs/>
        </w:rPr>
        <w:t xml:space="preserve">mission rehearsal</w:t>
      </w:r>
      <w:r>
        <w:t xml:space="preserve"> </w:t>
      </w:r>
      <w:r>
        <w:t xml:space="preserve">shows planned missions before anyone flies: the deconfliction check turns each mission file</w:t>
      </w:r>
      <w:r>
        <w:t xml:space="preserve"> </w:t>
      </w:r>
      <w:r>
        <w:t xml:space="preserve">into a position-over-time trajectory on a common clock (straight legs at stated climb, cruise and descent speeds),</w:t>
      </w:r>
      <w:r>
        <w:t xml:space="preserve"> </w:t>
      </w:r>
      <w:r>
        <w:t xml:space="preserve">finds every pair closer than the separation distance and resolves conflicts by a launch delay or, where allowed, a</w:t>
      </w:r>
      <w:r>
        <w:t xml:space="preserve"> </w:t>
      </w:r>
      <w:r>
        <w:t xml:space="preserve">different cruise height. The rehearsal flies all missions on that clock, as uploaded and as rescheduled, with each loss</w:t>
      </w:r>
      <w:r>
        <w:t xml:space="preserve"> </w:t>
      </w:r>
      <w:r>
        <w:t xml:space="preserve">of separation drawn where and when it occurs (Figure A.7). It is a kinematic rehearsal of the plan, not</w:t>
      </w:r>
      <w:r>
        <w:t xml:space="preserve"> </w:t>
      </w:r>
      <w:r>
        <w:t xml:space="preserve">a simulation of the aircraft: there is no wind, no vehicle dynamics and no sensor error, so it shows what the plan</w:t>
      </w:r>
      <w:r>
        <w:t xml:space="preserve"> </w:t>
      </w:r>
      <w:r>
        <w:t xml:space="preserve">implies if it is flown as written, which is the assumption the planned-versus-flown check then tests after the</w:t>
      </w:r>
      <w:r>
        <w:t xml:space="preserve"> </w:t>
      </w:r>
      <w:r>
        <w:t xml:space="preserve">flight.</w:t>
      </w:r>
    </w:p>
    <w:p>
      <w:pPr>
        <w:pStyle w:val="BodyText"/>
      </w:pPr>
      <w:r>
        <w:t xml:space="preserve">The replay and rehearsal have been checked functionally on desktop; a paired standalone headset application</w:t>
      </w:r>
      <w:r>
        <w:t xml:space="preserve"> </w:t>
      </w:r>
      <w:r>
        <w:t xml:space="preserve">compiles but has not been run on a headset, and no user study has been carried out, so we make no claim that the</w:t>
      </w:r>
      <w:r>
        <w:t xml:space="preserve"> </w:t>
      </w:r>
      <w:r>
        <w:t xml:space="preserve">three-dimensional view improves decisions.</w:t>
      </w:r>
    </w:p>
    <w:bookmarkStart w:id="79" w:name="_bf99149bad0dada6e2c9862d0554e4b7cad348e"/>
    <w:p>
      <w:pPr>
        <w:pStyle w:val="CaptionedFigure"/>
        <w:jc w:val="center"/>
      </w:pPr>
      <w:r>
        <w:drawing>
          <wp:inline>
            <wp:extent cx="5334000" cy="4488933"/>
            <wp:effectExtent b="0" l="0" r="0" t="0"/>
            <wp:docPr descr="" title="" id="77" name="Picture"/>
            <a:graphic>
              <a:graphicData uri="http://schemas.openxmlformats.org/drawingml/2006/picture">
                <pic:pic>
                  <pic:nvPicPr>
                    <pic:cNvPr descr="fig_rehearsal.png" id="78" name="Picture"/>
                    <pic:cNvPicPr>
                      <a:picLocks noChangeArrowheads="1" noChangeAspect="1"/>
                    </pic:cNvPicPr>
                  </pic:nvPicPr>
                  <pic:blipFill>
                    <a:blip r:embed="rId76"/>
                    <a:stretch>
                      <a:fillRect/>
                    </a:stretch>
                  </pic:blipFill>
                  <pic:spPr bwMode="auto">
                    <a:xfrm>
                      <a:off x="0" y="0"/>
                      <a:ext cx="5334000" cy="4488933"/>
                    </a:xfrm>
                    <a:prstGeom prst="rect">
                      <a:avLst/>
                    </a:prstGeom>
                    <a:noFill/>
                    <a:ln w="9525">
                      <a:noFill/>
                      <a:headEnd/>
                      <a:tailEnd/>
                    </a:ln>
                  </pic:spPr>
                </pic:pic>
              </a:graphicData>
            </a:graphic>
          </wp:inline>
        </w:drawing>
      </w:r>
    </w:p>
    <w:p>
      <w:pPr>
        <w:pStyle w:val="ImageCaption"/>
      </w:pPr>
      <w:r>
        <w:t xml:space="preserve">Figure A.7. Mission rehearsal in the tool’s tabletop view (desktop rendering; the same scene opens in a WebXR headset).</w:t>
      </w:r>
      <w:r>
        <w:t xml:space="preserve"> </w:t>
      </w:r>
      <w:r>
        <w:t xml:space="preserve">Five planned missions over a 2 km table, heights exaggerated four times, each mission in its own colour. (a) As</w:t>
      </w:r>
      <w:r>
        <w:t xml:space="preserve"> </w:t>
      </w:r>
      <w:r>
        <w:t xml:space="preserve">uploaded, 12 s after launch: three missions leaving one depot together occupy the same point (overlapping labels) and</w:t>
      </w:r>
      <w:r>
        <w:t xml:space="preserve"> </w:t>
      </w:r>
      <w:r>
        <w:t xml:space="preserve">the red sphere marks their loss of separation. (b) The schedule produced by the deconfliction check, 45 s after the</w:t>
      </w:r>
      <w:r>
        <w:t xml:space="preserve"> </w:t>
      </w:r>
      <w:r>
        <w:t xml:space="preserve">first launch: two launches are delayed and no pair comes within 15 m. Straight legs at planned speeds, no wind.</w:t>
      </w:r>
    </w:p>
    <w:bookmarkEnd w:id="79"/>
    <w:p>
      <w:pPr>
        <w:pStyle w:val="Heading1"/>
      </w:pPr>
      <w:bookmarkStart w:id="80" w:name="_81f332d0bc99ea95ecab20532ec82dd8605ae66"/>
      <w:r>
        <w:rPr>
          <w:rStyle w:val="SectionNumber"/>
        </w:rPr>
        <w:t xml:space="preserve">11</w:t>
      </w:r>
      <w:r>
        <w:tab/>
      </w:r>
      <w:r>
        <w:t xml:space="preserve">Exploratory evaluation of language-model review panels</w:t>
      </w:r>
      <w:bookmarkEnd w:id="80"/>
    </w:p>
    <w:p>
      <w:pPr>
        <w:pStyle w:val="FirstParagraph"/>
      </w:pPr>
      <w:r>
        <w:t xml:space="preserve">Because language-model assistants are increasingly proposed for log review, we conducted a preliminary comparison on</w:t>
      </w:r>
      <w:r>
        <w:t xml:space="preserve"> </w:t>
      </w:r>
      <w:r>
        <w:t xml:space="preserve">60 author-generated fault cases using four relatively small local models (3–4B parameters). The fixed rule was right</w:t>
      </w:r>
      <w:r>
        <w:t xml:space="preserve"> </w:t>
      </w:r>
      <w:r>
        <w:t xml:space="preserve">in 45 of 60 generated cases (75%, 95% Wilson interval 63–84%) and wrong in none (0%, 95% interval 0–6%); it</w:t>
      </w:r>
      <w:r>
        <w:t xml:space="preserve"> </w:t>
      </w:r>
      <w:r>
        <w:t xml:space="preserve">referred the other 15 to a human operator.</w:t>
      </w:r>
      <w:r>
        <w:t xml:space="preserve"> </w:t>
      </w:r>
      <w:r>
        <w:t xml:space="preserve">“Right”</w:t>
      </w:r>
      <w:r>
        <w:t xml:space="preserve"> </w:t>
      </w:r>
      <w:r>
        <w:t xml:space="preserve">includes leaving the 10 no-cause cases open, so the rule named the true</w:t>
      </w:r>
      <w:r>
        <w:t xml:space="preserve"> </w:t>
      </w:r>
      <w:r>
        <w:t xml:space="preserve">cause in 35 of the 50 cases that had one. As discussed in Section 8, the rule’s performance may be</w:t>
      </w:r>
      <w:r>
        <w:t xml:space="preserve"> </w:t>
      </w:r>
      <w:r>
        <w:t xml:space="preserve">optimistic because the cases were created by the authors who designed the rule; nonetheless, no model’s panel matched</w:t>
      </w:r>
      <w:r>
        <w:t xml:space="preserve"> </w:t>
      </w:r>
      <w:r>
        <w:t xml:space="preserve">it (Table B.10): wrong answers ranged from 6 to 38 of 60 (10–63%).</w:t>
      </w:r>
    </w:p>
    <w:p>
      <w:pPr>
        <w:pStyle w:val="BodyText"/>
      </w:pPr>
      <w:r>
        <w:t xml:space="preserve">Reporting coverage (share of cases decided) and accuracy-when-answering separately clarifies the failure mechanisms of</w:t>
      </w:r>
      <w:r>
        <w:t xml:space="preserve"> </w:t>
      </w:r>
      <w:r>
        <w:t xml:space="preserve">individual models. The single-agent configurations of</w:t>
      </w:r>
      <w:r>
        <w:t xml:space="preserve"> </w:t>
      </w:r>
      <w:r>
        <w:rPr>
          <w:rStyle w:val="VerbatimChar"/>
        </w:rPr>
        <w:t xml:space="preserve">gemma3:4b</w:t>
      </w:r>
      <w:r>
        <w:t xml:space="preserve"> </w:t>
      </w:r>
      <w:r>
        <w:t xml:space="preserve">and</w:t>
      </w:r>
      <w:r>
        <w:t xml:space="preserve"> </w:t>
      </w:r>
      <w:r>
        <w:rPr>
          <w:rStyle w:val="VerbatimChar"/>
        </w:rPr>
        <w:t xml:space="preserve">phi4-mini</w:t>
      </w:r>
      <w:r>
        <w:t xml:space="preserve"> </w:t>
      </w:r>
      <w:r>
        <w:t xml:space="preserve">abstained on all 50 cases</w:t>
      </w:r>
      <w:r>
        <w:t xml:space="preserve"> </w:t>
      </w:r>
      <w:r>
        <w:t xml:space="preserve">with an active cause (0% active coverage); their 10</w:t>
      </w:r>
      <w:r>
        <w:t xml:space="preserve"> </w:t>
      </w:r>
      <w:r>
        <w:t xml:space="preserve">“right”</w:t>
      </w:r>
      <w:r>
        <w:t xml:space="preserve"> </w:t>
      </w:r>
      <w:r>
        <w:t xml:space="preserve">scores stemmed entirely from correctly leaving the 10</w:t>
      </w:r>
      <w:r>
        <w:t xml:space="preserve"> </w:t>
      </w:r>
      <w:r>
        <w:t xml:space="preserve">no-cause cases open.</w:t>
      </w:r>
      <w:r>
        <w:t xml:space="preserve"> </w:t>
      </w:r>
      <w:r>
        <w:rPr>
          <w:rStyle w:val="VerbatimChar"/>
        </w:rPr>
        <w:t xml:space="preserve">qwen2.5:3b</w:t>
      </w:r>
      <w:r>
        <w:t xml:space="preserve"> </w:t>
      </w:r>
      <w:r>
        <w:t xml:space="preserve">answered 53 of 60 cases (88% coverage) but achieved only 17.0% accuracy when</w:t>
      </w:r>
      <w:r>
        <w:t xml:space="preserve"> </w:t>
      </w:r>
      <w:r>
        <w:t xml:space="preserve">answering (9 right, 44 wrong), which is indistinguishable from random guessing across the six cause classes (16.7%).</w:t>
      </w:r>
      <w:r>
        <w:t xml:space="preserve"> </w:t>
      </w:r>
      <w:r>
        <w:rPr>
          <w:rStyle w:val="VerbatimChar"/>
        </w:rPr>
        <w:t xml:space="preserve">qwen3:4b</w:t>
      </w:r>
      <w:r>
        <w:t xml:space="preserve"> </w:t>
      </w:r>
      <w:r>
        <w:t xml:space="preserve">suffered complete mode collapse on decided cases: across the 41 cases it answered (the remaining 19</w:t>
      </w:r>
      <w:r>
        <w:t xml:space="preserve"> </w:t>
      </w:r>
      <w:r>
        <w:t xml:space="preserve">failed JSON schema parsing), it attributed all 41 to</w:t>
      </w:r>
      <w:r>
        <w:t xml:space="preserve"> </w:t>
      </w:r>
      <w:r>
        <w:rPr>
          <w:rStyle w:val="VerbatimChar"/>
        </w:rPr>
        <w:t xml:space="preserve">PLAN_OR_ROUTE_ISSUE</w:t>
      </w:r>
      <w:r>
        <w:t xml:space="preserve">, yielding 0 right, 41 wrong (0%</w:t>
      </w:r>
      <w:r>
        <w:t xml:space="preserve"> </w:t>
      </w:r>
      <w:r>
        <w:t xml:space="preserve">accuracy when answering).</w:t>
      </w:r>
    </w:p>
    <w:p>
      <w:pPr>
        <w:pStyle w:val="BodyText"/>
      </w:pPr>
      <w:r>
        <w:t xml:space="preserve">Multi-agent panel deliberation increased coverage for</w:t>
      </w:r>
      <w:r>
        <w:t xml:space="preserve"> </w:t>
      </w:r>
      <w:r>
        <w:rPr>
          <w:rStyle w:val="VerbatimChar"/>
        </w:rPr>
        <w:t xml:space="preserve">gemma3:4b</w:t>
      </w:r>
      <w:r>
        <w:t xml:space="preserve"> </w:t>
      </w:r>
      <w:r>
        <w:t xml:space="preserve">and</w:t>
      </w:r>
      <w:r>
        <w:t xml:space="preserve"> </w:t>
      </w:r>
      <w:r>
        <w:rPr>
          <w:rStyle w:val="VerbatimChar"/>
        </w:rPr>
        <w:t xml:space="preserve">phi4-mini</w:t>
      </w:r>
      <w:r>
        <w:t xml:space="preserve"> </w:t>
      </w:r>
      <w:r>
        <w:t xml:space="preserve">to 65%, but accuracy when</w:t>
      </w:r>
      <w:r>
        <w:t xml:space="preserve"> </w:t>
      </w:r>
      <w:r>
        <w:t xml:space="preserve">answering remained low for</w:t>
      </w:r>
      <w:r>
        <w:t xml:space="preserve"> </w:t>
      </w:r>
      <w:r>
        <w:rPr>
          <w:rStyle w:val="VerbatimChar"/>
        </w:rPr>
        <w:t xml:space="preserve">gemma3</w:t>
      </w:r>
      <w:r>
        <w:t xml:space="preserve"> </w:t>
      </w:r>
      <w:r>
        <w:t xml:space="preserve">(7.7%, 3 of 39) and modest for</w:t>
      </w:r>
      <w:r>
        <w:t xml:space="preserve"> </w:t>
      </w:r>
      <w:r>
        <w:rPr>
          <w:rStyle w:val="VerbatimChar"/>
        </w:rPr>
        <w:t xml:space="preserve">phi4</w:t>
      </w:r>
      <w:r>
        <w:t xml:space="preserve"> </w:t>
      </w:r>
      <w:r>
        <w:t xml:space="preserve">(51.3%, 20 of 39).</w:t>
      </w:r>
      <w:r>
        <w:t xml:space="preserve"> </w:t>
      </w:r>
      <w:r>
        <w:rPr>
          <w:rStyle w:val="VerbatimChar"/>
        </w:rPr>
        <w:t xml:space="preserve">qwen2.5:3b</w:t>
      </w:r>
      <w:r>
        <w:t xml:space="preserve"> </w:t>
      </w:r>
      <w:r>
        <w:t xml:space="preserve">achieved 62.5% accuracy when answering in the panel (10 right, 6 wrong), but deferred on 73% of cases</w:t>
      </w:r>
      <w:r>
        <w:t xml:space="preserve"> </w:t>
      </w:r>
      <w:r>
        <w:t xml:space="preserve">(16 answered).</w:t>
      </w:r>
      <w:r>
        <w:t xml:space="preserve"> </w:t>
      </w:r>
      <w:r>
        <w:rPr>
          <w:rStyle w:val="VerbatimChar"/>
        </w:rPr>
        <w:t xml:space="preserve">qwen3:4b</w:t>
      </w:r>
      <w:r>
        <w:t xml:space="preserve"> </w:t>
      </w:r>
      <w:r>
        <w:t xml:space="preserve">reached 30.9% accuracy when answering (17 of 55).</w:t>
      </w:r>
    </w:p>
    <w:p>
      <w:pPr>
        <w:pStyle w:val="BodyText"/>
      </w:pPr>
      <w:r>
        <w:t xml:space="preserve">In the adversarial robustness test, we conducted a worst-case sensitivity sweep where a single compromised reviewer systematically</w:t>
      </w:r>
      <w:r>
        <w:t xml:space="preserve"> </w:t>
      </w:r>
      <w:r>
        <w:t xml:space="preserve">advocated for a designated incorrect cause across both voting rounds. This adversary successfully flipped the panel’s consensus in 45</w:t>
      </w:r>
      <w:r>
        <w:t xml:space="preserve"> </w:t>
      </w:r>
      <w:r>
        <w:t xml:space="preserve">to 56 of 60 cases (Table B.10). This highlights that multi-agent consensus voting without cryptographic proofs or</w:t>
      </w:r>
      <w:r>
        <w:t xml:space="preserve"> </w:t>
      </w:r>
      <w:r>
        <w:t xml:space="preserve">fact-citation enforcement remains vulnerable to rogue reviewers. In contrast, 40 hostile prompt-injection strings planted in</w:t>
      </w:r>
      <w:r>
        <w:t xml:space="preserve"> </w:t>
      </w:r>
      <w:r>
        <w:t xml:space="preserve">uploader-controlled fields never reached any model prompt because the pipeline deterministically extracts numeric telemetry into</w:t>
      </w:r>
      <w:r>
        <w:t xml:space="preserve"> </w:t>
      </w:r>
      <w:r>
        <w:t xml:space="preserve">code, preventing direct prompt injection by construction.</w:t>
      </w:r>
    </w:p>
    <w:bookmarkStart w:id="81" w:name="_e9a1c7ab9cd062877714c77f2a5f253f301b820"/>
    <w:p>
      <w:pPr>
        <w:pStyle w:val="TableCaption"/>
      </w:pPr>
      <w:r>
        <w:t xml:space="preserve">Table B.10. Language-model review panels on 60 generated cases: counts of right (R), wrong (W), and deferred (Def) cases,</w:t>
      </w:r>
      <w:r>
        <w:t xml:space="preserve"> </w:t>
      </w:r>
      <w:r>
        <w:t xml:space="preserve">with coverage (Cov., share of cases decided) and accuracy when answering (Acc.).</w:t>
      </w:r>
      <w:r>
        <w:t xml:space="preserve"> </w:t>
      </w:r>
      <w:r>
        <w:t xml:space="preserve">“Right”</w:t>
      </w:r>
      <w:r>
        <w:t xml:space="preserve"> </w:t>
      </w:r>
      <w:r>
        <w:t xml:space="preserve">includes correctly leaving a</w:t>
      </w:r>
      <w:r>
        <w:t xml:space="preserve"> </w:t>
      </w:r>
      <w:r>
        <w:t xml:space="preserve">no-cause case open. Single-agent gemma3 and phi4 answered only the 10 no-cause cases (0% coverage on active causes).</w:t>
      </w:r>
      <w:r>
        <w:t xml:space="preserve"> </w:t>
      </w:r>
      <w:r>
        <w:t xml:space="preserve">Adversary flips show consensus changes caused by a single compromised reviewer in a worst-case sweep.</w:t>
      </w:r>
    </w:p>
    <w:tbl>
      <w:tblPr>
        <w:tblStyle w:val="Table"/>
        <w:tblW w:type="pct" w:w="5000"/>
        <w:tblLook w:firstRow="0" w:lastRow="0" w:firstColumn="0" w:lastColumn="0" w:noHBand="0" w:noVBand="0" w:val="0000"/>
        <w:tblCaption w:val="Table B.10.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81"/>
    <w:p>
      <w:pPr>
        <w:pStyle w:val="FirstParagraph"/>
      </w:pPr>
      <m:oMath>
        <m:sSup>
          <m:e>
            <m:r>
              <m:t>​</m:t>
            </m:r>
          </m:e>
          <m:sup>
            <m:r>
              <m:rPr>
                <m:sty m:val="p"/>
              </m:rPr>
              <m:t>†</m:t>
            </m:r>
          </m:sup>
        </m:sSup>
      </m:oMath>
      <w:r>
        <w:t xml:space="preserve">Answered only on the 10 no-cause cases where abstention coincided with the ground truth; 0% coverage on active causes.</w:t>
      </w:r>
    </w:p>
    <w:p>
      <w:pPr>
        <w:pStyle w:val="Heading1"/>
      </w:pPr>
      <w:bookmarkStart w:id="82" w:name="_bibliography"/>
      <w:r>
        <w:t xml:space="preserve">References</w:t>
      </w:r>
      <w:bookmarkEnd w:id="82"/>
    </w:p>
    <w:bookmarkStart w:id="144" w:name="_refs"/>
    <w:bookmarkStart w:id="83"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3"/>
    <w:bookmarkStart w:id="84"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4"/>
    <w:bookmarkStart w:id="85"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5"/>
    <w:bookmarkStart w:id="86"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6"/>
    <w:bookmarkStart w:id="88"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7">
        <w:r>
          <w:rPr>
            <w:rStyle w:val="Hyperlink"/>
          </w:rPr>
          <w:t xml:space="preserve">10.1109/ICSE55347.2025.00223</w:t>
        </w:r>
      </w:hyperlink>
      <w:r>
        <w:t xml:space="preserve">.</w:t>
      </w:r>
    </w:p>
    <w:bookmarkEnd w:id="88"/>
    <w:bookmarkStart w:id="90"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89">
        <w:r>
          <w:rPr>
            <w:rStyle w:val="Hyperlink"/>
          </w:rPr>
          <w:t xml:space="preserve">10.1016/j.fsidi.2026.302051</w:t>
        </w:r>
      </w:hyperlink>
      <w:r>
        <w:t xml:space="preserve">.</w:t>
      </w:r>
    </w:p>
    <w:bookmarkEnd w:id="90"/>
    <w:bookmarkStart w:id="91"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91"/>
    <w:bookmarkStart w:id="93" w:name="_d75d7cf63098afa5d33e189bc1a163022e7ecdc"/>
    <w:p>
      <w:pPr>
        <w:pStyle w:val="Bibliography"/>
      </w:pPr>
      <w:r>
        <w:t xml:space="preserve">[8]</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92">
        <w:r>
          <w:rPr>
            <w:rStyle w:val="Hyperlink"/>
          </w:rPr>
          <w:t xml:space="preserve">10.1177/0278364920966642</w:t>
        </w:r>
      </w:hyperlink>
      <w:r>
        <w:t xml:space="preserve">.</w:t>
      </w:r>
    </w:p>
    <w:bookmarkEnd w:id="93"/>
    <w:bookmarkStart w:id="95" w:name="_446d2d8311e3f2ab8e5f2830e712f064a3280b9"/>
    <w:p>
      <w:pPr>
        <w:pStyle w:val="Bibliography"/>
      </w:pPr>
      <w:r>
        <w:t xml:space="preserve">[9]</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4">
        <w:r>
          <w:rPr>
            <w:rStyle w:val="Hyperlink"/>
          </w:rPr>
          <w:t xml:space="preserve">10.1177/02783649241305153</w:t>
        </w:r>
      </w:hyperlink>
      <w:r>
        <w:t xml:space="preserve">.</w:t>
      </w:r>
    </w:p>
    <w:bookmarkEnd w:id="95"/>
    <w:bookmarkStart w:id="96" w:name="_973650d78dc352a8b25ace59ab002a1d91cdfc9"/>
    <w:p>
      <w:pPr>
        <w:pStyle w:val="Bibliography"/>
      </w:pPr>
      <w:r>
        <w:t xml:space="preserve">[10]</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96"/>
    <w:bookmarkStart w:id="98" w:name="_42246838952b0ed0d35bd475d264714b9e743f7"/>
    <w:p>
      <w:pPr>
        <w:pStyle w:val="Bibliography"/>
      </w:pPr>
      <w:r>
        <w:t xml:space="preserve">[11]</w:t>
      </w:r>
      <w:r>
        <w:t xml:space="preserve"> </w:t>
      </w:r>
      <w:r>
        <w:t xml:space="preserve">	</w:t>
      </w:r>
      <w:r>
        <w:t xml:space="preserve">G. Wild, J. Murray, G. Baxter, Exploring civil drone accidents and incidents to help prevent potential air disasters, Aerospace 3 (2016) 22. https://doi.org/</w:t>
      </w:r>
      <w:hyperlink r:id="rId97">
        <w:r>
          <w:rPr>
            <w:rStyle w:val="Hyperlink"/>
          </w:rPr>
          <w:t xml:space="preserve">10.3390/aerospace3030022</w:t>
        </w:r>
      </w:hyperlink>
      <w:r>
        <w:t xml:space="preserve">.</w:t>
      </w:r>
    </w:p>
    <w:bookmarkEnd w:id="98"/>
    <w:bookmarkStart w:id="99" w:name="_b513b568a9a02649a1ddc461a1dd01e876732a2"/>
    <w:p>
      <w:pPr>
        <w:pStyle w:val="Bibliography"/>
      </w:pPr>
      <w:r>
        <w:t xml:space="preserve">[12]</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99"/>
    <w:bookmarkStart w:id="101" w:name="_3541019a36f31423dbace231a12fca4d5e5f1ad"/>
    <w:p>
      <w:pPr>
        <w:pStyle w:val="Bibliography"/>
      </w:pPr>
      <w:r>
        <w:t xml:space="preserve">[13]</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100">
        <w:r>
          <w:rPr>
            <w:rStyle w:val="Hyperlink"/>
          </w:rPr>
          <w:t xml:space="preserve">10.1145/2382577.2382579</w:t>
        </w:r>
      </w:hyperlink>
      <w:r>
        <w:t xml:space="preserve">.</w:t>
      </w:r>
    </w:p>
    <w:bookmarkEnd w:id="101"/>
    <w:bookmarkStart w:id="103" w:name="_77239db318a405bdd9ca0cc5db74d4c41b2a03f"/>
    <w:p>
      <w:pPr>
        <w:pStyle w:val="Bibliography"/>
      </w:pPr>
      <w:r>
        <w:t xml:space="preserve">[14]</w:t>
      </w:r>
      <w:r>
        <w:t xml:space="preserve"> </w:t>
      </w:r>
      <w:r>
        <w:t xml:space="preserve">	</w:t>
      </w:r>
      <w:r>
        <w:t xml:space="preserve">S. Kapoor, A. Narayanan, Leakage and the reproducibility crisis in machine-learning-based science, Patterns 4 (2023) 100804. https://doi.org/</w:t>
      </w:r>
      <w:hyperlink r:id="rId102">
        <w:r>
          <w:rPr>
            <w:rStyle w:val="Hyperlink"/>
          </w:rPr>
          <w:t xml:space="preserve">10.1016/j.patter.2023.100804</w:t>
        </w:r>
      </w:hyperlink>
      <w:r>
        <w:t xml:space="preserve">.</w:t>
      </w:r>
    </w:p>
    <w:bookmarkEnd w:id="103"/>
    <w:bookmarkStart w:id="105"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4">
        <w:r>
          <w:rPr>
            <w:rStyle w:val="Hyperlink"/>
          </w:rPr>
          <w:t xml:space="preserve">10.1109/ICRA.2015.7140074</w:t>
        </w:r>
      </w:hyperlink>
      <w:r>
        <w:t xml:space="preserve">.</w:t>
      </w:r>
    </w:p>
    <w:bookmarkEnd w:id="105"/>
    <w:bookmarkStart w:id="106"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6"/>
    <w:bookmarkStart w:id="108" w:name="_f6e66cea9a1ea78573b548bc5cf8461c81300ca"/>
    <w:p>
      <w:pPr>
        <w:pStyle w:val="Bibliography"/>
      </w:pPr>
      <w:r>
        <w:t xml:space="preserve">[17]</w:t>
      </w:r>
      <w:r>
        <w:t xml:space="preserve"> </w:t>
      </w:r>
      <w:r>
        <w:t xml:space="preserve">	</w:t>
      </w:r>
      <w:r>
        <w:t xml:space="preserve">B.A. Nosek, C.R. Ebersole, A.C. DeHaven, D.T. Mellor, The preregistration revolution, Proceedings of the National Academy of Sciences 115 (2018) 2600–2606. https://doi.org/</w:t>
      </w:r>
      <w:hyperlink r:id="rId107">
        <w:r>
          <w:rPr>
            <w:rStyle w:val="Hyperlink"/>
          </w:rPr>
          <w:t xml:space="preserve">10.1073/pnas.1708274114</w:t>
        </w:r>
      </w:hyperlink>
      <w:r>
        <w:t xml:space="preserve">.</w:t>
      </w:r>
    </w:p>
    <w:bookmarkEnd w:id="108"/>
    <w:bookmarkStart w:id="109" w:name="_c1fc4b225b7dfa71f64cc84e83afba5f24698c2"/>
    <w:p>
      <w:pPr>
        <w:pStyle w:val="Bibliography"/>
      </w:pPr>
      <w:r>
        <w:t xml:space="preserve">[18]</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9"/>
    <w:bookmarkStart w:id="111" w:name="_3d31df3710cff81ff87ef6665f7295f981708a9"/>
    <w:p>
      <w:pPr>
        <w:pStyle w:val="Bibliography"/>
      </w:pPr>
      <w:r>
        <w:t xml:space="preserve">[19]</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10">
        <w:r>
          <w:rPr>
            <w:rStyle w:val="Hyperlink"/>
          </w:rPr>
          <w:t xml:space="preserve">10.3390/s26103188</w:t>
        </w:r>
      </w:hyperlink>
      <w:r>
        <w:t xml:space="preserve">.</w:t>
      </w:r>
    </w:p>
    <w:bookmarkEnd w:id="111"/>
    <w:bookmarkStart w:id="113" w:name="_de2316363361acc29c6a15415cb3110e85473cd"/>
    <w:p>
      <w:pPr>
        <w:pStyle w:val="Bibliography"/>
      </w:pPr>
      <w:r>
        <w:t xml:space="preserve">[20]</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12">
        <w:r>
          <w:rPr>
            <w:rStyle w:val="Hyperlink"/>
          </w:rPr>
          <w:t xml:space="preserve">10.3390/drones6110330</w:t>
        </w:r>
      </w:hyperlink>
      <w:r>
        <w:t xml:space="preserve">.</w:t>
      </w:r>
    </w:p>
    <w:bookmarkEnd w:id="113"/>
    <w:bookmarkStart w:id="115" w:name="_1ece912d6a7cc2c7f97bdecc84d0912f3af390e"/>
    <w:p>
      <w:pPr>
        <w:pStyle w:val="Bibliography"/>
      </w:pPr>
      <w:r>
        <w:t xml:space="preserve">[21]</w:t>
      </w:r>
      <w:r>
        <w:t xml:space="preserve"> </w:t>
      </w:r>
      <w:r>
        <w:t xml:space="preserve">	</w:t>
      </w:r>
      <w:r>
        <w:t xml:space="preserve">E. Khalastchi, M. Kalech, On fault detection and diagnosis in robotic systems, ACM Computing Surveys 51 (2018) 9:1–9:24. https://doi.org/</w:t>
      </w:r>
      <w:hyperlink r:id="rId114">
        <w:r>
          <w:rPr>
            <w:rStyle w:val="Hyperlink"/>
          </w:rPr>
          <w:t xml:space="preserve">10.1145/3146389</w:t>
        </w:r>
      </w:hyperlink>
      <w:r>
        <w:t xml:space="preserve">.</w:t>
      </w:r>
    </w:p>
    <w:bookmarkEnd w:id="115"/>
    <w:bookmarkStart w:id="117" w:name="_200a90d3af15f3f5a64a3cb8afd6783e6bc5c1d"/>
    <w:p>
      <w:pPr>
        <w:pStyle w:val="Bibliography"/>
      </w:pPr>
      <w:r>
        <w:t xml:space="preserve">[22]</w:t>
      </w:r>
      <w:r>
        <w:t xml:space="preserve"> </w:t>
      </w:r>
      <w:r>
        <w:t xml:space="preserve">	</w:t>
      </w:r>
      <w:r>
        <w:t xml:space="preserve">E. Zibaei, R. Borth, Building causal models for finding actual causes of unmanned aerial vehicle failures, Frontiers in Robotics and AI 11 (2024) 1123762. https://doi.org/</w:t>
      </w:r>
      <w:hyperlink r:id="rId116">
        <w:r>
          <w:rPr>
            <w:rStyle w:val="Hyperlink"/>
          </w:rPr>
          <w:t xml:space="preserve">10.3389/frobt.2024.1123762</w:t>
        </w:r>
      </w:hyperlink>
      <w:r>
        <w:t xml:space="preserve">.</w:t>
      </w:r>
    </w:p>
    <w:bookmarkEnd w:id="117"/>
    <w:bookmarkStart w:id="119" w:name="_362e51e11e30eb0e0461101d9c36e4d21d357be"/>
    <w:p>
      <w:pPr>
        <w:pStyle w:val="Bibliography"/>
      </w:pPr>
      <w:r>
        <w:t xml:space="preserve">[23]</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18">
        <w:r>
          <w:rPr>
            <w:rStyle w:val="Hyperlink"/>
          </w:rPr>
          <w:t xml:space="preserve">10.1145/3468264.3468559</w:t>
        </w:r>
      </w:hyperlink>
      <w:r>
        <w:t xml:space="preserve">.</w:t>
      </w:r>
    </w:p>
    <w:bookmarkEnd w:id="119"/>
    <w:bookmarkStart w:id="121" w:name="_4f9a794a6a4ddf2789379e73f8e74e34b9538b4"/>
    <w:p>
      <w:pPr>
        <w:pStyle w:val="Bibliography"/>
      </w:pPr>
      <w:r>
        <w:t xml:space="preserve">[24]</w:t>
      </w:r>
      <w:r>
        <w:t xml:space="preserve"> </w:t>
      </w:r>
      <w:r>
        <w:t xml:space="preserve">	</w:t>
      </w:r>
      <w:r>
        <w:t xml:space="preserve">E. Petritoli, F. Leccese, L. Ciani, Reliability and maintenance analysis of unmanned aerial vehicles, Sensors 18 (2018) 3171. https://doi.org/</w:t>
      </w:r>
      <w:hyperlink r:id="rId120">
        <w:r>
          <w:rPr>
            <w:rStyle w:val="Hyperlink"/>
          </w:rPr>
          <w:t xml:space="preserve">10.3390/s18093171</w:t>
        </w:r>
      </w:hyperlink>
      <w:r>
        <w:t xml:space="preserve">.</w:t>
      </w:r>
    </w:p>
    <w:bookmarkEnd w:id="121"/>
    <w:bookmarkStart w:id="122" w:name="_a0e369e89429aa426010697429f06415b068aab"/>
    <w:p>
      <w:pPr>
        <w:pStyle w:val="Bibliography"/>
      </w:pPr>
      <w:r>
        <w:t xml:space="preserve">[25]</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22"/>
    <w:bookmarkStart w:id="124" w:name="_06ffb55068ea9e0b3a7aa6e754cfcffab5f832f"/>
    <w:p>
      <w:pPr>
        <w:pStyle w:val="Bibliography"/>
      </w:pPr>
      <w:r>
        <w:t xml:space="preserve">[26]</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23">
        <w:r>
          <w:rPr>
            <w:rStyle w:val="Hyperlink"/>
          </w:rPr>
          <w:t xml:space="preserve">https://proceedings.mlr.press/v235/du24e.html</w:t>
        </w:r>
      </w:hyperlink>
      <w:r>
        <w:t xml:space="preserve">.</w:t>
      </w:r>
    </w:p>
    <w:bookmarkEnd w:id="124"/>
    <w:bookmarkStart w:id="126" w:name="_8a3cc11b1319c0fe6bf6179f8196eab503a64d0"/>
    <w:p>
      <w:pPr>
        <w:pStyle w:val="Bibliography"/>
      </w:pPr>
      <w:r>
        <w:t xml:space="preserve">[27]</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25">
        <w:r>
          <w:rPr>
            <w:rStyle w:val="Hyperlink"/>
          </w:rPr>
          <w:t xml:space="preserve">10.1145/3605764.3623985</w:t>
        </w:r>
      </w:hyperlink>
      <w:r>
        <w:t xml:space="preserve">.</w:t>
      </w:r>
    </w:p>
    <w:bookmarkEnd w:id="126"/>
    <w:bookmarkStart w:id="128" w:name="_ab8841c06958c924804c38799fc8ccd94ea102a"/>
    <w:p>
      <w:pPr>
        <w:pStyle w:val="Bibliography"/>
      </w:pPr>
      <w:r>
        <w:t xml:space="preserve">[28]</w:t>
      </w:r>
      <w:r>
        <w:t xml:space="preserve"> </w:t>
      </w:r>
      <w:r>
        <w:t xml:space="preserve">	</w:t>
      </w:r>
      <w:r>
        <w:t xml:space="preserve">B. Frénay, M. Verleysen, Classification in the presence of label noise: A survey, IEEE Transactions on Neural Networks and Learning Systems 25 (2014) 845–869. https://doi.org/</w:t>
      </w:r>
      <w:hyperlink r:id="rId127">
        <w:r>
          <w:rPr>
            <w:rStyle w:val="Hyperlink"/>
          </w:rPr>
          <w:t xml:space="preserve">10.1109/TNNLS.2013.2292894</w:t>
        </w:r>
      </w:hyperlink>
      <w:r>
        <w:t xml:space="preserve">.</w:t>
      </w:r>
    </w:p>
    <w:bookmarkEnd w:id="128"/>
    <w:bookmarkStart w:id="130" w:name="_90b58fdc380e5ffe19ed416545c54d06f184b09"/>
    <w:p>
      <w:pPr>
        <w:pStyle w:val="Bibliography"/>
      </w:pPr>
      <w:r>
        <w:t xml:space="preserve">[29]</w:t>
      </w:r>
      <w:r>
        <w:t xml:space="preserve"> </w:t>
      </w:r>
      <w:r>
        <w:t xml:space="preserve">	</w:t>
      </w:r>
      <w:r>
        <w:t xml:space="preserve">E.A. Stuart, Matching methods for causal inference: A review and a look forward, Statistical Science 25 (2010) 1–21. https://doi.org/</w:t>
      </w:r>
      <w:hyperlink r:id="rId129">
        <w:r>
          <w:rPr>
            <w:rStyle w:val="Hyperlink"/>
          </w:rPr>
          <w:t xml:space="preserve">10.1214/09-STS313</w:t>
        </w:r>
      </w:hyperlink>
      <w:r>
        <w:t xml:space="preserve">.</w:t>
      </w:r>
    </w:p>
    <w:bookmarkEnd w:id="130"/>
    <w:bookmarkStart w:id="132" w:name="_73ca53b3200da47e1a054effa9b6f4174075f9a"/>
    <w:p>
      <w:pPr>
        <w:pStyle w:val="Bibliography"/>
      </w:pPr>
      <w:r>
        <w:t xml:space="preserve">[30]</w:t>
      </w:r>
      <w:r>
        <w:t xml:space="preserve"> </w:t>
      </w:r>
      <w:r>
        <w:t xml:space="preserve">	</w:t>
      </w:r>
      <w:r>
        <w:t xml:space="preserve">A. Aamodt, E. Plaza, Case-based reasoning: Foundational issues, methodological variations, and system approaches, AI Communications 7 (1994) 39–59. https://doi.org/</w:t>
      </w:r>
      <w:hyperlink r:id="rId131">
        <w:r>
          <w:rPr>
            <w:rStyle w:val="Hyperlink"/>
          </w:rPr>
          <w:t xml:space="preserve">10.3233/AIC-1994-7104</w:t>
        </w:r>
      </w:hyperlink>
      <w:r>
        <w:t xml:space="preserve">.</w:t>
      </w:r>
    </w:p>
    <w:bookmarkEnd w:id="132"/>
    <w:bookmarkStart w:id="134" w:name="_aa8360ba2eb3daad7a46f1986f0c2c353067603"/>
    <w:p>
      <w:pPr>
        <w:pStyle w:val="Bibliography"/>
      </w:pPr>
      <w:r>
        <w:t xml:space="preserve">[31]</w:t>
      </w:r>
      <w:r>
        <w:t xml:space="preserve"> </w:t>
      </w:r>
      <w:r>
        <w:t xml:space="preserve">	</w:t>
      </w:r>
      <w:r>
        <w:t xml:space="preserve">S. Robertson, H. Zaragoza, The probabilistic relevance framework:</w:t>
      </w:r>
      <w:r>
        <w:t xml:space="preserve"> </w:t>
      </w:r>
      <w:r>
        <w:t xml:space="preserve">BM25</w:t>
      </w:r>
      <w:r>
        <w:t xml:space="preserve"> </w:t>
      </w:r>
      <w:r>
        <w:t xml:space="preserve">and beyond, Foundations and Trends in Information Retrieval 3 (2009) 333–389. https://doi.org/</w:t>
      </w:r>
      <w:hyperlink r:id="rId133">
        <w:r>
          <w:rPr>
            <w:rStyle w:val="Hyperlink"/>
          </w:rPr>
          <w:t xml:space="preserve">10.1561/1500000019</w:t>
        </w:r>
      </w:hyperlink>
      <w:r>
        <w:t xml:space="preserve">.</w:t>
      </w:r>
    </w:p>
    <w:bookmarkEnd w:id="134"/>
    <w:bookmarkStart w:id="136" w:name="_587a2a13103f5a9c7c9f5fbc8ef0c5dfd686e3c"/>
    <w:p>
      <w:pPr>
        <w:pStyle w:val="Bibliography"/>
      </w:pPr>
      <w:r>
        <w:t xml:space="preserve">[32]</w:t>
      </w:r>
      <w:r>
        <w:t xml:space="preserve"> </w:t>
      </w:r>
      <w:r>
        <w:t xml:space="preserve">	</w:t>
      </w:r>
      <w:r>
        <w:t xml:space="preserve">R. Stoakley, M.J. Conway, R. Pausch, Virtual reality on a</w:t>
      </w:r>
      <w:r>
        <w:t xml:space="preserve"> </w:t>
      </w:r>
      <w:r>
        <w:t xml:space="preserve">WIM</w:t>
      </w:r>
      <w:r>
        <w:t xml:space="preserve">: Interactive worlds in miniature, in: Proceedings of the SIGCHI Conference on Human Factors in Computing Systems (CHI ’95), 1995: pp. 265–272. https://doi.org/</w:t>
      </w:r>
      <w:hyperlink r:id="rId135">
        <w:r>
          <w:rPr>
            <w:rStyle w:val="Hyperlink"/>
          </w:rPr>
          <w:t xml:space="preserve">10.1145/223904.223938</w:t>
        </w:r>
      </w:hyperlink>
      <w:r>
        <w:t xml:space="preserve">.</w:t>
      </w:r>
    </w:p>
    <w:bookmarkEnd w:id="136"/>
    <w:bookmarkStart w:id="138" w:name="_ad8397d41f792404ea3ffa2c2145e851561e0cf"/>
    <w:p>
      <w:pPr>
        <w:pStyle w:val="Bibliography"/>
      </w:pPr>
      <w:r>
        <w:t xml:space="preserve">[33]</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37">
        <w:r>
          <w:rPr>
            <w:rStyle w:val="Hyperlink"/>
          </w:rPr>
          <w:t xml:space="preserve">10.1148/radiology.143.1.7063747</w:t>
        </w:r>
      </w:hyperlink>
      <w:r>
        <w:t xml:space="preserve">.</w:t>
      </w:r>
    </w:p>
    <w:bookmarkEnd w:id="138"/>
    <w:bookmarkStart w:id="140" w:name="_7ae2e06bcfe80442633569f5f6b1e21460598cb"/>
    <w:p>
      <w:pPr>
        <w:pStyle w:val="Bibliography"/>
      </w:pPr>
      <w:r>
        <w:t xml:space="preserve">[34]</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39">
        <w:r>
          <w:rPr>
            <w:rStyle w:val="Hyperlink"/>
          </w:rPr>
          <w:t xml:space="preserve">10.1214/aoms/1177730491</w:t>
        </w:r>
      </w:hyperlink>
      <w:r>
        <w:t xml:space="preserve">.</w:t>
      </w:r>
    </w:p>
    <w:bookmarkEnd w:id="140"/>
    <w:bookmarkStart w:id="141" w:name="_d0a9d29bfb3d63b968b17ba95db409a8b61dfda"/>
    <w:p>
      <w:pPr>
        <w:pStyle w:val="Bibliography"/>
      </w:pPr>
      <w:r>
        <w:t xml:space="preserve">[35]</w:t>
      </w:r>
      <w:r>
        <w:t xml:space="preserve"> </w:t>
      </w:r>
      <w:r>
        <w:t xml:space="preserve">	</w:t>
      </w:r>
      <w:r>
        <w:t xml:space="preserve">B. Efron, R.J. Tibshirani, An introduction to the bootstrap, Chapman &amp; Hall, New York, 1993.</w:t>
      </w:r>
    </w:p>
    <w:bookmarkEnd w:id="141"/>
    <w:bookmarkStart w:id="143" w:name="_89a013c1487ff07275d04a7e5b79d7551b6a9f6"/>
    <w:p>
      <w:pPr>
        <w:pStyle w:val="Bibliography"/>
      </w:pPr>
      <w:r>
        <w:t xml:space="preserve">[36]</w:t>
      </w:r>
      <w:r>
        <w:t xml:space="preserve"> </w:t>
      </w:r>
      <w:r>
        <w:t xml:space="preserve">	</w:t>
      </w:r>
      <w:r>
        <w:t xml:space="preserve">S. Holm, A simple sequentially rejective multiple test procedure, Scandinavian Journal of Statistics 6 (1979) 65–70.</w:t>
      </w:r>
      <w:r>
        <w:t xml:space="preserve"> </w:t>
      </w:r>
      <w:hyperlink r:id="rId142">
        <w:r>
          <w:rPr>
            <w:rStyle w:val="Hyperlink"/>
          </w:rPr>
          <w:t xml:space="preserve">https://www.jstor.org/stable/4615733</w:t>
        </w:r>
      </w:hyperlink>
      <w:r>
        <w:t xml:space="preserve">.</w:t>
      </w:r>
    </w:p>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image" Target="media/rId55.png"/><Relationship Id="rId39" Type="http://schemas.openxmlformats.org/officeDocument/2006/relationships/image" Target="media/rId39.png"/><Relationship Id="rId76" Type="http://schemas.openxmlformats.org/officeDocument/2006/relationships/image" Target="media/rId76.png"/><Relationship Id="rId49" Type="http://schemas.openxmlformats.org/officeDocument/2006/relationships/image" Target="media/rId49.png"/><Relationship Id="rId32" Type="http://schemas.openxmlformats.org/officeDocument/2006/relationships/image" Target="media/rId32.png"/><Relationship Id="rId17" Type="http://schemas.openxmlformats.org/officeDocument/2006/relationships/image" Target="media/rId17.png"/><Relationship Id="rId44" Type="http://schemas.openxmlformats.org/officeDocument/2006/relationships/image" Target="media/rId44.png"/><Relationship Id="rId89" Type="http://schemas.openxmlformats.org/officeDocument/2006/relationships/hyperlink" Target="https://doi.org/10.1016/j.fsidi.2026.302051" TargetMode="External"/><Relationship Id="rId102" Type="http://schemas.openxmlformats.org/officeDocument/2006/relationships/hyperlink" Target="https://doi.org/10.1016/j.patter.2023.100804" TargetMode="External"/><Relationship Id="rId107" Type="http://schemas.openxmlformats.org/officeDocument/2006/relationships/hyperlink" Target="https://doi.org/10.1073/pnas.1708274114" TargetMode="External"/><Relationship Id="rId104" Type="http://schemas.openxmlformats.org/officeDocument/2006/relationships/hyperlink" Target="https://doi.org/10.1109/ICRA.2015.7140074" TargetMode="External"/><Relationship Id="rId87" Type="http://schemas.openxmlformats.org/officeDocument/2006/relationships/hyperlink" Target="https://doi.org/10.1109/ICSE55347.2025.00223" TargetMode="External"/><Relationship Id="rId127" Type="http://schemas.openxmlformats.org/officeDocument/2006/relationships/hyperlink" Target="https://doi.org/10.1109/TNNLS.2013.2292894" TargetMode="External"/><Relationship Id="rId135" Type="http://schemas.openxmlformats.org/officeDocument/2006/relationships/hyperlink" Target="https://doi.org/10.1145/223904.223938" TargetMode="External"/><Relationship Id="rId100" Type="http://schemas.openxmlformats.org/officeDocument/2006/relationships/hyperlink" Target="https://doi.org/10.1145/2382577.2382579" TargetMode="External"/><Relationship Id="rId114" Type="http://schemas.openxmlformats.org/officeDocument/2006/relationships/hyperlink" Target="https://doi.org/10.1145/3146389" TargetMode="External"/><Relationship Id="rId118" Type="http://schemas.openxmlformats.org/officeDocument/2006/relationships/hyperlink" Target="https://doi.org/10.1145/3468264.3468559" TargetMode="External"/><Relationship Id="rId125" Type="http://schemas.openxmlformats.org/officeDocument/2006/relationships/hyperlink" Target="https://doi.org/10.1145/3605764.3623985" TargetMode="External"/><Relationship Id="rId137" Type="http://schemas.openxmlformats.org/officeDocument/2006/relationships/hyperlink" Target="https://doi.org/10.1148/radiology.143.1.7063747" TargetMode="External"/><Relationship Id="rId92" Type="http://schemas.openxmlformats.org/officeDocument/2006/relationships/hyperlink" Target="https://doi.org/10.1177/0278364920966642" TargetMode="External"/><Relationship Id="rId94" Type="http://schemas.openxmlformats.org/officeDocument/2006/relationships/hyperlink" Target="https://doi.org/10.1177/02783649241305153" TargetMode="External"/><Relationship Id="rId129" Type="http://schemas.openxmlformats.org/officeDocument/2006/relationships/hyperlink" Target="https://doi.org/10.1214/09-STS313" TargetMode="External"/><Relationship Id="rId139" Type="http://schemas.openxmlformats.org/officeDocument/2006/relationships/hyperlink" Target="https://doi.org/10.1214/aoms/1177730491" TargetMode="External"/><Relationship Id="rId133" Type="http://schemas.openxmlformats.org/officeDocument/2006/relationships/hyperlink" Target="https://doi.org/10.1561/1500000019" TargetMode="External"/><Relationship Id="rId131" Type="http://schemas.openxmlformats.org/officeDocument/2006/relationships/hyperlink" Target="https://doi.org/10.3233/AIC-1994-7104" TargetMode="External"/><Relationship Id="rId116" Type="http://schemas.openxmlformats.org/officeDocument/2006/relationships/hyperlink" Target="https://doi.org/10.3389/frobt.2024.1123762" TargetMode="External"/><Relationship Id="rId97" Type="http://schemas.openxmlformats.org/officeDocument/2006/relationships/hyperlink" Target="https://doi.org/10.3390/aerospace3030022" TargetMode="External"/><Relationship Id="rId112" Type="http://schemas.openxmlformats.org/officeDocument/2006/relationships/hyperlink" Target="https://doi.org/10.3390/drones6110330" TargetMode="External"/><Relationship Id="rId120" Type="http://schemas.openxmlformats.org/officeDocument/2006/relationships/hyperlink" Target="https://doi.org/10.3390/s18093171" TargetMode="External"/><Relationship Id="rId110" Type="http://schemas.openxmlformats.org/officeDocument/2006/relationships/hyperlink" Target="https://doi.org/10.3390/s26103188" TargetMode="External"/><Relationship Id="rId70" Type="http://schemas.openxmlformats.org/officeDocument/2006/relationships/hyperlink" Target="https://github.com/AdityaPathare46/aerofleet" TargetMode="External"/><Relationship Id="rId123" Type="http://schemas.openxmlformats.org/officeDocument/2006/relationships/hyperlink" Target="https://proceedings.mlr.press/v235/du24e.html" TargetMode="External"/><Relationship Id="rId142" Type="http://schemas.openxmlformats.org/officeDocument/2006/relationships/hyperlink" Target="https://www.jstor.org/stable/4615733"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doi.org/10.1016/j.fsidi.2026.302051" TargetMode="External"/><Relationship Id="rId102" Type="http://schemas.openxmlformats.org/officeDocument/2006/relationships/hyperlink" Target="https://doi.org/10.1016/j.patter.2023.100804" TargetMode="External"/><Relationship Id="rId107" Type="http://schemas.openxmlformats.org/officeDocument/2006/relationships/hyperlink" Target="https://doi.org/10.1073/pnas.1708274114" TargetMode="External"/><Relationship Id="rId104" Type="http://schemas.openxmlformats.org/officeDocument/2006/relationships/hyperlink" Target="https://doi.org/10.1109/ICRA.2015.7140074" TargetMode="External"/><Relationship Id="rId87" Type="http://schemas.openxmlformats.org/officeDocument/2006/relationships/hyperlink" Target="https://doi.org/10.1109/ICSE55347.2025.00223" TargetMode="External"/><Relationship Id="rId127" Type="http://schemas.openxmlformats.org/officeDocument/2006/relationships/hyperlink" Target="https://doi.org/10.1109/TNNLS.2013.2292894" TargetMode="External"/><Relationship Id="rId135" Type="http://schemas.openxmlformats.org/officeDocument/2006/relationships/hyperlink" Target="https://doi.org/10.1145/223904.223938" TargetMode="External"/><Relationship Id="rId100" Type="http://schemas.openxmlformats.org/officeDocument/2006/relationships/hyperlink" Target="https://doi.org/10.1145/2382577.2382579" TargetMode="External"/><Relationship Id="rId114" Type="http://schemas.openxmlformats.org/officeDocument/2006/relationships/hyperlink" Target="https://doi.org/10.1145/3146389" TargetMode="External"/><Relationship Id="rId118" Type="http://schemas.openxmlformats.org/officeDocument/2006/relationships/hyperlink" Target="https://doi.org/10.1145/3468264.3468559" TargetMode="External"/><Relationship Id="rId125" Type="http://schemas.openxmlformats.org/officeDocument/2006/relationships/hyperlink" Target="https://doi.org/10.1145/3605764.3623985" TargetMode="External"/><Relationship Id="rId137" Type="http://schemas.openxmlformats.org/officeDocument/2006/relationships/hyperlink" Target="https://doi.org/10.1148/radiology.143.1.7063747" TargetMode="External"/><Relationship Id="rId92" Type="http://schemas.openxmlformats.org/officeDocument/2006/relationships/hyperlink" Target="https://doi.org/10.1177/0278364920966642" TargetMode="External"/><Relationship Id="rId94" Type="http://schemas.openxmlformats.org/officeDocument/2006/relationships/hyperlink" Target="https://doi.org/10.1177/02783649241305153" TargetMode="External"/><Relationship Id="rId129" Type="http://schemas.openxmlformats.org/officeDocument/2006/relationships/hyperlink" Target="https://doi.org/10.1214/09-STS313" TargetMode="External"/><Relationship Id="rId139" Type="http://schemas.openxmlformats.org/officeDocument/2006/relationships/hyperlink" Target="https://doi.org/10.1214/aoms/1177730491" TargetMode="External"/><Relationship Id="rId133" Type="http://schemas.openxmlformats.org/officeDocument/2006/relationships/hyperlink" Target="https://doi.org/10.1561/1500000019" TargetMode="External"/><Relationship Id="rId131" Type="http://schemas.openxmlformats.org/officeDocument/2006/relationships/hyperlink" Target="https://doi.org/10.3233/AIC-1994-7104" TargetMode="External"/><Relationship Id="rId116" Type="http://schemas.openxmlformats.org/officeDocument/2006/relationships/hyperlink" Target="https://doi.org/10.3389/frobt.2024.1123762" TargetMode="External"/><Relationship Id="rId97" Type="http://schemas.openxmlformats.org/officeDocument/2006/relationships/hyperlink" Target="https://doi.org/10.3390/aerospace3030022" TargetMode="External"/><Relationship Id="rId112" Type="http://schemas.openxmlformats.org/officeDocument/2006/relationships/hyperlink" Target="https://doi.org/10.3390/drones6110330" TargetMode="External"/><Relationship Id="rId120" Type="http://schemas.openxmlformats.org/officeDocument/2006/relationships/hyperlink" Target="https://doi.org/10.3390/s18093171" TargetMode="External"/><Relationship Id="rId110" Type="http://schemas.openxmlformats.org/officeDocument/2006/relationships/hyperlink" Target="https://doi.org/10.3390/s26103188" TargetMode="External"/><Relationship Id="rId70" Type="http://schemas.openxmlformats.org/officeDocument/2006/relationships/hyperlink" Target="https://github.com/AdityaPathare46/aerofleet" TargetMode="External"/><Relationship Id="rId123" Type="http://schemas.openxmlformats.org/officeDocument/2006/relationships/hyperlink" Target="https://proceedings.mlr.press/v235/du24e.html" TargetMode="External"/><Relationship Id="rId142"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2026-10-25T11:47:31Z</dcterms:created>
  <dcterms:modified xsi:type="dcterms:W3CDTF">2026-10-25T11:47:31Z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