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Using 590 PX4 crash logs from a 479,547-flight archive, we test what telemetry shows under leakage and confounding controls. Confirmatory tests were declared in version control (</w:t>
      </w:r>
      <m:oMath>
        <m:sSup>
          <m:e>
            <m:r>
              <m:t>​</m:t>
            </m:r>
          </m:e>
          <m:sup>
            <m:r>
              <m:rPr>
                <m:sty m:val="p"/>
              </m:rPr>
              <m:t>†</m:t>
            </m:r>
          </m:sup>
        </m:sSup>
      </m:oMath>
      <w:r>
        <w:t xml:space="preserve">marks review additions). A fixed attribution rule reached 0.47 balanced accuracy on 112 held-out crashes (pass mark 0.70).</w:t>
      </w:r>
      <w:r>
        <w:t xml:space="preserve"> </w:t>
      </w:r>
      <m:oMath>
        <m:sSup>
          <m:e>
            <m:r>
              <m:t>​</m:t>
            </m:r>
          </m:e>
          <m:sup>
            <m:r>
              <m:rPr>
                <m:sty m:val="p"/>
              </m:rPr>
              <m:t>†</m:t>
            </m:r>
          </m:sup>
        </m:sSup>
      </m:oMath>
      <w:r>
        <w:t xml:space="preserve">Models gave AUCs 0.41–0.50 (upper bounds</w:t>
      </w:r>
      <w:r>
        <w:t xml:space="preserve"> </w:t>
      </w:r>
      <m:oMath>
        <m:r>
          <m:rPr>
            <m:sty m:val="p"/>
          </m:rPr>
          <m:t>≤</m:t>
        </m:r>
        <m:r>
          <m:t>0.62</m:t>
        </m:r>
      </m:oMath>
      <w:r>
        <w:t xml:space="preserve">); with 36 pilot-labelled crashes, 80% power requires AUC</w:t>
      </w:r>
      <w:r>
        <w:t xml:space="preserve"> </w:t>
      </w:r>
      <m:oMath>
        <m:r>
          <m:rPr>
            <m:sty m:val="p"/>
          </m:rPr>
          <m:t>≈</m:t>
        </m:r>
        <m:r>
          <m:t>0.65</m:t>
        </m:r>
      </m:oMath>
      <w:r>
        <w:t xml:space="preserve">, below the</w:t>
      </w:r>
      <w:r>
        <w:t xml:space="preserve"> </w:t>
      </w:r>
      <m:oMath>
        <m:r>
          <m:rPr>
            <m:sty m:val="p"/>
          </m:rPr>
          <m:t>≈</m:t>
        </m:r>
        <m:r>
          <m:t>0.8</m:t>
        </m:r>
      </m:oMath>
      <w:r>
        <w:t xml:space="preserve"> </w:t>
      </w:r>
      <w:r>
        <w:t xml:space="preserve">operational verdicts need.</w:t>
      </w:r>
      <w:r>
        <w:t xml:space="preserve"> </w:t>
      </w:r>
      <m:oMath>
        <m:sSup>
          <m:e>
            <m:r>
              <m:t>​</m:t>
            </m:r>
          </m:e>
          <m:sup>
            <m:r>
              <m:rPr>
                <m:sty m:val="p"/>
              </m:rPr>
              <m:t>†</m:t>
            </m:r>
          </m:sup>
        </m:sSup>
      </m:oMath>
      <w:r>
        <w:t xml:space="preserve">On 43 expert logs the rule was inconclusive (balanced accuracy 0.381, 95% CrI 0.25–0.61; pilot recall 1 of 5).</w:t>
      </w:r>
      <w:r>
        <w:t xml:space="preserve"> </w:t>
      </w:r>
      <m:oMath>
        <m:sSup>
          <m:e>
            <m:r>
              <m:t>​</m:t>
            </m:r>
          </m:e>
          <m:sup>
            <m:r>
              <m:rPr>
                <m:sty m:val="p"/>
              </m:rPr>
              <m:t>†</m:t>
            </m:r>
          </m:sup>
        </m:sSup>
      </m:oMath>
      <w:r>
        <w:t xml:space="preserve">A factorial audit of 32 evaluation settings found that apparent anticipation depends on the comparison set; the cause is not isolated. AUC fell 0.21 [0.06, 0.34] across other-aircraft settings (0.88 to 0.67); only vehicle-grouped folds were material (0.06 [0.03, 0.09]).</w:t>
      </w:r>
      <w:r>
        <w:t xml:space="preserve"> </w:t>
      </w:r>
      <m:oMath>
        <m:sSup>
          <m:e>
            <m:r>
              <m:t>​</m:t>
            </m:r>
          </m:e>
          <m:sup>
            <m:r>
              <m:rPr>
                <m:sty m:val="p"/>
              </m:rPr>
              <m:t>†</m:t>
            </m:r>
          </m:sup>
        </m:sSup>
      </m:oMath>
      <w:r>
        <w:t xml:space="preserve">85 of 210 crash-day</w:t>
      </w:r>
      <w:r>
        <w:t xml:space="preserve"> </w:t>
      </w:r>
      <w:r>
        <w:t xml:space="preserve">“earlier”</w:t>
      </w:r>
      <w:r>
        <w:t xml:space="preserve"> </w:t>
      </w:r>
      <w:r>
        <w:t xml:space="preserve">flights were flown after the crash; without them, a drone’s own earlier flights gave at most a weak signal (AUC 0.582 [0.525, 0.660] on stored features, 0.507 [0.436, 0.582] recomputed), and an apparent duration-caliper lift vanished (</w:t>
      </w:r>
      <m:oMath>
        <m:r>
          <m:rPr>
            <m:sty m:val="p"/>
          </m:rPr>
          <m:t>+</m:t>
        </m:r>
        <m:r>
          <m:t>0.063</m:t>
        </m:r>
      </m:oMath>
      <w:r>
        <w:t xml:space="preserve"> </w:t>
      </w:r>
      <w:r>
        <w:t xml:space="preserve">[</w:t>
      </w:r>
      <m:oMath>
        <m:r>
          <m:rPr>
            <m:sty m:val="p"/>
          </m:rPr>
          <m:t>−</m:t>
        </m:r>
        <m:r>
          <m:t>0.087</m:t>
        </m:r>
      </m:oMath>
      <w:r>
        <w:t xml:space="preserve">, +0.159]).</w:t>
      </w:r>
      <w:r>
        <w:t xml:space="preserve"> </w:t>
      </w:r>
      <m:oMath>
        <m:sSup>
          <m:e>
            <m:r>
              <m:t>​</m:t>
            </m:r>
          </m:e>
          <m:sup>
            <m:r>
              <m:rPr>
                <m:sty m:val="p"/>
              </m:rPr>
              <m:t>†</m:t>
            </m:r>
          </m:sup>
        </m:sSup>
      </m:oMath>
      <w:r>
        <w:t xml:space="preserve">Tuning-check sensitivity fell from 7/9 to 1/9 without the final 10 s (exploratory, unadjusted</w:t>
      </w:r>
      <w:r>
        <w:t xml:space="preserve"> </w:t>
      </w:r>
      <m:oMath>
        <m:r>
          <m:t>p</m:t>
        </m:r>
        <m:r>
          <m:rPr>
            <m:sty m:val="p"/>
          </m:rPr>
          <m:t>=</m:t>
        </m:r>
        <m:r>
          <m:t>0.031</m:t>
        </m:r>
      </m:oMath>
      <w:r>
        <w:t xml:space="preserve">; normal false alarms 13% to 5%), consistent with leakage. Crashed drones vibrated more on older estimator metrics (mean rank 0.67, Holm</w:t>
      </w:r>
      <w:r>
        <w:t xml:space="preserve"> </w:t>
      </w:r>
      <m:oMath>
        <m:r>
          <m:t>p</m:t>
        </m:r>
        <m:r>
          <m:rPr>
            <m:sty m:val="p"/>
          </m:rPr>
          <m:t>=</m:t>
        </m:r>
        <m:r>
          <m:t>0.016</m:t>
        </m:r>
      </m:oMath>
      <w:r>
        <w:t xml:space="preserve">;</w:t>
      </w:r>
      <w:r>
        <w:t xml:space="preserve"> </w:t>
      </w:r>
      <m:oMath>
        <m:sSup>
          <m:e>
            <m:r>
              <m:t>​</m:t>
            </m:r>
          </m:e>
          <m:sup>
            <m:r>
              <m:rPr>
                <m:sty m:val="p"/>
              </m:rPr>
              <m:t>†</m:t>
            </m:r>
          </m:sup>
        </m:sSup>
      </m:oMath>
      <w:r>
        <w:t xml:space="preserve">0.70 without 47 exposure flights flown after the crash; newer metrics inconclusive,</w:t>
      </w:r>
      <w:r>
        <w:t xml:space="preserve"> </w:t>
      </w:r>
      <m:oMath>
        <m:r>
          <m:t>p</m:t>
        </m:r>
        <m:r>
          <m:rPr>
            <m:sty m:val="p"/>
          </m:rPr>
          <m:t>=</m:t>
        </m:r>
        <m:r>
          <m:t>0.25</m:t>
        </m:r>
      </m:oMath>
      <w:r>
        <w:t xml:space="preserve">).</w:t>
      </w:r>
      <w:r>
        <w:t xml:space="preserve"> </w:t>
      </w:r>
      <m:oMath>
        <m:sSup>
          <m:e>
            <m:r>
              <m:t>​</m:t>
            </m:r>
          </m:e>
          <m:sup>
            <m:r>
              <m:rPr>
                <m:sty m:val="p"/>
              </m:rPr>
              <m:t>†</m:t>
            </m:r>
          </m:sup>
        </m:sSup>
      </m:oMath>
      <w:r>
        <w:t xml:space="preserve">Against 107 controls, screening gave</w:t>
      </w:r>
      <w:r>
        <w:t xml:space="preserve"> </w:t>
      </w:r>
      <m:oMath>
        <m:r>
          <m:t>3.3</m:t>
        </m:r>
        <m:r>
          <m:rPr>
            <m:sty m:val="p"/>
          </m:rPr>
          <m:t>×</m:t>
        </m:r>
      </m:oMath>
      <w:r>
        <w:t xml:space="preserve"> </w:t>
      </w:r>
      <w:r>
        <w:t xml:space="preserve">lift (illustrative PPV 2.26–2.43% at 10% flag rate). AeroFleet 2.0 shows longitudinal evidence without automatic verdicts.</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t>
      </w:r>
      <m:oMath>
        <m:sSup>
          <m:e>
            <m:r>
              <m:t>​</m:t>
            </m:r>
          </m:e>
          <m:sup>
            <m:r>
              <m:rPr>
                <m:sty m:val="p"/>
              </m:rPr>
              <m:t>†</m:t>
            </m:r>
          </m:sup>
        </m:sSup>
      </m:oMath>
      <w:r>
        <w:t xml:space="preserve">A factorial optimism audit that splits the apparent crash-vs-normal AUC across five evaluation choices (crash set, comparison flights, crash-window cut, fold grouping, window length; 32 settings, one feature extractor, exact Shapley split). Of a 0.21 [0.06, 0.34] drop from the most optimistic to the most conservative other-aircraft setting (0.88 to 0.67), only vehicle-grouped folds contributed materially (0.06 [0.03, 0.09]); the crash set and the choice of normal flights each carried 0.06–0.07 with intervals spanning zero, so the cause of the remaining drop is not isolated. Separation against other aircraft persisted at 0.67; comparing each drone with its own earlier flights brought it to chance. A GPS-time audit found that 85 of 210 crash-day</w:t>
      </w:r>
      <w:r>
        <w:t xml:space="preserve"> </w:t>
      </w:r>
      <w:r>
        <w:t xml:space="preserve">“earlier”</w:t>
      </w:r>
      <w:r>
        <w:t xml:space="preserve"> </w:t>
      </w:r>
      <w:r>
        <w:t xml:space="preserve">flights had been flown after the crash. Without them, single-feature rank tests still show no within-drone warning (</w:t>
      </w:r>
      <m:oMath>
        <m:acc>
          <m:accPr>
            <m:chr m:val="‾"/>
          </m:accPr>
          <m:e>
            <m:r>
              <m:t>r</m:t>
            </m:r>
          </m:e>
        </m:acc>
        <m:r>
          <m:rPr>
            <m:sty m:val="p"/>
          </m:rPr>
          <m:t>=</m:t>
        </m:r>
        <m:r>
          <m:t>0.49</m:t>
        </m:r>
      </m:oMath>
      <w:r>
        <w:t xml:space="preserve"> </w:t>
      </w:r>
      <w:r>
        <w:t xml:space="preserve">and 0.55,</w:t>
      </w:r>
      <w:r>
        <w:t xml:space="preserve"> </w:t>
      </w:r>
      <m:oMath>
        <m:r>
          <m:t>p</m:t>
        </m:r>
        <m:r>
          <m:rPr>
            <m:sty m:val="p"/>
          </m:rPr>
          <m:t>≥</m:t>
        </m:r>
        <m:r>
          <m:t>0.21</m:t>
        </m:r>
      </m:oMath>
      <w:r>
        <w:t xml:space="preserve">), the within-drone model gives at most a weak signal (0.582 [0.525, 0.660] on stored features; 0.507 [0.436, 0.582] on recomputed features), and the duration-caliper lift reported in earlier versions (</w:t>
      </w:r>
      <m:oMath>
        <m:r>
          <m:rPr>
            <m:sty m:val="p"/>
          </m:rPr>
          <m:t>+</m:t>
        </m:r>
        <m:r>
          <m:t>0.110</m:t>
        </m:r>
      </m:oMath>
      <w:r>
        <w:t xml:space="preserve"> </w:t>
      </w:r>
      <w:r>
        <w:t xml:space="preserve">[+0.028, +0.205]) is no longer distinguishable from zero (</w:t>
      </w:r>
      <m:oMath>
        <m:r>
          <m:rPr>
            <m:sty m:val="p"/>
          </m:rPr>
          <m:t>+</m:t>
        </m:r>
        <m:r>
          <m:t>0.086</m:t>
        </m:r>
      </m:oMath>
      <w:r>
        <w:t xml:space="preserve"> </w:t>
      </w:r>
      <w:r>
        <w:t xml:space="preserve">[</w:t>
      </w:r>
      <m:oMath>
        <m:r>
          <m:rPr>
            <m:sty m:val="p"/>
          </m:rPr>
          <m:t>−</m:t>
        </m:r>
        <m:r>
          <m:t>0.064</m:t>
        </m:r>
      </m:oMath>
      <w:r>
        <w:t xml:space="preserve">, +0.184], 24 airframes), so we withdraw the reading that duration differences mask precursors.</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only 36 pilot-labelled crashes in the modelling sample, 80% power requires an AUC of roughly 0.65 under asymptotic theory (0.75 under the empirical permutation null), far below the roughly 0.8 an operational attribution verdict requires. Agreement</w:t>
      </w:r>
      <w:r>
        <w:t xml:space="preserve"> </w:t>
      </w:r>
      <w:r>
        <w:t xml:space="preserve">with expert forum diagnoses was statistically inconclusive (balanced accuracy 0.381, 95% CrI 0.25–0.61, conservative class-averaged bound 0.19–0.73; cannot exclude agreement at the declared 0.70 pass mark; pilot recall 1 of 5).</w:t>
      </w:r>
      <w:r>
        <w:t xml:space="preserve"> </w:t>
      </w:r>
      <w:r>
        <w:t xml:space="preserve">Our prospectively declared negative result applies to the heuristic rule (balanced accuracy 0.47 on 112 held-out crashes) and to linear models and decision stumps; exploratory depth-3 decision trees across all cut-offs yielded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(the intervals at</w:t>
      </w:r>
      <w:r>
        <w:t xml:space="preserve"> </w:t>
      </w:r>
      <m:oMath>
        <m:r>
          <m:t>m</m:t>
        </m:r>
        <m:r>
          <m:rPr>
            <m:sty m:val="p"/>
          </m:rPr>
          <m:t>=</m:t>
        </m:r>
        <m:r>
          <m:t>0</m:t>
        </m:r>
      </m:oMath>
      <w:r>
        <w:t xml:space="preserve">–5 s overlap, so their differences are sampling noise; upper bounds at</w:t>
      </w:r>
      <w:r>
        <w:t xml:space="preserve"> </w:t>
      </w:r>
      <m:oMath>
        <m:r>
          <m:t>m</m:t>
        </m:r>
        <m:r>
          <m:rPr>
            <m:sty m:val="p"/>
          </m:rPr>
          <m:t>≥</m:t>
        </m:r>
        <m:r>
          <m:t>10</m:t>
        </m:r>
      </m:oMath>
      <w:r>
        <w:t xml:space="preserve"> s are 0.519–0.604, giving no evidence of non-linear separation, though not ruling it out). Furthermore, apparent diagnostic check accuracy</w:t>
      </w:r>
      <w:r>
        <w:t xml:space="preserve"> </w:t>
      </w:r>
      <w:r>
        <w:t xml:space="preserve">is consistent with crash-window leakage (as an exploratory illustration, tuning check sensitivity fell from 7/9 to 1/9, unadjusted</w:t>
      </w:r>
      <w:r>
        <w:t xml:space="preserve"> </w:t>
      </w:r>
      <m:oMath>
        <m:r>
          <m:t>p</m:t>
        </m:r>
        <m:r>
          <m:rPr>
            <m:sty m:val="p"/>
          </m:rPr>
          <m:t>=</m:t>
        </m:r>
        <m:r>
          <m:t>0.031</m:t>
        </m:r>
      </m:oMath>
      <w:r>
        <w:t xml:space="preserve">, alongside a drop in normal false alarms from 13% to 5%).</w:t>
      </w:r>
      <w:r>
        <w:t xml:space="preserve"> </w:t>
      </w:r>
      <w:r>
        <w:t xml:space="preserve">(iv) We report one partial positive screening signal: drones that later crash are rougher than matched peers on ordinary flights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As an exploratory illustration, screening against 107 stratum-matched fleet controls at an assumed 10% flag rate yields an operational lift of</w:t>
      </w:r>
      <w:r>
        <w:t xml:space="preserve"> </w:t>
      </w:r>
      <m:oMath>
        <m:r>
          <m:t>3.3</m:t>
        </m:r>
        <m:r>
          <m:rPr>
            <m:sty m:val="p"/>
          </m:rPr>
          <m:t>×</m:t>
        </m:r>
      </m:oMath>
      <w:r>
        <w:t xml:space="preserve"> </w:t>
      </w:r>
      <w:r>
        <w:t xml:space="preserve">(illustrative PPV 2.26–2.43% [exact Bayes] across screenable and fleet base rates; 41.2–44.2 inspections per detected crash)—a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5.9.</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which yielded cross-validated AUCs of</w:t>
      </w:r>
      <w:r>
        <w:t xml:space="preserve"> </w:t>
      </w:r>
      <m:oMath>
        <m:r>
          <m:t>0.517</m:t>
        </m:r>
      </m:oMath>
      <w:r>
        <w:t xml:space="preserve"> </w:t>
      </w:r>
      <w:r>
        <w:t xml:space="preserve">[0.392, 0.636] at</w:t>
      </w:r>
      <w:r>
        <w:t xml:space="preserve"> </w:t>
      </w:r>
      <m:oMath>
        <m:r>
          <m:t>m</m:t>
        </m:r>
        <m:r>
          <m:rPr>
            <m:sty m:val="p"/>
          </m:rPr>
          <m:t>=</m:t>
        </m:r>
        <m:r>
          <m:t>0</m:t>
        </m:r>
      </m:oMath>
      <w:r>
        <w:t xml:space="preserve"> s,</w:t>
      </w:r>
      <w:r>
        <w:t xml:space="preserve"> </w:t>
      </w:r>
      <m:oMath>
        <m:r>
          <m:t>0.594</m:t>
        </m:r>
      </m:oMath>
      <w:r>
        <w:t xml:space="preserve"> </w:t>
      </w:r>
      <w:r>
        <w:t xml:space="preserve">[0.482, 0.706] at</w:t>
      </w:r>
      <w:r>
        <w:t xml:space="preserve"> </w:t>
      </w:r>
      <m:oMath>
        <m:r>
          <m:t>m</m:t>
        </m:r>
        <m:r>
          <m:rPr>
            <m:sty m:val="p"/>
          </m:rPr>
          <m:t>=</m:t>
        </m:r>
        <m:r>
          <m:t>2</m:t>
        </m:r>
      </m:oMath>
      <w:r>
        <w:t xml:space="preserve"> s,</w:t>
      </w:r>
      <w:r>
        <w:t xml:space="preserve"> </w:t>
      </w:r>
      <m:oMath>
        <m:r>
          <m:t>0.603</m:t>
        </m:r>
      </m:oMath>
      <w:r>
        <w:t xml:space="preserve"> </w:t>
      </w:r>
      <w:r>
        <w:t xml:space="preserve">[0.479, 0.724] at</w:t>
      </w:r>
      <w:r>
        <w:t xml:space="preserve"> </w:t>
      </w:r>
      <m:oMath>
        <m:r>
          <m:t>m</m:t>
        </m:r>
        <m:r>
          <m:rPr>
            <m:sty m:val="p"/>
          </m:rPr>
          <m:t>=</m:t>
        </m:r>
        <m:r>
          <m:t>5</m:t>
        </m:r>
      </m:oMath>
      <w:r>
        <w:t xml:space="preserve"> s,</w:t>
      </w:r>
      <w:r>
        <w:t xml:space="preserve"> </w:t>
      </w:r>
      <m:oMath>
        <m:r>
          <m:t>0.379</m:t>
        </m:r>
      </m:oMath>
      <w:r>
        <w:t xml:space="preserve"> </w:t>
      </w:r>
      <w:r>
        <w:t xml:space="preserve">[0.249, 0.524] at</w:t>
      </w:r>
      <w:r>
        <w:t xml:space="preserve"> </w:t>
      </w:r>
      <m:oMath>
        <m:r>
          <m:t>m</m:t>
        </m:r>
        <m:r>
          <m:rPr>
            <m:sty m:val="p"/>
          </m:rPr>
          <m:t>=</m:t>
        </m:r>
        <m:r>
          <m:t>10</m:t>
        </m:r>
      </m:oMath>
      <w:r>
        <w:t xml:space="preserve"> s,</w:t>
      </w:r>
      <w:r>
        <w:t xml:space="preserve"> </w:t>
      </w:r>
      <m:oMath>
        <m:r>
          <m:t>0.468</m:t>
        </m:r>
      </m:oMath>
      <w:r>
        <w:t xml:space="preserve"> </w:t>
      </w:r>
      <w:r>
        <w:t xml:space="preserve">[0.331, 0.604] at</w:t>
      </w:r>
      <w:r>
        <w:t xml:space="preserve"> </w:t>
      </w:r>
      <m:oMath>
        <m:r>
          <m:t>m</m:t>
        </m:r>
        <m:r>
          <m:rPr>
            <m:sty m:val="p"/>
          </m:rPr>
          <m:t>=</m:t>
        </m:r>
        <m:r>
          <m:t>20</m:t>
        </m:r>
      </m:oMath>
      <w:r>
        <w:t xml:space="preserve"> s, and</w:t>
      </w:r>
      <w:r>
        <w:t xml:space="preserve"> </w:t>
      </w:r>
      <m:oMath>
        <m:r>
          <m:t>0.366</m:t>
        </m:r>
      </m:oMath>
      <w:r>
        <w:t xml:space="preserve"> </w:t>
      </w:r>
      <w:r>
        <w:t xml:space="preserve">[0.223, 0.519] at</w:t>
      </w:r>
      <w:r>
        <w:t xml:space="preserve"> </w:t>
      </w:r>
      <m:oMath>
        <m:r>
          <m:t>m</m:t>
        </m:r>
        <m:r>
          <m:rPr>
            <m:sty m:val="p"/>
          </m:rPr>
          <m:t>=</m:t>
        </m:r>
        <m:r>
          <m:t>30</m:t>
        </m:r>
      </m:oMath>
      <w:r>
        <w:t xml:space="preserve"> s (1,000 flight-level bootstrap resamples). The intervals at</w:t>
      </w:r>
      <w:r>
        <w:t xml:space="preserve"> </w:t>
      </w:r>
      <m:oMath>
        <m:r>
          <m:t>m</m:t>
        </m:r>
        <m:r>
          <m:rPr>
            <m:sty m:val="p"/>
          </m:rPr>
          <m:t>=</m:t>
        </m:r>
        <m:r>
          <m:t>0</m:t>
        </m:r>
      </m:oMath>
      <w:r>
        <w:t xml:space="preserve">–5 s overlap, so the differences between them are sampling noise; at</w:t>
      </w:r>
      <w:r>
        <w:t xml:space="preserve"> </w:t>
      </w:r>
      <m:oMath>
        <m:r>
          <m:t>m</m:t>
        </m:r>
        <m:r>
          <m:rPr>
            <m:sty m:val="p"/>
          </m:rPr>
          <m:t>≥</m:t>
        </m:r>
        <m:r>
          <m:t>10</m:t>
        </m:r>
      </m:oMath>
      <w:r>
        <w:t xml:space="preserve"> s the upper bounds are 0.519–0.604, giving no evidence of non-linear separation. Because they exhibited high fold instability and were not pre-declared, they were not retained for the primary benchmark.</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6).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0.0555</m:t>
        </m:r>
      </m:oMath>
      <w:r>
        <w:t xml:space="preserve">).</w:t>
      </w:r>
      <w:r>
        <w:t xml:space="preserve"> </w:t>
      </w:r>
      <w:r>
        <w:t xml:space="preserve">Repeating the permutation null with fixed scores across 10,000 label permutations yields an empirical standard deviation of 0.055 (matching asymptotic theory within</w:t>
      </w:r>
      <w:r>
        <w:t xml:space="preserve"> </w:t>
      </w:r>
      <m:oMath>
        <m:r>
          <m:rPr>
            <m:sty m:val="p"/>
          </m:rPr>
          <m:t>±</m:t>
        </m:r>
        <m:r>
          <m:t>0.001</m:t>
        </m:r>
      </m:oMath>
      <w:r>
        <w:t xml:space="preserve">), which is consistent with fold-refitting variance explaining the wider cross-validation null (SD 0.090).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2.802</m:t>
        </m:r>
        <m:r>
          <m:rPr>
            <m:sty m:val="p"/>
          </m:rPr>
          <m:t>×</m:t>
        </m:r>
        <m:r>
          <m:t>0.0555</m:t>
        </m:r>
        <m:r>
          <m:rPr>
            <m:sty m:val="p"/>
          </m:rPr>
          <m:t>≈</m:t>
        </m:r>
        <m:r>
          <m:t>0.156</m:t>
        </m:r>
      </m:oMath>
      <w:r>
        <w:t xml:space="preserve"> </w:t>
      </w:r>
      <w:r>
        <w:t xml:space="preserve">above chance). Under the empirical cross-validation permutation null (SD 0.090, the relevant null for the cross-validated logistic models evaluated here),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0.75 (</w:t>
      </w:r>
      <m:oMath>
        <m:r>
          <m:t>0.50</m:t>
        </m:r>
        <m:r>
          <m:rPr>
            <m:sty m:val="p"/>
          </m:rPr>
          <m:t>+</m:t>
        </m:r>
        <m:r>
          <m:t>2.802</m:t>
        </m:r>
        <m:r>
          <m:rPr>
            <m:sty m:val="p"/>
          </m:rPr>
          <m:t>×</m:t>
        </m:r>
        <m:r>
          <m:t>0.090</m:t>
        </m:r>
        <m:r>
          <m:rPr>
            <m:sty m:val="p"/>
          </m:rPr>
          <m:t>=</m:t>
        </m:r>
        <m:r>
          <m:t>0.752</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 Evaluating depth-3 decision trees across cut-offs yielded pooled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(1,000 flight-level bootstrap resamples; earlier exploratory development reported mean fold AUCs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and</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which reflect fold-averaging rather than pooled out-of-fold scoring). Because confidence intervals across</w:t>
      </w:r>
      <w:r>
        <w:t xml:space="preserve"> </w:t>
      </w:r>
      <m:oMath>
        <m:r>
          <m:t>m</m:t>
        </m:r>
        <m:r>
          <m:rPr>
            <m:sty m:val="p"/>
          </m:rPr>
          <m:t>=</m:t>
        </m:r>
        <m:r>
          <m:t>0</m:t>
        </m:r>
        <m:r>
          <m:rPr>
            <m:sty m:val="p"/>
          </m:rPr>
          <m:t>.</m:t>
        </m:r>
        <m:r>
          <m:t>.5</m:t>
        </m:r>
      </m:oMath>
      <w:r>
        <w:t xml:space="preserve"> s broadly overlap, fluctuations between margins represent sampling noise rather than structured trajectory trends; at</w:t>
      </w:r>
      <w:r>
        <w:t xml:space="preserve"> </w:t>
      </w:r>
      <m:oMath>
        <m:r>
          <m:t>m</m:t>
        </m:r>
        <m:r>
          <m:rPr>
            <m:sty m:val="p"/>
          </m:rPr>
          <m:t>≥</m:t>
        </m:r>
        <m:r>
          <m:t>10</m:t>
        </m:r>
      </m:oMath>
      <w:r>
        <w:t xml:space="preserve"> s, upper confidence bounds are 0.519–0.604, providing no evidence of non-linear separation once the terminal window is excluded.</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6.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6.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8).</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8).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8</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7 reports a step-by-step decomposition isolating what drives the cross-sectional separation. Grouping</w:t>
      </w:r>
      <w:r>
        <w:t xml:space="preserve"> </w:t>
      </w:r>
      <w:r>
        <w:t xml:space="preserve">cross-validation folds by vehicle ID (Step 1) on the cross-sectional sample yields virtually identical separation (AUC 0.884 vs. 0.883);</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of 213 flights (Steps 2 and 3) similarly leaves the AUC essentially unchanged</w:t>
      </w:r>
      <w:r>
        <w:t xml:space="preserve"> </w:t>
      </w:r>
      <w:r>
        <w:t xml:space="preserve">(0.860 [0.802, 0.910] and 0.874 [0.822, 0.920], with flight-level bootstrap intervals confirming no substantial drop), while removing tilt and stick boundary features (Step 4) reduces AUC modestly to 0.831. On this sample, vehicle grouping, crash-window cuts and boundary feature pruning do not explain the cross-sectional gap.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7,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models exploit airframe duration and vehicle envelope differences across the broader archive.</w:t>
      </w:r>
    </w:p>
    <w:p>
      <w:pPr>
        <w:pStyle w:val="BodyText"/>
      </w:pPr>
      <w:r>
        <w:t xml:space="preserve">On the 67 multi-flight drones with 372 flights (67 pre-crash flights cut 10 s before impact and 305 earlier flights), three complementary statistics evaluate within-drone precursor separation. Evaluated across flights, pooled logistic regression yielded a cross-sectional AUC of 0.529 [0.453, 0.607] (Step 5), while vehicle-grouped cross-validation yielded an AUC of 0.569 [0.493, 0.645] (Step 6). Clustering the bootstrap resamples over whole airframe clusters gave a 95% interval of [0.500, 0.643], touching chance.</w:t>
      </w:r>
      <w:r>
        <w:t xml:space="preserve"> </w:t>
      </w:r>
      <m:oMath>
        <m:sSup>
          <m:e>
            <m:r>
              <m:t>​</m:t>
            </m:r>
          </m:e>
          <m:sup>
            <m:r>
              <m:rPr>
                <m:sty m:val="p"/>
              </m:rPr>
              <m:t>†</m:t>
            </m:r>
          </m:sup>
        </m:sSup>
      </m:oMath>
      <w:r>
        <w:t xml:space="preserve">With reproducible folds the same sample gives 0.559 [0.511, 0.618], and after removing the 85 earlier flights that GPS time shows were flown after the crash (Section 5.5; declared audit</w:t>
      </w:r>
      <w:r>
        <w:t xml:space="preserve"> </w:t>
      </w:r>
      <w:r>
        <w:rPr>
          <w:rStyle w:val="VerbatimChar"/>
        </w:rPr>
        <w:t xml:space="preserve">0d38f5d</w:t>
      </w:r>
      <w:r>
        <w:t xml:space="preserve">), 0.582 [0.525, 0.660] on 57 drones (Table 7,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(§5.4).</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and we withdraw it: the earlier lift depended on post-crash flights in the comparison set.</w:t>
      </w:r>
    </w:p>
    <w:bookmarkStart w:id="40" w:name="_5384c23fe540f64e7f70d79e466547294e389bd"/>
    <w:p>
      <w:pPr>
        <w:pStyle w:val="TableCaption"/>
      </w:pPr>
      <w:r>
        <w:t xml:space="preserve">Table 7.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w:t>
      </w:r>
    </w:p>
    <w:tbl>
      <w:tblPr>
        <w:tblStyle w:val="Table"/>
        <w:tblW w:type="pct" w:w="5000"/>
        <w:tblLook w:firstRow="1" w:lastRow="0" w:firstColumn="0" w:lastColumn="0" w:noHBand="0" w:noVBand="0" w:val="0020"/>
        <w:tblCaption w:val="Table 7.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0.883 [0.842, 0.918]</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0.860 [0.802, 0.910]</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0.874 [0.822, 0.920]</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envelope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Multi-flight crashes vs. matched other-aircraft flights, one extractor (Group-CV,</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m:oMath>
              <m:sSup>
                <m:e>
                  <m:r>
                    <m:t>​</m:t>
                  </m:r>
                </m:e>
                <m:sup>
                  <m:r>
                    <m:rPr>
                      <m:sty m:val="p"/>
                    </m:rPr>
                    <m:t>†</m:t>
                  </m:r>
                </m:sup>
              </m:sSup>
            </m:oMath>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Multi-flight cohort: cross-sectional evaluation</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0.529 [0.453, 0.607]</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Multi-flight cohort: within-drone Group-CV</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0.569 [0.493, 0.645]</w:t>
            </w:r>
            <m:oMath>
              <m:sSup>
                <m:e>
                  <m:r>
                    <m:t>​</m:t>
                  </m:r>
                </m:e>
                <m:sup>
                  <m:r>
                    <m:rPr>
                      <m:sty m:val="p"/>
                    </m:rPr>
                    <m:t>*</m:t>
                  </m:r>
                </m:sup>
              </m:sSup>
            </m:oMath>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[0.525, 0.660]</w:t>
            </w:r>
            <m:oMath>
              <m:sSup>
                <m:e>
                  <m:r>
                    <m:t>​</m:t>
                  </m:r>
                </m:e>
                <m:sup>
                  <m:r>
                    <m:rPr>
                      <m:sty m:val="p"/>
                    </m:rPr>
                    <m:t>†</m:t>
                  </m:r>
                </m:sup>
              </m:sSup>
            </m:oMath>
          </w:p>
        </w:tc>
      </w:tr>
    </w:tbl>
    <w:bookmarkEnd w:id="40"/>
    <w:p>
      <w:pPr>
        <w:pStyle w:val="FirstParagraph"/>
      </w:pPr>
      <m:oMath>
        <m:sSup>
          <m:e>
            <m:r>
              <m:t>​</m:t>
            </m:r>
          </m:e>
          <m:sup>
            <m:r>
              <m:rPr>
                <m:sty m:val="p"/>
              </m:rPr>
              <m:t>†</m:t>
            </m:r>
          </m:sup>
        </m:sSup>
      </m:oMath>
      <w:r>
        <w:t xml:space="preserve">Factorial audit (Section 5.4); two-stage cluster bootstrap 95% CI over crash and control airframes. Supersedes an earlier value of 0.522 that mixed feature extractors between crash and control flights.</w:t>
      </w:r>
      <w:r>
        <w:t xml:space="preserve"> </w:t>
      </w:r>
      <m:oMath>
        <m:sSup>
          <m:e>
            <m:r>
              <m:t>​</m:t>
            </m:r>
          </m:e>
          <m:sup>
            <m:r>
              <m:rPr>
                <m:sty m:val="p"/>
              </m:rPr>
              <m:t>*</m:t>
            </m:r>
          </m:sup>
        </m:sSup>
      </m:oMath>
      <w:r>
        <w:t xml:space="preserve">Cluster bootstrap 95% CI across the 67 drone clusters is [0.500, 0.643], spanning chance (0.50); with reproducible folds 0.559 [0.511, 0.618]. Step 6b: post-crash flight audit, cluster bootstrap over drones.</w:t>
      </w:r>
    </w:p>
    <w:bookmarkStart w:id="41" w:name="_332204dfa69e2fa6bf2a39cf9288ea52d0052a5"/>
    <w:p>
      <w:pPr>
        <w:pStyle w:val="TableCaption"/>
      </w:pPr>
      <w:r>
        <w:t xml:space="preserve">Table 8.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8.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Heading2"/>
      </w:pPr>
      <w:bookmarkStart w:id="46" w:name="_0c9e7e04e6c31fefd3494b28729aa56a3255cc6"/>
      <w:r>
        <w:rPr>
          <w:rStyle w:val="SectionNumber"/>
        </w:rPr>
        <w:t xml:space="preserve">5.4</w:t>
      </w:r>
      <w:r>
        <w:tab/>
      </w:r>
      <w:r>
        <w:t xml:space="preserve">Factorial optimism audit (exploratory)</w:t>
      </w:r>
      <w:bookmarkEnd w:id="46"/>
    </w:p>
    <w:p>
      <w:pPr>
        <w:pStyle w:val="FirstParagraph"/>
      </w:pPr>
      <m:oMath>
        <m:sSup>
          <m:e>
            <m:r>
              <m:t>​</m:t>
            </m:r>
          </m:e>
          <m:sup>
            <m:r>
              <m:rPr>
                <m:sty m:val="p"/>
              </m:rPr>
              <m:t>†</m:t>
            </m:r>
          </m:sup>
        </m:sSup>
      </m:oMath>
      <w:r>
        <w:t xml:space="preserve">The steps of Table 7 change several things at once, and their samples were built with different feature extractors. To find what the crash-vs-normal AUC depends on, we declared a factorial audit after Round 14 review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9):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which explains why grouping made no difference in Step 1, where most normal drones contribute one flight. The crash-window cut carried a small but non-zero 0.014 [0.007, 0.023], and the fixed 30 s window carried 0.001. Separation against other aircraft persisted at the most conservative setting (0.666 [0.557, 0.770]); replacing other-aircraft flights by the same drones’ earlier flights at matched settings lowered AUC by a further 0.21, to chance (0.507 [0.436, 0.582] after removing earlier flights flown after the crash).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47" w:name="_9a7638f5da02df7bc1e91f3d04aa4fe62b352e5"/>
    <w:p>
      <w:pPr>
        <w:pStyle w:val="TableCaption"/>
      </w:pPr>
      <w:r>
        <w:t xml:space="preserve">Table 9.</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9.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47"/>
    <w:p>
      <w:pPr>
        <w:pStyle w:val="Heading2"/>
      </w:pPr>
      <w:bookmarkStart w:id="48" w:name="_7d36f114b9234da3ba56cdf6e68d941cb747d23"/>
      <w:r>
        <w:rPr>
          <w:rStyle w:val="SectionNumber"/>
        </w:rPr>
        <w:t xml:space="preserve">5.5</w:t>
      </w:r>
      <w:r>
        <w:tab/>
      </w:r>
      <w:r>
        <w:t xml:space="preserve">Within the same drone and between drones (Q3b, Q3c)</w:t>
      </w:r>
      <w:bookmarkEnd w:id="48"/>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w:t>
      </w:r>
      <w:r>
        <w:t xml:space="preserve"> </w:t>
      </w:r>
      <m:oMath>
        <m:r>
          <m:t>4.42</m:t>
        </m:r>
        <m:r>
          <m:rPr>
            <m:sty m:val="p"/>
          </m:rPr>
          <m:t>−</m:t>
        </m:r>
        <m:r>
          <m:rPr>
            <m:sty m:val="p"/>
          </m:rPr>
          <m:t>−</m:t>
        </m:r>
        <m:r>
          <m:t>4.50</m:t>
        </m:r>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2" w:name="_9361c5dba1dea8da31b0aed692bc5b019a98a7f"/>
    <w:p>
      <w:pPr>
        <w:pStyle w:val="CaptionedFigure"/>
        <w:jc w:val="center"/>
      </w:pPr>
      <w:r>
        <w:drawing>
          <wp:inline>
            <wp:extent cx="4160520" cy="2384920"/>
            <wp:effectExtent b="0" l="0" r="0" t="0"/>
            <wp:docPr descr="" title="" id="50" name="Picture"/>
            <a:graphic>
              <a:graphicData uri="http://schemas.openxmlformats.org/drawingml/2006/picture">
                <pic:pic>
                  <pic:nvPicPr>
                    <pic:cNvPr descr="fig_within_between.png" id="51" name="Picture"/>
                    <pic:cNvPicPr>
                      <a:picLocks noChangeArrowheads="1" noChangeAspect="1"/>
                    </pic:cNvPicPr>
                  </pic:nvPicPr>
                  <pic:blipFill>
                    <a:blip r:embed="rId49"/>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2"/>
    <w:p>
      <w:pPr>
        <w:pStyle w:val="Heading2"/>
      </w:pPr>
      <w:bookmarkStart w:id="53" w:name="_c68dcf7b88a01fcf500c8e00d7b03511ec2fbc1"/>
      <w:r>
        <w:rPr>
          <w:rStyle w:val="SectionNumber"/>
        </w:rPr>
        <w:t xml:space="preserve">5.6</w:t>
      </w:r>
      <w:r>
        <w:tab/>
      </w:r>
      <w:r>
        <w:t xml:space="preserve">Robustness of the between-drone result (exploratory)</w:t>
      </w:r>
      <w:bookmarkEnd w:id="53"/>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(Round 14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so the within-drone, caliper and same-aircraft factorial samples may also contain flights flown after the crash; this has not been audited.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the mean scaled rank was 0.662 with a 95% cluster bootstrap CI of [0.536, 0.789] (control-only clustering yielded [0.587, 0.744]), both of which strictly exclude chance (0.50).</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7" w:name="_f3665d09ec22ddd60812b28fa68e496f60eecb2"/>
    <w:p>
      <w:pPr>
        <w:pStyle w:val="CaptionedFigure"/>
        <w:jc w:val="center"/>
      </w:pPr>
      <w:r>
        <w:drawing>
          <wp:inline>
            <wp:extent cx="4160520" cy="2531605"/>
            <wp:effectExtent b="0" l="0" r="0" t="0"/>
            <wp:docPr descr="" title="" id="55" name="Picture"/>
            <a:graphic>
              <a:graphicData uri="http://schemas.openxmlformats.org/drawingml/2006/picture">
                <pic:pic>
                  <pic:nvPicPr>
                    <pic:cNvPr descr="fig_robustness.png" id="56" name="Picture"/>
                    <pic:cNvPicPr>
                      <a:picLocks noChangeArrowheads="1" noChangeAspect="1"/>
                    </pic:cNvPicPr>
                  </pic:nvPicPr>
                  <pic:blipFill>
                    <a:blip r:embed="rId54"/>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7"/>
    <w:p>
      <w:pPr>
        <w:pStyle w:val="Heading2"/>
      </w:pPr>
      <w:bookmarkStart w:id="58" w:name="_440012d4f1ae87c72168f87fd4eb66e49627717"/>
      <w:r>
        <w:rPr>
          <w:rStyle w:val="SectionNumber"/>
        </w:rPr>
        <w:t xml:space="preserve">5.7</w:t>
      </w:r>
      <w:r>
        <w:tab/>
      </w:r>
      <w:r>
        <w:t xml:space="preserve">Expert diagnoses (Q4)</w:t>
      </w:r>
      <w:bookmarkEnd w:id="58"/>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10 (12 tuning, 5 vibration, 5 GPS, 9 motor, 4 battery).</w:t>
      </w:r>
    </w:p>
    <w:p>
      <w:pPr>
        <w:pStyle w:val="BodyText"/>
      </w:pPr>
      <w:r>
        <w:t xml:space="preserve">Table 10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conservative class-averaged Clopper–Pearson bounds 0.19–0.73, formed as the unweighted mean of the separate exact binomial 95% confidence intervals for aircraft recall [18/32: 37.6–74.3%] and pilot recall [1/5: 0.5–71.6%]). Because this wide interval contains both chance (0.50) and the declared pass mark (0.70), this independent evaluation is statistically inconclusive and cannot exclude agreement at the declared pass mark.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9" w:name="_83343f61327e522fa9ffc9aa8f722d134b07ff7"/>
    <w:p>
      <w:pPr>
        <w:pStyle w:val="TableCaption"/>
      </w:pPr>
      <w:r>
        <w:t xml:space="preserve">Table 10.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0.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9"/>
    <w:bookmarkStart w:id="63" w:name="_c0d72e502cb8722b270509e9f977263b14fe2c0"/>
    <w:p>
      <w:pPr>
        <w:pStyle w:val="CaptionedFigure"/>
        <w:jc w:val="center"/>
      </w:pPr>
      <w:r>
        <w:drawing>
          <wp:inline>
            <wp:extent cx="4160520" cy="2603928"/>
            <wp:effectExtent b="0" l="0" r="0" t="0"/>
            <wp:docPr descr="" title="" id="61" name="Picture"/>
            <a:graphic>
              <a:graphicData uri="http://schemas.openxmlformats.org/drawingml/2006/picture">
                <pic:pic>
                  <pic:nvPicPr>
                    <pic:cNvPr descr="fig_forum_causes.png" id="62" name="Picture"/>
                    <pic:cNvPicPr>
                      <a:picLocks noChangeArrowheads="1" noChangeAspect="1"/>
                    </pic:cNvPicPr>
                  </pic:nvPicPr>
                  <pic:blipFill>
                    <a:blip r:embed="rId60"/>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3"/>
    <w:p>
      <w:pPr>
        <w:pStyle w:val="Heading2"/>
      </w:pPr>
      <w:bookmarkStart w:id="64" w:name="_fb365ced420b86c8cd60024101a350b346a0a31"/>
      <w:r>
        <w:rPr>
          <w:rStyle w:val="SectionNumber"/>
        </w:rPr>
        <w:t xml:space="preserve">5.8</w:t>
      </w:r>
      <w:r>
        <w:tab/>
      </w:r>
      <w:r>
        <w:t xml:space="preserve">Exploratory evaluation of language-model review panels (preliminary)</w:t>
      </w:r>
      <w:bookmarkEnd w:id="64"/>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11).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5" w:name="_e9a1c7ab9cd062877714c77f2a5f253f301b820"/>
    <w:p>
      <w:pPr>
        <w:pStyle w:val="TableCaption"/>
      </w:pPr>
      <w:r>
        <w:t xml:space="preserve">Table 11.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1.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5"/>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6" w:name="_000b339d75a155a848ca0c43e54b0b02b7b82d8"/>
      <w:r>
        <w:rPr>
          <w:rStyle w:val="SectionNumber"/>
        </w:rPr>
        <w:t xml:space="preserve">5.9</w:t>
      </w:r>
      <w:r>
        <w:tab/>
      </w:r>
      <w:r>
        <w:t xml:space="preserve">Analyses added during revision (exploratory)</w:t>
      </w:r>
      <w:bookmarkEnd w:id="66"/>
    </w:p>
    <w:p>
      <w:pPr>
        <w:pStyle w:val="FirstParagraph"/>
      </w:pPr>
      <w:r>
        <w:t xml:space="preserve">To preserve the boundary between pre-declared confirmatory hypotheses (committed to version control on 20–24 October 2026; Table 4)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12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7" w:name="_fb475224272a447d57b77f14dfc8774bb10ba7c"/>
    <w:p>
      <w:pPr>
        <w:pStyle w:val="TableCaption"/>
      </w:pPr>
      <w:r>
        <w:t xml:space="preserve">Table 12.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2.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CV design makes no detectable difference</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(conservative CP 0.19–0.73); pilot recall 1/5; inconclusive</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(0.519–0.604 at</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Round 14 rerun [+0.028, +0.205]</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over case &amp; control clusters; same-day check compared dates only; superseded by the Round 14 GPS check</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center"/>
            </w:pPr>
            <w:r>
              <w:rPr>
                <w:rStyle w:val="VerbatimChar"/>
                <w:sz w:val="19"/>
              </w:rPr>
              <w:t xml:space="preserve">0d38f5d</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r>
        <w:tc>
          <w:tcPr/>
          <w:p>
            <w:pPr>
              <w:pStyle w:val="Compact"/>
              <w:spacing w:line="240" w:lineRule="auto"/>
              <w:jc w:val="left"/>
            </w:pPr>
            <w:r>
              <w:rPr>
                <w:sz w:val="19"/>
              </w:rPr>
              <w:t xml:space="preserve">Round 14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center"/>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Round 14: 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center"/>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bl>
    <w:bookmarkEnd w:id="67"/>
    <w:p>
      <w:pPr>
        <w:pStyle w:val="Heading1"/>
      </w:pPr>
      <w:bookmarkStart w:id="68" w:name="_5197750e0310900a35791fde6fc3b970851116d"/>
      <w:r>
        <w:rPr>
          <w:rStyle w:val="SectionNumber"/>
        </w:rPr>
        <w:t xml:space="preserve">6</w:t>
      </w:r>
      <w:r>
        <w:tab/>
      </w:r>
      <w:r>
        <w:t xml:space="preserve">Design implications for fleet assurance</w:t>
      </w:r>
      <w:bookmarkEnd w:id="68"/>
    </w:p>
    <w:p>
      <w:pPr>
        <w:pStyle w:val="FirstParagraph"/>
      </w:pPr>
      <w:r>
        <w:t xml:space="preserve">To translate these empirical findings into operational practice, we developed AeroFleet 2.0 (</w:t>
      </w:r>
      <w:hyperlink r:id="rId69">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0"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Changing comparison from other aircraft to same aircraft lowers AUC from 0.88 to 0.53–0.57 (§5.3)</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0"/>
    <w:p>
      <w:pPr>
        <w:pStyle w:val="Heading2"/>
      </w:pPr>
      <w:bookmarkStart w:id="71" w:name="_46768506b9d2d22e677daf79594de5255acfb0b"/>
      <w:r>
        <w:rPr>
          <w:rStyle w:val="SectionNumber"/>
        </w:rPr>
        <w:t xml:space="preserve">6.1</w:t>
      </w:r>
      <w:r>
        <w:tab/>
      </w:r>
      <w:r>
        <w:t xml:space="preserve">Recommended reporting checklist for flight-log diagnostics</w:t>
      </w:r>
      <w:bookmarkEnd w:id="71"/>
    </w:p>
    <w:p>
      <w:pPr>
        <w:pStyle w:val="FirstParagraph"/>
      </w:pPr>
      <w:r>
        <w:t xml:space="preserve">To support drone safety regulators, accident investigators, and data-driven diagnostic tool developers in avoiding the leakage and confounding traps quantified in this study, Table 14 outlines an eight-item recommended reporting checklist. Each item pairs a methodological recommendation with its empirical rationale and the specific failure mode observed in our experiments when that control is omitted.</w:t>
      </w:r>
    </w:p>
    <w:bookmarkStart w:id="72"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Consistent with crash-window leakage in individual physical checks (tuning sensitivity fell</w:t>
            </w:r>
            <w:r>
              <w:rPr>
                <w:sz w:val="19"/>
              </w:rPr>
              <w:t xml:space="preserve"> </w:t>
            </w:r>
            <m:oMath>
              <m:r>
                <m:t>7</m:t>
              </m:r>
              <m:r>
                <m:rPr>
                  <m:sty m:val="p"/>
                </m:rPr>
                <m:t>/</m:t>
              </m:r>
              <m:r>
                <m:t>9</m:t>
              </m:r>
              <m:r>
                <m:rPr>
                  <m:sty m:val="p"/>
                </m:rPr>
                <m:t>→</m:t>
              </m:r>
              <m:r>
                <m:t>1</m:t>
              </m:r>
              <m:r>
                <m:rPr>
                  <m:sty m:val="p"/>
                </m:rPr>
                <m:t>/</m:t>
              </m:r>
              <m:r>
                <m:t>9</m:t>
              </m:r>
            </m:oMath>
            <w:r>
              <w:rPr>
                <w:sz w:val="19"/>
              </w:rPr>
              <w:t xml:space="preserve">, exploratory; clipping fell 37%), though cross-sectional AUC was stable (</w:t>
            </w:r>
            <m:oMath>
              <m:r>
                <m:t>0.88</m:t>
              </m:r>
              <m:r>
                <m:rPr>
                  <m:sty m:val="p"/>
                </m:rPr>
                <m:t>→</m:t>
              </m:r>
              <m:r>
                <m:t>0.87</m:t>
              </m:r>
            </m:oMath>
            <w:r>
              <w:rPr>
                <w:sz w:val="19"/>
              </w:rPr>
              <w:t xml:space="preserve">, §5.3).</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cross-fold identity memorization; grouping made no difference where most normal drones contribute one flight (</w:t>
            </w:r>
            <m:oMath>
              <m:r>
                <m:t>0.884</m:t>
              </m:r>
            </m:oMath>
            <w:r>
              <w:rPr>
                <w:sz w:val="19"/>
              </w:rPr>
              <w:t xml:space="preserve"> </w:t>
            </w:r>
            <w:r>
              <w:rPr>
                <w:sz w:val="19"/>
              </w:rPr>
              <w:t xml:space="preserve">vs</w:t>
            </w:r>
            <w:r>
              <w:rPr>
                <w:sz w:val="19"/>
              </w:rPr>
              <w:t xml:space="preserve"> </w:t>
            </w:r>
            <m:oMath>
              <m:r>
                <m:t>0.883</m:t>
              </m:r>
            </m:oMath>
            <w:r>
              <w:rPr>
                <w:sz w:val="19"/>
              </w:rPr>
              <w:t xml:space="preserve">), but in the factorial audit it was the only material factor, lowering AUC by 0.062 [0.034, 0.087], mostly where comparison drones contribute several flights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§5.3).</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2"/>
    <w:p>
      <w:pPr>
        <w:pStyle w:val="Heading1"/>
      </w:pPr>
      <w:bookmarkStart w:id="73" w:name="_074802e0e16f6322e726b21f081c01c392e8fbd"/>
      <w:r>
        <w:rPr>
          <w:rStyle w:val="SectionNumber"/>
        </w:rPr>
        <w:t xml:space="preserve">7</w:t>
      </w:r>
      <w:r>
        <w:tab/>
      </w:r>
      <w:r>
        <w:t xml:space="preserve">Discussion</w:t>
      </w:r>
      <w:bookmarkEnd w:id="73"/>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requires an AUC of roughly 0.65 under asymptotic Wilcoxon theory (0.75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conservative class-averaged bound 0.19–0.73). Our prospectively declared negative result applies to linear models and decision stumps; exploratory depth-3 decision trees across cut-offs yielded AUCs of 0.366–0.603 (upper bounds 0.519–0.724), with upper bounds of 0.519–0.604 at</w:t>
      </w:r>
      <w:r>
        <w:t xml:space="preserve"> </w:t>
      </w:r>
      <m:oMath>
        <m:r>
          <m:t>m</m:t>
        </m:r>
        <m:r>
          <m:rPr>
            <m:sty m:val="p"/>
          </m:rPr>
          <m:t>≥</m:t>
        </m:r>
        <m:r>
          <m:t>10</m:t>
        </m:r>
      </m:oMath>
      <w:r>
        <w:t xml:space="preserve"> s, giving no evidence that non-linear trees separate the classes.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vehicle-grouped cross-validation (0.884) and crash-window removal (0.860) made no detectable difference on that sample.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identical 372 flights of the multi-flight cohort, cross-sectional evaluation (0.529 [0.453, 0.607]) and within-drone Group-CV (0.569 [0.493, 0.645]; cluster bootstrap 95% CI [0.500, 0.643]; pairwise mean AUC 0.592 [0.516, 0.692]) yielded overlapping intervals (the cluster bootstrap interval touches chance at 0.500, while the pairwise interval extends down to near-chance at 0.516),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fell to</w:t>
      </w:r>
      <w:r>
        <w:t xml:space="preserve"> </w:t>
      </w:r>
      <m:oMath>
        <m:r>
          <m:rPr>
            <m:sty m:val="p"/>
          </m:rPr>
          <m:t>+</m:t>
        </m:r>
        <m:r>
          <m:t>0.086</m:t>
        </m:r>
      </m:oMath>
      <w:r>
        <w:t xml:space="preserve"> </w:t>
      </w:r>
      <w:r>
        <w:t xml:space="preserve">[</w:t>
      </w:r>
      <m:oMath>
        <m:r>
          <m:rPr>
            <m:sty m:val="p"/>
          </m:rPr>
          <m:t>−</m:t>
        </m:r>
        <m:r>
          <m:t>0.064</m:t>
        </m:r>
      </m:oMath>
      <w:r>
        <w:t xml:space="preserve">, +0.184] on 24 airframes, so we withdraw the reading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control for flight duration, and 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4" w:name="_82b82981e21bad8167d56d1f0b74a832e215810"/>
      <w:r>
        <w:rPr>
          <w:rStyle w:val="SectionNumber"/>
        </w:rPr>
        <w:t xml:space="preserve">8</w:t>
      </w:r>
      <w:r>
        <w:tab/>
      </w:r>
      <w:r>
        <w:t xml:space="preserve">Threats to validity</w:t>
      </w:r>
      <w:bookmarkEnd w:id="74"/>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conservative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run 20–24 October 2026),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Flight order.</w:t>
      </w:r>
      <w:r>
        <w:t xml:space="preserve"> </w:t>
      </w:r>
      <w:r>
        <w:t xml:space="preserve">Earlier flights were selected by calendar date.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(§5.3).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10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5" w:name="_0cf7f8e9027f9f9352f3019b4ede1d43d537ff7"/>
      <w:r>
        <w:rPr>
          <w:rStyle w:val="SectionNumber"/>
        </w:rPr>
        <w:t xml:space="preserve">9</w:t>
      </w:r>
      <w:r>
        <w:tab/>
      </w:r>
      <w:r>
        <w:t xml:space="preserve">Conclusion</w:t>
      </w:r>
      <w:bookmarkEnd w:id="75"/>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 depth-3 trees 0.38–0.60, upper bounds</w:t>
      </w:r>
      <w:r>
        <w:t xml:space="preserve"> </w:t>
      </w:r>
      <m:oMath>
        <m:r>
          <m:rPr>
            <m:sty m:val="p"/>
          </m:rPr>
          <m:t>≤</m:t>
        </m:r>
        <m:r>
          <m:t>0.724</m:t>
        </m:r>
      </m:oMath>
      <w:r>
        <w:t xml:space="preserve">, 0.519–0.604 at</w:t>
      </w:r>
      <w:r>
        <w:t xml:space="preserve"> </w:t>
      </w:r>
      <m:oMath>
        <m:r>
          <m:t>m</m:t>
        </m:r>
        <m:r>
          <m:rPr>
            <m:sty m:val="p"/>
          </m:rPr>
          <m:t>≥</m:t>
        </m:r>
        <m:r>
          <m:t>10</m:t>
        </m:r>
      </m:oMath>
      <w:r>
        <w:t xml:space="preserve"> s)</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(0.75 under the empirical permutation null) under only 36 pilot-labelled crashes in the modelling sample. Independent evaluation against 43 expert forum</w:t>
      </w:r>
      <w:r>
        <w:t xml:space="preserve"> </w:t>
      </w:r>
      <w:r>
        <w:t xml:space="preserve">cases was statistically inconclusive (balanced accuracy 0.381, Bayesian 95% CrI 0.25–0.61, conservative class-averaged bound 0.19–0.73;</w:t>
      </w:r>
      <w:r>
        <w:t xml:space="preserve"> </w:t>
      </w:r>
      <w:r>
        <w:t xml:space="preserve">cannot exclude the declared 0.70 pass mark; pilot recall 1 of 5; on 34 complete logs, balanced accuracy 30.0% for rule and 45.0% for logistic regression).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Changing the comparison population from other aircraft’s normal flights to the same aircraft’s earlier flights lowered model AUC from about 0.83–0.88 to 0.53–0.57. A factorial audit of 32 evaluation settings attributed 0.21 of the apparent AUC to evaluation choices; only grouping folds by vehicle was individually material (0.06), the crash set and the choice of normal flights could not be separated, and separation against other aircraft persisted at 0.67 until each drone was compared with its own earlier flights.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suggests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As an exploratory illustration, screening against 107 stratum-matched fleet controls achieves an</w:t>
      </w:r>
      <w:r>
        <w:t xml:space="preserve"> </w:t>
      </w:r>
      <w:r>
        <w:t xml:space="preserve">operational lift of</w:t>
      </w:r>
      <w:r>
        <w:t xml:space="preserve"> </w:t>
      </w:r>
      <m:oMath>
        <m:r>
          <m:t>3.3</m:t>
        </m:r>
        <m:r>
          <m:rPr>
            <m:sty m:val="p"/>
          </m:rPr>
          <m:t>×</m:t>
        </m:r>
      </m:oMath>
      <w:r>
        <w:t xml:space="preserve"> </w:t>
      </w:r>
      <w:r>
        <w:t xml:space="preserve">over base rate (illustrative PPV 2.26–2.43% [exact Bayes], 41.2–44.2 inspections per crash at an assumed 10%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6" w:name="_84dc18e74b75db6057c8c16a8f70e097972540a"/>
      <w:r>
        <w:t xml:space="preserve">Declaration of competing interest</w:t>
      </w:r>
      <w:bookmarkEnd w:id="76"/>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7" w:name="_1f74eb43af444059c7518034463b6c89b1cacf4"/>
      <w:r>
        <w:t xml:space="preserve">Declaration of generative AI and AI-assisted technologies in the manuscript preparation process</w:t>
      </w:r>
      <w:bookmarkEnd w:id="77"/>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8" w:name="_ea5c66868f283220c19382d0fdd5a852ec570ca"/>
      <w:r>
        <w:t xml:space="preserve">Data availability</w:t>
      </w:r>
      <w:bookmarkEnd w:id="78"/>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9">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9" w:name="_funding"/>
      <w:r>
        <w:t xml:space="preserve">Funding</w:t>
      </w:r>
      <w:bookmarkEnd w:id="79"/>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0" w:name="_bibliography"/>
      <w:r>
        <w:t xml:space="preserve">References</w:t>
      </w:r>
      <w:bookmarkEnd w:id="80"/>
    </w:p>
    <w:bookmarkStart w:id="136" w:name="_refs"/>
    <w:bookmarkStart w:id="81"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1"/>
    <w:bookmarkStart w:id="82"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2"/>
    <w:bookmarkStart w:id="83"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3"/>
    <w:bookmarkStart w:id="84"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4"/>
    <w:bookmarkStart w:id="86"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5">
        <w:r>
          <w:rPr>
            <w:rStyle w:val="Hyperlink"/>
          </w:rPr>
          <w:t xml:space="preserve">10.1109/ICSE55347.2025.00223</w:t>
        </w:r>
      </w:hyperlink>
      <w:r>
        <w:t xml:space="preserve">.</w:t>
      </w:r>
    </w:p>
    <w:bookmarkEnd w:id="86"/>
    <w:bookmarkStart w:id="88"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7">
        <w:r>
          <w:rPr>
            <w:rStyle w:val="Hyperlink"/>
          </w:rPr>
          <w:t xml:space="preserve">10.1016/j.fsidi.2026.302051</w:t>
        </w:r>
      </w:hyperlink>
      <w:r>
        <w:t xml:space="preserve">.</w:t>
      </w:r>
    </w:p>
    <w:bookmarkEnd w:id="88"/>
    <w:bookmarkStart w:id="89"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9"/>
    <w:bookmarkStart w:id="91"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0">
        <w:r>
          <w:rPr>
            <w:rStyle w:val="Hyperlink"/>
          </w:rPr>
          <w:t xml:space="preserve">10.1145/2382577.2382579</w:t>
        </w:r>
      </w:hyperlink>
      <w:r>
        <w:t xml:space="preserve">.</w:t>
      </w:r>
    </w:p>
    <w:bookmarkEnd w:id="91"/>
    <w:bookmarkStart w:id="93"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2">
        <w:r>
          <w:rPr>
            <w:rStyle w:val="Hyperlink"/>
          </w:rPr>
          <w:t xml:space="preserve">10.1016/j.patter.2023.100804</w:t>
        </w:r>
      </w:hyperlink>
      <w:r>
        <w:t xml:space="preserve">.</w:t>
      </w:r>
    </w:p>
    <w:bookmarkEnd w:id="93"/>
    <w:bookmarkStart w:id="95"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4">
        <w:r>
          <w:rPr>
            <w:rStyle w:val="Hyperlink"/>
          </w:rPr>
          <w:t xml:space="preserve">10.1177/0278364920966642</w:t>
        </w:r>
      </w:hyperlink>
      <w:r>
        <w:t xml:space="preserve">.</w:t>
      </w:r>
    </w:p>
    <w:bookmarkEnd w:id="95"/>
    <w:bookmarkStart w:id="97"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6">
        <w:r>
          <w:rPr>
            <w:rStyle w:val="Hyperlink"/>
          </w:rPr>
          <w:t xml:space="preserve">10.1177/02783649241305153</w:t>
        </w:r>
      </w:hyperlink>
      <w:r>
        <w:t xml:space="preserve">.</w:t>
      </w:r>
    </w:p>
    <w:bookmarkEnd w:id="97"/>
    <w:bookmarkStart w:id="98"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8"/>
    <w:bookmarkStart w:id="100"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9">
        <w:r>
          <w:rPr>
            <w:rStyle w:val="Hyperlink"/>
          </w:rPr>
          <w:t xml:space="preserve">10.3390/aerospace3030022</w:t>
        </w:r>
      </w:hyperlink>
      <w:r>
        <w:t xml:space="preserve">.</w:t>
      </w:r>
    </w:p>
    <w:bookmarkEnd w:id="100"/>
    <w:bookmarkStart w:id="101"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1"/>
    <w:bookmarkStart w:id="103"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2">
        <w:r>
          <w:rPr>
            <w:rStyle w:val="Hyperlink"/>
          </w:rPr>
          <w:t xml:space="preserve">10.1109/ICRA.2015.7140074</w:t>
        </w:r>
      </w:hyperlink>
      <w:r>
        <w:t xml:space="preserve">.</w:t>
      </w:r>
    </w:p>
    <w:bookmarkEnd w:id="103"/>
    <w:bookmarkStart w:id="104"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4"/>
    <w:bookmarkStart w:id="105"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5"/>
    <w:bookmarkStart w:id="107"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6">
        <w:r>
          <w:rPr>
            <w:rStyle w:val="Hyperlink"/>
          </w:rPr>
          <w:t xml:space="preserve">10.3390/s26103188</w:t>
        </w:r>
      </w:hyperlink>
      <w:r>
        <w:t xml:space="preserve">.</w:t>
      </w:r>
    </w:p>
    <w:bookmarkEnd w:id="107"/>
    <w:bookmarkStart w:id="109"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8">
        <w:r>
          <w:rPr>
            <w:rStyle w:val="Hyperlink"/>
          </w:rPr>
          <w:t xml:space="preserve">10.3390/drones6110330</w:t>
        </w:r>
      </w:hyperlink>
      <w:r>
        <w:t xml:space="preserve">.</w:t>
      </w:r>
    </w:p>
    <w:bookmarkEnd w:id="109"/>
    <w:bookmarkStart w:id="111"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10">
        <w:r>
          <w:rPr>
            <w:rStyle w:val="Hyperlink"/>
          </w:rPr>
          <w:t xml:space="preserve">10.1145/3146389</w:t>
        </w:r>
      </w:hyperlink>
      <w:r>
        <w:t xml:space="preserve">.</w:t>
      </w:r>
    </w:p>
    <w:bookmarkEnd w:id="111"/>
    <w:bookmarkStart w:id="113"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2">
        <w:r>
          <w:rPr>
            <w:rStyle w:val="Hyperlink"/>
          </w:rPr>
          <w:t xml:space="preserve">10.3389/frobt.2024.1123762</w:t>
        </w:r>
      </w:hyperlink>
      <w:r>
        <w:t xml:space="preserve">.</w:t>
      </w:r>
    </w:p>
    <w:bookmarkEnd w:id="113"/>
    <w:bookmarkStart w:id="115"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4">
        <w:r>
          <w:rPr>
            <w:rStyle w:val="Hyperlink"/>
          </w:rPr>
          <w:t xml:space="preserve">10.1145/3468264.3468559</w:t>
        </w:r>
      </w:hyperlink>
      <w:r>
        <w:t xml:space="preserve">.</w:t>
      </w:r>
    </w:p>
    <w:bookmarkEnd w:id="115"/>
    <w:bookmarkStart w:id="117"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6">
        <w:r>
          <w:rPr>
            <w:rStyle w:val="Hyperlink"/>
          </w:rPr>
          <w:t xml:space="preserve">10.3390/s18093171</w:t>
        </w:r>
      </w:hyperlink>
      <w:r>
        <w:t xml:space="preserve">.</w:t>
      </w:r>
    </w:p>
    <w:bookmarkEnd w:id="117"/>
    <w:bookmarkStart w:id="118"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8"/>
    <w:bookmarkStart w:id="120"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9">
        <w:r>
          <w:rPr>
            <w:rStyle w:val="Hyperlink"/>
          </w:rPr>
          <w:t xml:space="preserve">https://proceedings.mlr.press/v235/du24e.html</w:t>
        </w:r>
      </w:hyperlink>
      <w:r>
        <w:t xml:space="preserve">.</w:t>
      </w:r>
    </w:p>
    <w:bookmarkEnd w:id="120"/>
    <w:bookmarkStart w:id="122"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1">
        <w:r>
          <w:rPr>
            <w:rStyle w:val="Hyperlink"/>
          </w:rPr>
          <w:t xml:space="preserve">10.1145/3605764.3623985</w:t>
        </w:r>
      </w:hyperlink>
      <w:r>
        <w:t xml:space="preserve">.</w:t>
      </w:r>
    </w:p>
    <w:bookmarkEnd w:id="122"/>
    <w:bookmarkStart w:id="124"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23">
        <w:r>
          <w:rPr>
            <w:rStyle w:val="Hyperlink"/>
          </w:rPr>
          <w:t xml:space="preserve">10.1109/TNNLS.2013.2292894</w:t>
        </w:r>
      </w:hyperlink>
      <w:r>
        <w:t xml:space="preserve">.</w:t>
      </w:r>
    </w:p>
    <w:bookmarkEnd w:id="124"/>
    <w:bookmarkStart w:id="126"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5">
        <w:r>
          <w:rPr>
            <w:rStyle w:val="Hyperlink"/>
          </w:rPr>
          <w:t xml:space="preserve">10.1214/09-STS313</w:t>
        </w:r>
      </w:hyperlink>
      <w:r>
        <w:t xml:space="preserve">.</w:t>
      </w:r>
    </w:p>
    <w:bookmarkEnd w:id="126"/>
    <w:bookmarkStart w:id="128"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7">
        <w:r>
          <w:rPr>
            <w:rStyle w:val="Hyperlink"/>
          </w:rPr>
          <w:t xml:space="preserve">10.1073/pnas.1708274114</w:t>
        </w:r>
      </w:hyperlink>
      <w:r>
        <w:t xml:space="preserve">.</w:t>
      </w:r>
    </w:p>
    <w:bookmarkEnd w:id="128"/>
    <w:bookmarkStart w:id="130"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9">
        <w:r>
          <w:rPr>
            <w:rStyle w:val="Hyperlink"/>
          </w:rPr>
          <w:t xml:space="preserve">10.1148/radiology.143.1.7063747</w:t>
        </w:r>
      </w:hyperlink>
      <w:r>
        <w:t xml:space="preserve">.</w:t>
      </w:r>
    </w:p>
    <w:bookmarkEnd w:id="130"/>
    <w:bookmarkStart w:id="132"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1">
        <w:r>
          <w:rPr>
            <w:rStyle w:val="Hyperlink"/>
          </w:rPr>
          <w:t xml:space="preserve">10.1214/aoms/1177730491</w:t>
        </w:r>
      </w:hyperlink>
      <w:r>
        <w:t xml:space="preserve">.</w:t>
      </w:r>
    </w:p>
    <w:bookmarkEnd w:id="132"/>
    <w:bookmarkStart w:id="133"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33"/>
    <w:bookmarkStart w:id="135"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34">
        <w:r>
          <w:rPr>
            <w:rStyle w:val="Hyperlink"/>
          </w:rPr>
          <w:t xml:space="preserve">https://www.jstor.org/stable/4615733</w:t>
        </w:r>
      </w:hyperlink>
      <w:r>
        <w:t xml:space="preserve">.</w:t>
      </w:r>
    </w:p>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42" Type="http://schemas.openxmlformats.org/officeDocument/2006/relationships/image" Target="media/rId42.png"/><Relationship Id="rId54" Type="http://schemas.openxmlformats.org/officeDocument/2006/relationships/image" Target="media/rId54.png"/><Relationship Id="rId33" Type="http://schemas.openxmlformats.org/officeDocument/2006/relationships/image" Target="media/rId33.png"/><Relationship Id="rId17" Type="http://schemas.openxmlformats.org/officeDocument/2006/relationships/image" Target="media/rId17.png"/><Relationship Id="rId49" Type="http://schemas.openxmlformats.org/officeDocument/2006/relationships/image" Target="media/rId49.png"/><Relationship Id="rId87" Type="http://schemas.openxmlformats.org/officeDocument/2006/relationships/hyperlink" Target="https://doi.org/10.1016/j.fsidi.2026.302051" TargetMode="External"/><Relationship Id="rId92" Type="http://schemas.openxmlformats.org/officeDocument/2006/relationships/hyperlink" Target="https://doi.org/10.1016/j.patter.2023.100804" TargetMode="External"/><Relationship Id="rId127" Type="http://schemas.openxmlformats.org/officeDocument/2006/relationships/hyperlink" Target="https://doi.org/10.1073/pnas.1708274114" TargetMode="External"/><Relationship Id="rId102" Type="http://schemas.openxmlformats.org/officeDocument/2006/relationships/hyperlink" Target="https://doi.org/10.1109/ICRA.2015.7140074" TargetMode="External"/><Relationship Id="rId85" Type="http://schemas.openxmlformats.org/officeDocument/2006/relationships/hyperlink" Target="https://doi.org/10.1109/ICSE55347.2025.00223" TargetMode="External"/><Relationship Id="rId123" Type="http://schemas.openxmlformats.org/officeDocument/2006/relationships/hyperlink" Target="https://doi.org/10.1109/TNNLS.2013.2292894" TargetMode="External"/><Relationship Id="rId90"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1" Type="http://schemas.openxmlformats.org/officeDocument/2006/relationships/hyperlink" Target="https://doi.org/10.1145/3605764.3623985" TargetMode="External"/><Relationship Id="rId129" Type="http://schemas.openxmlformats.org/officeDocument/2006/relationships/hyperlink" Target="https://doi.org/10.1148/radiology.143.1.7063747" TargetMode="External"/><Relationship Id="rId94" Type="http://schemas.openxmlformats.org/officeDocument/2006/relationships/hyperlink" Target="https://doi.org/10.1177/0278364920966642" TargetMode="External"/><Relationship Id="rId96" Type="http://schemas.openxmlformats.org/officeDocument/2006/relationships/hyperlink" Target="https://doi.org/10.1177/02783649241305153" TargetMode="External"/><Relationship Id="rId125" Type="http://schemas.openxmlformats.org/officeDocument/2006/relationships/hyperlink" Target="https://doi.org/10.1214/09-STS313" TargetMode="External"/><Relationship Id="rId131" Type="http://schemas.openxmlformats.org/officeDocument/2006/relationships/hyperlink" Target="https://doi.org/10.1214/aoms/1177730491" TargetMode="External"/><Relationship Id="rId112" Type="http://schemas.openxmlformats.org/officeDocument/2006/relationships/hyperlink" Target="https://doi.org/10.3389/frobt.2024.1123762" TargetMode="External"/><Relationship Id="rId99"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69" Type="http://schemas.openxmlformats.org/officeDocument/2006/relationships/hyperlink" Target="https://github.com/AdityaPathare46/aerofleet" TargetMode="External"/><Relationship Id="rId119" Type="http://schemas.openxmlformats.org/officeDocument/2006/relationships/hyperlink" Target="https://proceedings.mlr.press/v235/du24e.html" TargetMode="External"/><Relationship Id="rId134"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7" Type="http://schemas.openxmlformats.org/officeDocument/2006/relationships/hyperlink" Target="https://doi.org/10.1016/j.fsidi.2026.302051" TargetMode="External"/><Relationship Id="rId92" Type="http://schemas.openxmlformats.org/officeDocument/2006/relationships/hyperlink" Target="https://doi.org/10.1016/j.patter.2023.100804" TargetMode="External"/><Relationship Id="rId127" Type="http://schemas.openxmlformats.org/officeDocument/2006/relationships/hyperlink" Target="https://doi.org/10.1073/pnas.1708274114" TargetMode="External"/><Relationship Id="rId102" Type="http://schemas.openxmlformats.org/officeDocument/2006/relationships/hyperlink" Target="https://doi.org/10.1109/ICRA.2015.7140074" TargetMode="External"/><Relationship Id="rId85" Type="http://schemas.openxmlformats.org/officeDocument/2006/relationships/hyperlink" Target="https://doi.org/10.1109/ICSE55347.2025.00223" TargetMode="External"/><Relationship Id="rId123" Type="http://schemas.openxmlformats.org/officeDocument/2006/relationships/hyperlink" Target="https://doi.org/10.1109/TNNLS.2013.2292894" TargetMode="External"/><Relationship Id="rId90"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1" Type="http://schemas.openxmlformats.org/officeDocument/2006/relationships/hyperlink" Target="https://doi.org/10.1145/3605764.3623985" TargetMode="External"/><Relationship Id="rId129" Type="http://schemas.openxmlformats.org/officeDocument/2006/relationships/hyperlink" Target="https://doi.org/10.1148/radiology.143.1.7063747" TargetMode="External"/><Relationship Id="rId94" Type="http://schemas.openxmlformats.org/officeDocument/2006/relationships/hyperlink" Target="https://doi.org/10.1177/0278364920966642" TargetMode="External"/><Relationship Id="rId96" Type="http://schemas.openxmlformats.org/officeDocument/2006/relationships/hyperlink" Target="https://doi.org/10.1177/02783649241305153" TargetMode="External"/><Relationship Id="rId125" Type="http://schemas.openxmlformats.org/officeDocument/2006/relationships/hyperlink" Target="https://doi.org/10.1214/09-STS313" TargetMode="External"/><Relationship Id="rId131" Type="http://schemas.openxmlformats.org/officeDocument/2006/relationships/hyperlink" Target="https://doi.org/10.1214/aoms/1177730491" TargetMode="External"/><Relationship Id="rId112" Type="http://schemas.openxmlformats.org/officeDocument/2006/relationships/hyperlink" Target="https://doi.org/10.3389/frobt.2024.1123762" TargetMode="External"/><Relationship Id="rId99"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69" Type="http://schemas.openxmlformats.org/officeDocument/2006/relationships/hyperlink" Target="https://github.com/AdityaPathare46/aerofleet" TargetMode="External"/><Relationship Id="rId119" Type="http://schemas.openxmlformats.org/officeDocument/2006/relationships/hyperlink" Target="https://proceedings.mlr.press/v235/du24e.html" TargetMode="External"/><Relationship Id="rId134"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2026-10-27T08:27:10Z</dcterms:created>
  <dcterms:modified xsi:type="dcterms:W3CDTF">2026-10-27T08:27:10Z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