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determine whether a drone crash was caused by the pilot or the aircraft. Across 590 public PX4 crash logs from 479,547 flights, we evaluate that expectation using declared protocols committed prior to analysis. First, automatic crash attribution between pilot and aircraft is not achievable above chance: a fixed rule reached a balanced accuracy of 0.47 on held-out crashes, cross-validated logistic regression yielded AUCs of 0.45–0.46 (permutation null</w:t>
      </w:r>
      <w:r>
        <w:t xml:space="preserve"> </w:t>
      </w:r>
      <m:oMath>
        <m:r>
          <m:t>p</m:t>
        </m:r>
        <m:r>
          <m:rPr>
            <m:sty m:val="p"/>
          </m:rPr>
          <m:t>=</m:t>
        </m:r>
        <m:r>
          <m:t>0.51</m:t>
        </m:r>
      </m:oMath>
      <w:r>
        <w:t xml:space="preserve">), and gradient-boosted trees remained near chance once impact was excluded. Second, diagnostic checks suffer from crash data leakage: tuning fault detection fell from 77.8% to 11.1% sensitivity (</w:t>
      </w:r>
      <m:oMath>
        <m:r>
          <m:t>p</m:t>
        </m:r>
        <m:r>
          <m:rPr>
            <m:sty m:val="p"/>
          </m:rPr>
          <m:t>=</m:t>
        </m:r>
        <m:r>
          <m:t>0.031</m:t>
        </m:r>
      </m:oMath>
      <w:r>
        <w:t xml:space="preserve">) without the final 10 s, and cross-sectional separation was substantially attenuated within the same drone (AUC 0.58). Third, drones that later crashed showed higher baseline vibration than matched peers on older estimator metrics (mean rank 0.67, Holm</w:t>
      </w:r>
      <w:r>
        <w:t xml:space="preserve"> </w:t>
      </w:r>
      <m:oMath>
        <m:r>
          <m:t>p</m:t>
        </m:r>
        <m:r>
          <m:rPr>
            <m:sty m:val="p"/>
          </m:rPr>
          <m:t>=</m:t>
        </m:r>
        <m:r>
          <m:t>0.016</m:t>
        </m:r>
      </m:oMath>
      <w:r>
        <w:t xml:space="preserve">), though replication on newer accelerometer metrics was inconclusive (</w:t>
      </w:r>
      <m:oMath>
        <m:r>
          <m:t>p</m:t>
        </m:r>
        <m:r>
          <m:rPr>
            <m:sty m:val="p"/>
          </m:rPr>
          <m:t>=</m:t>
        </m:r>
        <m:r>
          <m:t>0.25</m:t>
        </m:r>
      </m:oMath>
      <w:r>
        <w:t xml:space="preserve">). Flagging upper-quartile vibration identifies 63.3% of crashed airframes (matched-set PPV 1.04% [95% CI 0.83–1.25%] at the 0.74% vehicle base rate; fleet-wide reference PPV 3.8% at the 1.54% log rate, 26 inspections per crash). AeroFleet 2.0, an open-source assurance tool, presents longitudinal evidence without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8</w:t>
        </w:r>
      </w:hyperlink>
      <w:r>
        <w:t xml:space="preserve">–</w:t>
      </w:r>
      <w:hyperlink w:anchor="_973650d78dc352a8b25ace59ab002a1d91cdfc9">
        <w:r>
          <w:rPr>
            <w:rStyle w:val="Hyperlink"/>
          </w:rPr>
          <w:t xml:space="preserve">10</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11</w:t>
        </w:r>
      </w:hyperlink>
      <w:r>
        <w:t xml:space="preserve">,</w:t>
      </w:r>
      <w:hyperlink w:anchor="_b513b568a9a02649a1ddc461a1dd01e876732a2">
        <w:r>
          <w:rPr>
            <w:rStyle w:val="Hyperlink"/>
          </w:rPr>
          <w:t xml:space="preserve">12</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in public version</w:t>
      </w:r>
      <w:r>
        <w:t xml:space="preserve"> </w:t>
      </w:r>
      <w:r>
        <w:t xml:space="preserve">control before the data it used were analysed, and decisive tests were repeated on held-out data, following declared</w:t>
      </w:r>
      <w:r>
        <w:t xml:space="preserve"> </w:t>
      </w:r>
      <w:r>
        <w:t xml:space="preserve">test protocols committed prior to analysis</w:t>
      </w:r>
      <w:r>
        <w:t xml:space="preserve"> </w:t>
      </w:r>
      <w:r>
        <w:t xml:space="preserve">[</w:t>
      </w:r>
      <w:hyperlink w:anchor="_f6e66cea9a1ea78573b548bc5cf8461c81300ca">
        <w:r>
          <w:rPr>
            <w:rStyle w:val="Hyperlink"/>
          </w:rPr>
          <w:t xml:space="preserve">17</w:t>
        </w:r>
      </w:hyperlink>
      <w:r>
        <w:t xml:space="preserve">]</w:t>
      </w:r>
      <w:r>
        <w:t xml:space="preserve">; secondary sensitivity and diagnostic analyses added</w:t>
      </w:r>
      <w:r>
        <w:t xml:space="preserve"> </w:t>
      </w:r>
      <w:r>
        <w:t xml:space="preserve">during revision are explicitly designated as exploratory. (iii) We show that crash attribution from logs was not</w:t>
      </w:r>
      <w:r>
        <w:t xml:space="preserve"> </w:t>
      </w:r>
      <w:r>
        <w:t xml:space="preserve">achievable with these labels and features, and that apparent diagnostic accuracy can come from the crash itself. (iv)</w:t>
      </w:r>
      <w:r>
        <w:t xml:space="preserve"> </w:t>
      </w:r>
      <w:r>
        <w:t xml:space="preserve">We report one positive screening signal: drones that later crash are rougher on their ordinary flights than matched</w:t>
      </w:r>
      <w:r>
        <w:t xml:space="preserve"> </w:t>
      </w:r>
      <w:r>
        <w:t xml:space="preserve">drones on older estimator metrics, though replication on newer accelerometer metrics was inconclusive (</w:t>
      </w:r>
      <m:oMath>
        <m:r>
          <m:t>p</m:t>
        </m:r>
        <m:r>
          <m:rPr>
            <m:sty m:val="p"/>
          </m:rPr>
          <m:t>=</m:t>
        </m:r>
        <m:r>
          <m:t>0.25</m:t>
        </m:r>
      </m:oMath>
      <w:r>
        <w:t xml:space="preserve">) and</w:t>
      </w:r>
      <w:r>
        <w:t xml:space="preserve"> </w:t>
      </w:r>
      <w:r>
        <w:t xml:space="preserve">fleet screening yields an operational positive predictive value of 1.04% under empirical matched-set screening (relative</w:t>
      </w:r>
      <w:r>
        <w:t xml:space="preserve"> </w:t>
      </w:r>
      <w:r>
        <w:t xml:space="preserve">risk</w:t>
      </w:r>
      <w:r>
        <w:t xml:space="preserve"> </w:t>
      </w:r>
      <m:oMath>
        <m:r>
          <m:t>2.09</m:t>
        </m:r>
        <m:r>
          <m:rPr>
            <m:sty m:val="p"/>
          </m:rPr>
          <m:t>×</m:t>
        </m:r>
      </m:oMath>
      <w:r>
        <w:t xml:space="preserve">, lift</w:t>
      </w:r>
      <w:r>
        <w:t xml:space="preserve"> </w:t>
      </w:r>
      <m:oMath>
        <m:r>
          <m:t>1.40</m:t>
        </m:r>
        <m:r>
          <m:rPr>
            <m:sty m:val="p"/>
          </m:rPr>
          <m:t>×</m:t>
        </m:r>
      </m:oMath>
      <w:r>
        <w:t xml:space="preserve">; 3.8% under a theoretical fleet-wide reference, relative risk</w:t>
      </w:r>
      <w:r>
        <w:t xml:space="preserve"> </w:t>
      </w:r>
      <m:oMath>
        <m:r>
          <m:t>5.02</m:t>
        </m:r>
        <m:r>
          <m:rPr>
            <m:sty m:val="p"/>
          </m:rPr>
          <m:t>×</m:t>
        </m:r>
      </m:oMath>
      <w:r>
        <w:t xml:space="preserve">). (v) We show how these results translate into the design of an open-source</w:t>
      </w:r>
      <w:r>
        <w:t xml:space="preserve"> </w:t>
      </w:r>
      <w:r>
        <w:t xml:space="preserve">assurance tool, AeroFleet 2.0, and report engineering checks of its parts, including one negative result</w:t>
      </w:r>
      <w:r>
        <w:t xml:space="preserve"> </w:t>
      </w:r>
      <w:r>
        <w:t xml:space="preserve">(Section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8</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9</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10</w:t>
        </w:r>
      </w:hyperlink>
      <w:r>
        <w:t xml:space="preserve">]</w:t>
      </w:r>
      <w:r>
        <w:t xml:space="preserve">, used by later anomaly-mining work</w:t>
      </w:r>
      <w:r>
        <w:t xml:space="preserve"> </w:t>
      </w:r>
      <w:r>
        <w:t xml:space="preserve">[</w:t>
      </w:r>
      <w:hyperlink w:anchor="_c1fc4b225b7dfa71f64cc84e83afba5f24698c2">
        <w:r>
          <w:rPr>
            <w:rStyle w:val="Hyperlink"/>
          </w:rPr>
          <w:t xml:space="preserve">18</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19</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8</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9</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10</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24</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11</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25</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declaring hypotheses and analysis scripts in version control prior to running tests</w:t>
      </w:r>
      <w:r>
        <w:t xml:space="preserve"> </w:t>
      </w:r>
      <w:r>
        <w:t xml:space="preserve">separates confirmatory from exploratory analysis</w:t>
      </w:r>
      <w:r>
        <w:t xml:space="preserve"> </w:t>
      </w:r>
      <w:r>
        <w:t xml:space="preserve">[</w:t>
      </w:r>
      <w:hyperlink w:anchor="_f6e66cea9a1ea78573b548bc5cf8461c81300ca">
        <w:r>
          <w:rPr>
            <w:rStyle w:val="Hyperlink"/>
          </w:rPr>
          <w:t xml:space="preserve">17</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complete duration and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On the 14</w:t>
      </w:r>
      <w:r>
        <w:t xml:space="preserve"> </w:t>
      </w:r>
      <w:r>
        <w:t xml:space="preserve">overlapping logs carrying an uploader aircraft crash rating, experts agreed in 11 and were unclear in 3 (none blamed the</w:t>
      </w:r>
      <w:r>
        <w:t xml:space="preserve"> </w:t>
      </w:r>
      <w:r>
        <w:t xml:space="preserve">pilot). This gap suggests potential politeness bias on public developer forums, selection bias in which incidents operators</w:t>
      </w:r>
      <w:r>
        <w:t xml:space="preserve"> </w:t>
      </w:r>
      <w:r>
        <w:t xml:space="preserve">submit for community assistance, or a narrower definition of pilot error among autopilot developers compared to end users.</w:t>
      </w:r>
      <w:r>
        <w:t xml:space="preserve"> </w:t>
      </w:r>
      <w:r>
        <w:t xml:space="preserve">Furthermore, while expert coding showed strong agreement on aircraft-rated logs, forum threads did not provide an</w:t>
      </w:r>
      <w:r>
        <w:t xml:space="preserve"> </w:t>
      </w:r>
      <w:r>
        <w:t xml:space="preserve">expert-diagnosed pilot-rated sample to verify the validity of pilot-blamed labels independently. 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 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drones, three randomly chosen flights each, seed 7). Control drones were sampled without replacement, so no control served</w:t>
      </w:r>
      <w:r>
        <w:t xml:space="preserve"> </w:t>
      </w:r>
      <w:r>
        <w:t xml:space="preserve">two cases. The three exposure flights of a crashed drone were its most recent non-crash flights dated on or before the crash;</w:t>
      </w:r>
      <w:r>
        <w:t xml:space="preserve"> </w:t>
      </w:r>
      <w:r>
        <w:t xml:space="preserve">flights on the crash day were included in the declared test because the archive does not give their order within a day, and</w:t>
      </w:r>
      <w:r>
        <w:t xml:space="preserve"> </w:t>
      </w:r>
      <w:r>
        <w:t xml:space="preserve">removed in a sensitivity analysis.</w:t>
      </w:r>
    </w:p>
    <w:p>
      <w:pPr>
        <w:pStyle w:val="BodyText"/>
      </w:pP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 In the</w:t>
      </w:r>
      <w:r>
        <w:t xml:space="preserve"> </w:t>
      </w:r>
      <w:r>
        <w:t xml:space="preserve">between-drone sample, 124 matched control drones contributed 372 flights (</w:t>
      </w:r>
      <m:oMath>
        <m:r>
          <m:t>124</m:t>
        </m:r>
        <m:r>
          <m:rPr>
            <m:sty m:val="p"/>
          </m:rPr>
          <m:t>×</m:t>
        </m:r>
        <m:r>
          <m:t>3</m:t>
        </m:r>
      </m:oMath>
      <w:r>
        <w:t xml:space="preserve">), distinct from the 372 flights</w:t>
      </w:r>
      <w:r>
        <w:t xml:space="preserve"> </w:t>
      </w:r>
      <w:r>
        <w:t xml:space="preserve">(67 crash flights and 305 earlier flights) evaluated in the within-drone predictive model.</w:t>
      </w:r>
    </w:p>
    <w:bookmarkStart w:id="20" w:name="_43eadb6bdc2e4f778444eb9134cf25c02e7400a"/>
    <w:p>
      <w:pPr>
        <w:pStyle w:val="CaptionedFigure"/>
        <w:jc w:val="center"/>
      </w:pPr>
      <w:r>
        <w:drawing>
          <wp:inline>
            <wp:extent cx="5334000" cy="3777652"/>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777652"/>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38 logs downloadable (all 38 aircraft-fault)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For each test, the selection, features, statistic, threshold and pass mark were committed and pushed to a public git</w:t>
      </w:r>
      <w:r>
        <w:t xml:space="preserve"> </w:t>
      </w:r>
      <w:r>
        <w:t xml:space="preserve">repository before the data it used were downloaded or analysed. Unlike third-party registries (such as the Open Science</w:t>
      </w:r>
      <w:r>
        <w:t xml:space="preserve"> </w:t>
      </w:r>
      <w:r>
        <w:t xml:space="preserve">Framework, Zenodo or Software Heritage), git commits on self-hosted repositories remain under author control until an</w:t>
      </w:r>
      <w:r>
        <w:t xml:space="preserve"> </w:t>
      </w:r>
      <w:r>
        <w:t xml:space="preserve">archived DOI release is minted on acceptance; commit identifiers and hashes are preserved in public version control.</w:t>
      </w:r>
      <w:r>
        <w:t xml:space="preserve"> </w:t>
      </w:r>
      <w:r>
        <w:t xml:space="preserve">One amendment was data-dependent: after observing that the firmware filter of the within-drone test left only 12 eligible</w:t>
      </w:r>
      <w:r>
        <w:t xml:space="preserve"> </w:t>
      </w:r>
      <w:r>
        <w:t xml:space="preserve">cases (without inspecting any outcome data), the firmware filter was removed and a fallback for older firmware was added.</w:t>
      </w:r>
      <w:r>
        <w:t xml:space="preserve"> </w:t>
      </w:r>
      <w:r>
        <w:t xml:space="preserve">One coding error was corrected after a first run (logs whose CPU-load record lacked the load field were being skipped); no</w:t>
      </w:r>
      <w:r>
        <w:t xml:space="preserve"> </w:t>
      </w:r>
      <w:r>
        <w:t xml:space="preserve">threshold changed. Secondary sensitivity analyses and diagnostic evaluations added during peer review are explicitly</w:t>
      </w:r>
      <w:r>
        <w:t xml:space="preserve"> </w:t>
      </w:r>
      <w:r>
        <w:t xml:space="preserve">designated as exploratory and documented with commit hashes in Section 5.8.</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33</w:t>
        </w:r>
      </w:hyperlink>
      <w:r>
        <w:t xml:space="preserve">]</w:t>
      </w:r>
      <w:r>
        <w:t xml:space="preserve">. As an exploratory sensitivity analysis, non-linear feature interactions were</w:t>
      </w:r>
      <w:r>
        <w:t xml:space="preserve"> </w:t>
      </w:r>
      <w:r>
        <w:t xml:space="preserve">evaluated using depth-3 gradient-boosted decision trees.</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Appendix B.</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Across these complete-feature cases, the cross-validated</w:t>
      </w:r>
      <w:r>
        <w:t xml:space="preserve"> </w:t>
      </w:r>
      <w:r>
        <w:t xml:space="preserve">logistic regression model on Task B yielded ROC AUCs between 0.449 and 0.458 (</w:t>
      </w:r>
      <m:oMath>
        <m:r>
          <m:t>0.450</m:t>
        </m:r>
        <m:r>
          <m:rPr>
            <m:sty m:val="p"/>
          </m:rPr>
          <m:t>±</m:t>
        </m:r>
        <m:r>
          <m:t>0.015</m:t>
        </m:r>
      </m:oMath>
      <w:r>
        <w:t xml:space="preserve"> </w:t>
      </w:r>
      <w:r>
        <w:t xml:space="preserve">at</w:t>
      </w:r>
      <w:r>
        <w:t xml:space="preserve"> </w:t>
      </w:r>
      <m:oMath>
        <m:r>
          <m:t>m</m:t>
        </m:r>
        <m:r>
          <m:rPr>
            <m:sty m:val="p"/>
          </m:rPr>
          <m:t>=</m:t>
        </m:r>
        <m:r>
          <m:t>0</m:t>
        </m:r>
      </m:oMath>
      <w:r>
        <w:t xml:space="preserve"> s,</w:t>
      </w:r>
      <w:r>
        <w:t xml:space="preserve"> </w:t>
      </w:r>
      <m:oMath>
        <m:r>
          <m:t>0.449</m:t>
        </m:r>
        <m:r>
          <m:rPr>
            <m:sty m:val="p"/>
          </m:rPr>
          <m:t>±</m:t>
        </m:r>
        <m:r>
          <m:t>0.022</m:t>
        </m:r>
      </m:oMath>
      <w:r>
        <w:t xml:space="preserve"> </w:t>
      </w:r>
      <w:r>
        <w:t xml:space="preserve">at</w:t>
      </w:r>
      <w:r>
        <w:t xml:space="preserve"> </w:t>
      </w:r>
      <m:oMath>
        <m:r>
          <m:t>m</m:t>
        </m:r>
        <m:r>
          <m:rPr>
            <m:sty m:val="p"/>
          </m:rPr>
          <m:t>=</m:t>
        </m:r>
        <m:r>
          <m:t>10</m:t>
        </m:r>
      </m:oMath>
      <w:r>
        <w:t xml:space="preserve"> s, and</w:t>
      </w:r>
      <w:r>
        <w:t xml:space="preserve"> </w:t>
      </w:r>
      <m:oMath>
        <m:r>
          <m:t>0.458</m:t>
        </m:r>
        <m:r>
          <m:rPr>
            <m:sty m:val="p"/>
          </m:rPr>
          <m:t>±</m:t>
        </m:r>
        <m:r>
          <m:t>0.034</m:t>
        </m:r>
      </m:oMath>
      <w:r>
        <w:t xml:space="preserve"> </w:t>
      </w:r>
      <w:r>
        <w:t xml:space="preserve">at</w:t>
      </w:r>
      <w:r>
        <w:t xml:space="preserve"> </w:t>
      </w:r>
      <m:oMath>
        <m:r>
          <m:t>m</m:t>
        </m:r>
        <m:r>
          <m:rPr>
            <m:sty m:val="p"/>
          </m:rPr>
          <m:t>=</m:t>
        </m:r>
        <m:r>
          <m:t>30</m:t>
        </m:r>
      </m:oMath>
      <w:r>
        <w:t xml:space="preserve"> s; Fig. 3). To test whether these</w:t>
      </w:r>
      <w:r>
        <w:t xml:space="preserve"> </w:t>
      </w:r>
      <w:r>
        <w:t xml:space="preserve">below-chance AUCs represent an inverted physical signal or finite-sample noise, we computed a 1,000-iteration permutation</w:t>
      </w:r>
      <w:r>
        <w:t xml:space="preserve"> </w:t>
      </w:r>
      <w:r>
        <w:t xml:space="preserve">null distribution on Task B by randomly shuffling crash attribution labels across folds: the null distribution had mean</w:t>
      </w:r>
      <w:r>
        <w:t xml:space="preserve"> </w:t>
      </w:r>
      <w:r>
        <w:t xml:space="preserve">0.497 (SD 0.090) with an empirical 95% interval of 0.313–0.660. The observed cross-validated AUC of 0.449 falls</w:t>
      </w:r>
      <w:r>
        <w:t xml:space="preserve"> </w:t>
      </w:r>
      <w:r>
        <w:t xml:space="preserve">comfortfully within this chance range (two-sided permutation</w:t>
      </w:r>
      <w:r>
        <w:t xml:space="preserve"> </w:t>
      </w:r>
      <m:oMath>
        <m:r>
          <m:t>p</m:t>
        </m:r>
        <m:r>
          <m:rPr>
            <m:sty m:val="p"/>
          </m:rPr>
          <m:t>=</m:t>
        </m:r>
        <m:r>
          <m:t>0.509</m:t>
        </m:r>
      </m:oMath>
      <w:r>
        <w:t xml:space="preserve">).</w:t>
      </w:r>
    </w:p>
    <w:p>
      <w:pPr>
        <w:pStyle w:val="BodyText"/>
      </w:pPr>
      <w:r>
        <w:t xml:space="preserve">To evaluate whether non-linear feature interactions could extract subtle pre-crash signatures, we trained gradient-boosted</w:t>
      </w:r>
      <w:r>
        <w:t xml:space="preserve"> </w:t>
      </w:r>
      <w:r>
        <w:t xml:space="preserve">decision tree ensembles on Task B. Depth-1 decision stumps reached an AUC of</w:t>
      </w:r>
      <w:r>
        <w:t xml:space="preserve"> </w:t>
      </w:r>
      <m:oMath>
        <m:r>
          <m:t>0.560</m:t>
        </m:r>
        <m:r>
          <m:rPr>
            <m:sty m:val="p"/>
          </m:rPr>
          <m:t>±</m:t>
        </m:r>
        <m:r>
          <m:t>0.117</m:t>
        </m:r>
      </m:oMath>
      <w:r>
        <w:t xml:space="preserve"> </w:t>
      </w:r>
      <w:r>
        <w:t xml:space="preserve">at</w:t>
      </w:r>
      <w:r>
        <w:t xml:space="preserve"> </w:t>
      </w:r>
      <m:oMath>
        <m:r>
          <m:t>m</m:t>
        </m:r>
        <m:r>
          <m:rPr>
            <m:sty m:val="p"/>
          </m:rPr>
          <m:t>=</m:t>
        </m:r>
        <m:r>
          <m:t>0</m:t>
        </m:r>
      </m:oMath>
      <w:r>
        <w:t xml:space="preserve"> s, falling to</w:t>
      </w:r>
      <w:r>
        <w:t xml:space="preserve"> </w:t>
      </w:r>
      <m:oMath>
        <m:r>
          <m:t>0.413</m:t>
        </m:r>
        <m:r>
          <m:rPr>
            <m:sty m:val="p"/>
          </m:rPr>
          <m:t>±</m:t>
        </m:r>
        <m:r>
          <m:t>0.129</m:t>
        </m:r>
      </m:oMath>
      <w:r>
        <w:t xml:space="preserve"> </w:t>
      </w:r>
      <w:r>
        <w:t xml:space="preserve">at</w:t>
      </w:r>
      <w:r>
        <w:t xml:space="preserve"> </w:t>
      </w:r>
      <m:oMath>
        <m:r>
          <m:t>m</m:t>
        </m:r>
        <m:r>
          <m:rPr>
            <m:sty m:val="p"/>
          </m:rPr>
          <m:t>=</m:t>
        </m:r>
        <m:r>
          <m:t>10</m:t>
        </m:r>
      </m:oMath>
      <w:r>
        <w:t xml:space="preserve"> s. Depth-3 boosted trees reached an AUC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w:t>
      </w:r>
      <m:oMath>
        <m:r>
          <m:t>0.604</m:t>
        </m:r>
        <m:r>
          <m:rPr>
            <m:sty m:val="p"/>
          </m:rPr>
          <m:t>±</m:t>
        </m:r>
        <m:r>
          <m:t>0.095</m:t>
        </m:r>
      </m:oMath>
      <w:r>
        <w:t xml:space="preserve"> </w:t>
      </w:r>
      <w:r>
        <w:t xml:space="preserve">at</w:t>
      </w:r>
      <w:r>
        <w:t xml:space="preserve"> </w:t>
      </w:r>
      <m:oMath>
        <m:r>
          <m:t>m</m:t>
        </m:r>
        <m:r>
          <m:rPr>
            <m:sty m:val="p"/>
          </m:rPr>
          <m:t>=</m:t>
        </m:r>
        <m:r>
          <m:t>2</m:t>
        </m:r>
      </m:oMath>
      <w:r>
        <w:t xml:space="preserve"> s,</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falling to</w:t>
      </w:r>
      <w:r>
        <w:t xml:space="preserve"> </w:t>
      </w:r>
      <m:oMath>
        <m:r>
          <m:t>0.553</m:t>
        </m:r>
        <m:r>
          <m:rPr>
            <m:sty m:val="p"/>
          </m:rPr>
          <m:t>±</m:t>
        </m:r>
        <m:r>
          <m:t>0.171</m:t>
        </m:r>
      </m:oMath>
      <w:r>
        <w:t xml:space="preserve"> </w:t>
      </w:r>
      <w:r>
        <w:t xml:space="preserve">at</w:t>
      </w:r>
      <w:r>
        <w:t xml:space="preserve"> </w:t>
      </w:r>
      <m:oMath>
        <m:r>
          <m:t>m</m:t>
        </m:r>
        <m:r>
          <m:rPr>
            <m:sty m:val="p"/>
          </m:rPr>
          <m:t>=</m:t>
        </m:r>
        <m:r>
          <m:t>10</m:t>
        </m:r>
      </m:oMath>
      <w:r>
        <w:t xml:space="preserve"> s,</w:t>
      </w:r>
      <w:r>
        <w:t xml:space="preserve"> </w:t>
      </w:r>
      <m:oMath>
        <m:r>
          <m:t>0.579</m:t>
        </m:r>
        <m:r>
          <m:rPr>
            <m:sty m:val="p"/>
          </m:rPr>
          <m:t>±</m:t>
        </m:r>
        <m:r>
          <m:t>0.150</m:t>
        </m:r>
      </m:oMath>
      <w:r>
        <w:t xml:space="preserve"> </w:t>
      </w:r>
      <w:r>
        <w:t xml:space="preserve">at</w:t>
      </w:r>
      <w:r>
        <w:t xml:space="preserve"> </w:t>
      </w:r>
      <m:oMath>
        <m:r>
          <m:t>m</m:t>
        </m:r>
        <m:r>
          <m:rPr>
            <m:sty m:val="p"/>
          </m:rPr>
          <m:t>=</m:t>
        </m:r>
        <m:r>
          <m:t>20</m:t>
        </m:r>
      </m:oMath>
      <w:r>
        <w:t xml:space="preserve"> s, and</w:t>
      </w:r>
      <w:r>
        <w:t xml:space="preserve"> </w:t>
      </w:r>
      <m:oMath>
        <m:r>
          <m:t>0.548</m:t>
        </m:r>
        <m:r>
          <m:rPr>
            <m:sty m:val="p"/>
          </m:rPr>
          <m:t>±</m:t>
        </m:r>
        <m:r>
          <m:t>0.104</m:t>
        </m:r>
      </m:oMath>
      <w:r>
        <w:t xml:space="preserve"> </w:t>
      </w:r>
      <w:r>
        <w:t xml:space="preserve">at</w:t>
      </w:r>
      <w:r>
        <w:t xml:space="preserve"> </w:t>
      </w:r>
      <m:oMath>
        <m:r>
          <m:t>m</m:t>
        </m:r>
        <m:r>
          <m:rPr>
            <m:sty m:val="p"/>
          </m:rPr>
          <m:t>=</m:t>
        </m:r>
        <m:r>
          <m:t>30</m:t>
        </m:r>
      </m:oMath>
      <w:r>
        <w:t xml:space="preserve"> s. Both boosted ensembles remain within the 95% permutation chance interval (0.313–0.660). Modeling non-linear interactions</w:t>
      </w:r>
      <w:r>
        <w:t xml:space="preserve"> </w:t>
      </w:r>
      <w:r>
        <w:t xml:space="preserve">does not rescue crash attribution; once the impact window is excluded, classification remains near chance. We conclude that</w:t>
      </w:r>
      <w:r>
        <w:t xml:space="preserve"> </w:t>
      </w:r>
      <w:r>
        <w:t xml:space="preserve">crash attribution is not achievable with these features and labels.</w:t>
      </w:r>
    </w:p>
    <w:bookmarkStart w:id="35" w:name="_049e4e3e8c6150f6efca473eb560bdd9d2e8e6a"/>
    <w:p>
      <w:pPr>
        <w:pStyle w:val="CaptionedFigure"/>
        <w:jc w:val="center"/>
      </w:pPr>
      <w:r>
        <w:drawing>
          <wp:inline>
            <wp:extent cx="4160520" cy="2632959"/>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32959"/>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holds on</w:t>
      </w:r>
      <w:r>
        <w:t xml:space="preserve"> </w:t>
      </w:r>
      <w:r>
        <w:t xml:space="preserve">identical flights, confirming that changing sample composition across cut-offs did not mask a collapse.</w:t>
      </w:r>
    </w:p>
    <w:p>
      <w:pPr>
        <w:pStyle w:val="BodyText"/>
      </w:pPr>
      <w:r>
        <w:t xml:space="preserve">Leakage was nevertheless present for individual checks. The rate-tracking feature alone fell from an AUC of 0.81 to 0.69</w:t>
      </w:r>
      <w:r>
        <w:t xml:space="preserve"> </w:t>
      </w:r>
      <w:r>
        <w:t xml:space="preserve">as the crash was excluded, while vibration stayed between 0.74 and 0.77. A fixed tuning check that found 10 of 12</w:t>
      </w:r>
      <w:r>
        <w:t xml:space="preserve"> </w:t>
      </w:r>
      <w:r>
        <w:t xml:space="preserve">expert-diagnosed tuning faults with the crash included found 1 of 9 once the last 10 s were removed</w:t>
      </w:r>
      <w:r>
        <w:t xml:space="preserve"> </w:t>
      </w:r>
      <w:r>
        <w:t xml:space="preserve">(Section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firmware era</w:t>
      </w:r>
      <w:r>
        <w:t xml:space="preserve"> </w:t>
      </w:r>
      <w:r>
        <w:t xml:space="preserve">distribution, and operational flight envelope. Table 6 gives the single-feature AUCs. Values below 0.5</w:t>
      </w:r>
      <w:r>
        <w:t xml:space="preserve"> </w:t>
      </w:r>
      <w:r>
        <w:t xml:space="preserve">indicate features that are lower in crash flights: crash flights reached lower tilt and smaller stick deflections over the</w:t>
      </w:r>
      <w:r>
        <w:t xml:space="preserve"> </w:t>
      </w:r>
      <w:r>
        <w:t xml:space="preserve">whole flight than normal flights, consistent with short, aborted or cautious testing flights. When the exact same</w:t>
      </w:r>
      <w:r>
        <w:t xml:space="preserve"> </w:t>
      </w:r>
      <w:r>
        <w:t xml:space="preserve">11-feature model was evaluated</w:t>
      </w:r>
      <w:r>
        <w:t xml:space="preserve"> </w:t>
      </w:r>
      <w:r>
        <w:rPr>
          <w:i/>
          <w:iCs/>
        </w:rPr>
        <w:t xml:space="preserve">within the same drone</w:t>
      </w:r>
      <w:r>
        <w:t xml:space="preserve">—separating each crashed drone’s pre-crash window (cut 10 s</w:t>
      </w:r>
      <w:r>
        <w:t xml:space="preserve"> </w:t>
      </w:r>
      <w:r>
        <w:t xml:space="preserve">before impact) from its own earlier flights across 67 multi-flight drones (372 flights: 67 pre-crash flights and 305 earlier</w:t>
      </w:r>
      <w:r>
        <w:t xml:space="preserve"> </w:t>
      </w:r>
      <w:r>
        <w:t xml:space="preserve">flights, distinct from the 372 between-drone control flights)—the pooled Group-CV AUC fell from 0.88 to 0.580 (95%</w:t>
      </w:r>
      <w:r>
        <w:t xml:space="preserve"> </w:t>
      </w:r>
      <w:r>
        <w:t xml:space="preserve">bootstrap CI 0.528–0.633), and the mean within-drone pairwise AUC was 0.605 (95% bootstrap CI 0.516–0.692). Matching</w:t>
      </w:r>
      <w:r>
        <w:t xml:space="preserve"> </w:t>
      </w:r>
      <w:r>
        <w:t xml:space="preserve">on the airframe substantially attenuates the cross-sectional separation from AUC 0.88 to near-chance (AUC 0.58), demonstrating</w:t>
      </w:r>
      <w:r>
        <w:t xml:space="preserve"> </w:t>
      </w:r>
      <w:r>
        <w:t xml:space="preserve">that cross-sectional models are dominated by differences between drone types, flight styles, and durations rather than detecting</w:t>
      </w:r>
      <w:r>
        <w:t xml:space="preserve"> </w:t>
      </w:r>
      <w:r>
        <w:t xml:space="preserve">impending failure, in agreement with the within-drone rank test (</w:t>
      </w:r>
      <m:oMath>
        <m:acc>
          <m:accPr>
            <m:chr m:val="‾"/>
          </m:accPr>
          <m:e>
            <m:r>
              <m:t>r</m:t>
            </m:r>
          </m:e>
        </m:acc>
        <m:r>
          <m:rPr>
            <m:sty m:val="p"/>
          </m:rPr>
          <m:t>=</m:t>
        </m:r>
        <m:r>
          <m:t>0.48</m:t>
        </m:r>
      </m:oMath>
      <w:r>
        <w:t xml:space="preserve">).</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497053"/>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rules out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or 1.54% if computed as 590 crash logs over 38,320 vehicles).</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a 63.3% sensitivity (38 of 60). Because sets contain 1 or 2 controls, the weighted null flag rate</w:t>
      </w:r>
      <w:r>
        <w:t xml:space="preserve"> </w:t>
      </w:r>
      <w:r>
        <w:t xml:space="preserve">is 45.1%. At the true vehicle base rate (0.741%),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At the crash-log base rate (1.54%), the matched-set PPV is 2.14% (relative risk</w:t>
      </w:r>
      <w:r>
        <w:t xml:space="preserve"> </w:t>
      </w:r>
      <m:oMath>
        <m:r>
          <m:t>2.15</m:t>
        </m:r>
        <m:r>
          <m:rPr>
            <m:sty m:val="p"/>
          </m:rPr>
          <m:t>×</m:t>
        </m:r>
      </m:oMath>
      <w:r>
        <w:t xml:space="preserve">, lift</w:t>
      </w:r>
      <w:r>
        <w:t xml:space="preserve"> </w:t>
      </w:r>
      <m:oMath>
        <m:r>
          <m:t>1.39</m:t>
        </m:r>
        <m:r>
          <m:rPr>
            <m:sty m:val="p"/>
          </m:rPr>
          <m:t>×</m:t>
        </m:r>
      </m:oMath>
      <w:r>
        <w:t xml:space="preserve">,</w:t>
      </w:r>
      <w:r>
        <w:t xml:space="preserve"> </w:t>
      </w:r>
      <w:r>
        <w:t xml:space="preserve">46.7 inspections per crash).</w:t>
      </w:r>
    </w:p>
    <w:p>
      <w:pPr>
        <w:pStyle w:val="BodyText"/>
      </w:pPr>
      <w:r>
        <w:rPr>
          <w:i/>
          <w:iCs/>
        </w:rPr>
        <w:t xml:space="preserve">Idealized fleet-wide reference distribution (25% flag rate):</w:t>
      </w:r>
      <w:r>
        <w:t xml:space="preserve"> </w:t>
      </w:r>
      <w:r>
        <w:t xml:space="preserve">If an operator compares airframes against an established</w:t>
      </w:r>
      <w:r>
        <w:t xml:space="preserve"> </w:t>
      </w:r>
      <w:r>
        <w:t xml:space="preserve">fleet-wide baseline and flags the top 25%, the estimated risk in flagged drones is 1.86% versus 0.363% in unflagged drones at the</w:t>
      </w:r>
      <w:r>
        <w:t xml:space="preserve"> </w:t>
      </w:r>
      <w:r>
        <w:t xml:space="preserve">vehicle base rate (relative risk</w:t>
      </w:r>
      <w:r>
        <w:t xml:space="preserve"> </w:t>
      </w:r>
      <m:oMath>
        <m:r>
          <m:t>5.10</m:t>
        </m:r>
        <m:r>
          <m:rPr>
            <m:sty m:val="p"/>
          </m:rPr>
          <m:t>×</m:t>
        </m:r>
      </m:oMath>
      <w:r>
        <w:t xml:space="preserve">, lift</w:t>
      </w:r>
      <w:r>
        <w:t xml:space="preserve"> </w:t>
      </w:r>
      <m:oMath>
        <m:r>
          <m:t>2.50</m:t>
        </m:r>
        <m:r>
          <m:rPr>
            <m:sty m:val="p"/>
          </m:rPr>
          <m:t>×</m:t>
        </m:r>
      </m:oMath>
      <w:r>
        <w:t xml:space="preserve">, 53.9 inspections per crash). At the crash-log base rate (1.54%), the</w:t>
      </w:r>
      <w:r>
        <w:t xml:space="preserve"> </w:t>
      </w:r>
      <w:r>
        <w:t xml:space="preserve">PPV reaches 3.81% (95% bootstrap CI 3.18–4.62%) versus 0.759% in unflagged drones—a relative risk of</w:t>
      </w:r>
      <w:r>
        <w:t xml:space="preserve"> </w:t>
      </w:r>
      <m:oMath>
        <m:r>
          <m:t>5.02</m:t>
        </m:r>
        <m:r>
          <m:rPr>
            <m:sty m:val="p"/>
          </m:rPr>
          <m:t>×</m:t>
        </m:r>
      </m:oMath>
      <w:r>
        <w:t xml:space="preserve">, a lift of</w:t>
      </w:r>
      <w:r>
        <w:t xml:space="preserve"> </w:t>
      </w:r>
      <m:oMath>
        <m:r>
          <m:t>2.47</m:t>
        </m:r>
        <m:r>
          <m:rPr>
            <m:sty m:val="p"/>
          </m:rPr>
          <m:t>×</m:t>
        </m:r>
      </m:oMath>
      <w:r>
        <w:t xml:space="preserve"> </w:t>
      </w:r>
      <w:r>
        <w:t xml:space="preserve">over base rate (fixing the</w:t>
      </w:r>
      <w:r>
        <w:t xml:space="preserve"> </w:t>
      </w:r>
      <m:oMath>
        <m:r>
          <m:t>2.53</m:t>
        </m:r>
        <m:r>
          <m:rPr>
            <m:sty m:val="p"/>
          </m:rPr>
          <m:t>×</m:t>
        </m:r>
      </m:oMath>
      <w:r>
        <w:t xml:space="preserve"> </w:t>
      </w:r>
      <w:r>
        <w:t xml:space="preserve">typo from prior drafts), requiring 26.2 inspections per detected crash. Flagging the</w:t>
      </w:r>
      <w:r>
        <w:t xml:space="preserve"> </w:t>
      </w:r>
      <w:r>
        <w:t xml:space="preserve">single top-ranked drone in each set yields a risk of 3.33% in flagged versus 0.93% in unflagged (lift</w:t>
      </w:r>
      <w:r>
        <w:t xml:space="preserve"> </w:t>
      </w:r>
      <m:oMath>
        <m:r>
          <m:t>3.58</m:t>
        </m:r>
        <m:r>
          <m:rPr>
            <m:sty m:val="p"/>
          </m:rPr>
          <m:t>×</m:t>
        </m:r>
      </m:oMath>
      <w:r>
        <w:t xml:space="preserve">, 30.1 inspections</w:t>
      </w:r>
      <w:r>
        <w:t xml:space="preserve"> </w:t>
      </w:r>
      <w:r>
        <w:t xml:space="preserve">per detected crash). In all scenarios, the vibration metric functions as a broad maintenance inspection filter rather than an</w:t>
      </w:r>
      <w:r>
        <w:t xml:space="preserve"> </w:t>
      </w:r>
      <w:r>
        <w:t xml:space="preserve">operational crash warning.</w:t>
      </w:r>
    </w:p>
    <w:bookmarkStart w:id="47" w:name="_9361c5dba1dea8da31b0aed692bc5b019a98a7f"/>
    <w:p>
      <w:pPr>
        <w:pStyle w:val="CaptionedFigure"/>
        <w:jc w:val="center"/>
      </w:pPr>
      <w:r>
        <w:drawing>
          <wp:inline>
            <wp:extent cx="4160520" cy="2281666"/>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281666"/>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though parsing raw GPS timestamps in future work could establish whether</w:t>
      </w:r>
      <w:r>
        <w:t xml:space="preserve"> </w:t>
      </w:r>
      <w:r>
        <w:t xml:space="preserve">crash-day flights immediately preceded the crash.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so controls from the same operator were not clustered.</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prospective replication protocol on newer accelerometer logs selected 26 sets, yielding</w:t>
      </w:r>
      <w:r>
        <w:t xml:space="preserve"> </w:t>
      </w:r>
      <w:r>
        <w:t xml:space="preserve">19 usable matched sets (</w:t>
      </w:r>
      <m:oMath>
        <m:acc>
          <m:accPr>
            <m:chr m:val="‾"/>
          </m:accPr>
          <m:e>
            <m:r>
              <m:t>r</m:t>
            </m:r>
          </m:e>
        </m:acc>
        <m:r>
          <m:rPr>
            <m:sty m:val="p"/>
          </m:rPr>
          <m:t>=</m:t>
        </m:r>
        <m:r>
          <m:t>0.58</m:t>
        </m:r>
      </m:oMath>
      <w:r>
        <w:t xml:space="preserve">, 95% CI 0.39–0.76, one-sided</w:t>
      </w:r>
      <w:r>
        <w:t xml:space="preserve"> </w:t>
      </w:r>
      <m:oMath>
        <m:r>
          <m:t>p</m:t>
        </m:r>
        <m:r>
          <m:rPr>
            <m:sty m:val="p"/>
          </m:rPr>
          <m:t>=</m:t>
        </m:r>
        <m:r>
          <m:t>0.251</m:t>
        </m:r>
      </m:oMath>
      <w:r>
        <w:t xml:space="preserve">), of which 10 sets were new cases entirely outside the</w:t>
      </w:r>
      <w:r>
        <w:t xml:space="preserve"> </w:t>
      </w:r>
      <w:r>
        <w:t xml:space="preserve">original test (</w:t>
      </w:r>
      <m:oMath>
        <m:acc>
          <m:accPr>
            <m:chr m:val="‾"/>
          </m:accPr>
          <m:e>
            <m:r>
              <m:t>r</m:t>
            </m:r>
          </m:e>
        </m:acc>
        <m:r>
          <m:rPr>
            <m:sty m:val="p"/>
          </m:rPr>
          <m:t>=</m:t>
        </m:r>
        <m:r>
          <m:t>0.50</m:t>
        </m:r>
      </m:oMath>
      <w:r>
        <w:t xml:space="preserve">, 95% CI 0.20–0.75,</w:t>
      </w:r>
      <w:r>
        <w:t xml:space="preserve"> </w:t>
      </w:r>
      <m:oMath>
        <m:r>
          <m:t>p</m:t>
        </m:r>
        <m:r>
          <m:rPr>
            <m:sty m:val="p"/>
          </m:rPr>
          <m:t>=</m:t>
        </m:r>
        <m:r>
          <m:t>0.576</m:t>
        </m:r>
      </m:oMath>
      <w:r>
        <w:t xml:space="preserve">). Statistical power analysis at one-sided</w:t>
      </w:r>
      <w:r>
        <w:t xml:space="preserve"> </w:t>
      </w:r>
      <m:oMath>
        <m:r>
          <m:t>α</m:t>
        </m:r>
        <m:r>
          <m:rPr>
            <m:sty m:val="p"/>
          </m:rPr>
          <m:t>=</m:t>
        </m:r>
        <m:r>
          <m:t>0.025</m:t>
        </m:r>
      </m:oMath>
      <w:r>
        <w:t xml:space="preserve"> </w:t>
      </w:r>
      <w:r>
        <w:t xml:space="preserve">demonstrates that</w:t>
      </w:r>
      <w:r>
        <w:t xml:space="preserve"> </w:t>
      </w:r>
      <w:r>
        <w:t xml:space="preserve">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 power requires 55 matched sets, while detecting</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requires</w:t>
      </w:r>
      <w:r>
        <w:t xml:space="preserve"> </w:t>
      </w:r>
      <w:r>
        <w:t xml:space="preserve">247 sets. Given</w:t>
      </w:r>
      <w:r>
        <w:t xml:space="preserve"> </w:t>
      </w:r>
      <m:oMath>
        <m:r>
          <m:t>N</m:t>
        </m:r>
        <m:r>
          <m:rPr>
            <m:sty m:val="p"/>
          </m:rPr>
          <m:t>=</m:t>
        </m:r>
        <m:r>
          <m:t>19</m:t>
        </m:r>
      </m:oMath>
      <w:r>
        <w:t xml:space="preserve">, the observed post-hoc power if the true effect were</w:t>
      </w:r>
      <w:r>
        <w:t xml:space="preserve"> </w:t>
      </w:r>
      <m:oMath>
        <m:acc>
          <m:accPr>
            <m:chr m:val="‾"/>
          </m:accPr>
          <m:e>
            <m:r>
              <m:t>r</m:t>
            </m:r>
          </m:e>
        </m:acc>
        <m:r>
          <m:rPr>
            <m:sty m:val="p"/>
          </m:rPr>
          <m:t>=</m:t>
        </m:r>
        <m:r>
          <m:t>0.67</m:t>
        </m:r>
      </m:oMath>
      <w:r>
        <w:t xml:space="preserve"> </w:t>
      </w:r>
      <w:r>
        <w:t xml:space="preserve">was only 0.379 (and 0.118 if</w:t>
      </w:r>
      <w:r>
        <w:t xml:space="preserve"> </w:t>
      </w:r>
      <m:oMath>
        <m:acc>
          <m:accPr>
            <m:chr m:val="‾"/>
          </m:accPr>
          <m:e>
            <m:r>
              <m:t>r</m:t>
            </m:r>
          </m:e>
        </m:acc>
        <m:r>
          <m:rPr>
            <m:sty m:val="p"/>
          </m:rPr>
          <m:t>=</m:t>
        </m:r>
        <m:r>
          <m:t>0.58</m:t>
        </m:r>
      </m:oMath>
      <w:r>
        <w:t xml:space="preserve">).</w:t>
      </w:r>
      <w:r>
        <w:t xml:space="preserve"> </w:t>
      </w:r>
      <w:r>
        <w:t xml:space="preserve">The newer metric result is therefore severely underpowered and inconclusive rather than negative; a prospective replication on at</w:t>
      </w:r>
      <w:r>
        <w:t xml:space="preserve"> </w:t>
      </w:r>
      <w:r>
        <w:t xml:space="preserve">least 55 modern airframe sets is required.</w:t>
      </w:r>
    </w:p>
    <w:bookmarkStart w:id="52" w:name="_f3665d09ec22ddd60812b28fa68e496f60eecb2"/>
    <w:p>
      <w:pPr>
        <w:pStyle w:val="CaptionedFigure"/>
        <w:jc w:val="center"/>
      </w:pPr>
      <w:r>
        <w:drawing>
          <wp:inline>
            <wp:extent cx="4160520" cy="2443232"/>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160520" cy="2443232"/>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Only 37 of the 73 logs behind aircraft</w:t>
      </w:r>
      <w:r>
        <w:t xml:space="preserve"> </w:t>
      </w:r>
      <w:r>
        <w:t xml:space="preserve">diagnoses with a checkable cause could still be downloaded (38 total downloadable aircraft crash logs). Table 7 shows the fault checks with and without the crash window. With the window ending 10 s before</w:t>
      </w:r>
      <w:r>
        <w:t xml:space="preserve"> </w:t>
      </w:r>
      <w:r>
        <w:t xml:space="preserve">the crash, no check met the declared criterion. The tuning check illustrates the diagnostic leakage described in Section 5.3:</w:t>
      </w:r>
      <w:r>
        <w:t xml:space="preserve"> </w:t>
      </w:r>
      <w:r>
        <w:t xml:space="preserve">across the 9 constant tuning logs with duration</w:t>
      </w:r>
      <w:r>
        <w:t xml:space="preserve"> </w:t>
      </w:r>
      <m:oMath>
        <m:r>
          <m:rPr>
            <m:sty m:val="p"/>
          </m:rPr>
          <m:t>≥</m:t>
        </m:r>
        <m:r>
          <m:t>10</m:t>
        </m:r>
      </m:oMath>
      <w:r>
        <w:t xml:space="preserve"> s present in both windows, firing fell from 7 of 9 (77.8%) with the full window</w:t>
      </w:r>
      <w:r>
        <w:t xml:space="preserve"> </w:t>
      </w:r>
      <w:r>
        <w:t xml:space="preserve">to 1 of 9 (11.1%) at</w:t>
      </w:r>
      <w:r>
        <w:t xml:space="preserve"> </w:t>
      </w:r>
      <m:oMath>
        <m:r>
          <m:t>m</m:t>
        </m:r>
        <m:r>
          <m:rPr>
            <m:sty m:val="p"/>
          </m:rPr>
          <m:t>=</m:t>
        </m:r>
        <m:r>
          <m:t>10</m:t>
        </m:r>
      </m:oMath>
      <w:r>
        <w:t xml:space="preserve"> s (6 logs lost firing, 0 gained; exact two-sided McNemar</w:t>
      </w:r>
      <w:r>
        <w:t xml:space="preserve"> </w:t>
      </w:r>
      <m:oMath>
        <m:r>
          <m:t>p</m:t>
        </m:r>
        <m:r>
          <m:rPr>
            <m:sty m:val="p"/>
          </m:rPr>
          <m:t>=</m:t>
        </m:r>
        <m:r>
          <m:t>0.03125</m:t>
        </m:r>
      </m:oMath>
      <w:r>
        <w:t xml:space="preserve">). Across the other four checks</w:t>
      </w:r>
      <w:r>
        <w:t xml:space="preserve"> </w:t>
      </w:r>
      <w:r>
        <w:t xml:space="preserve">(vibration, GPS, motor, battery), firing rates were identical between full window and</w:t>
      </w:r>
      <w:r>
        <w:t xml:space="preserve"> </w:t>
      </w:r>
      <m:oMath>
        <m:r>
          <m:t>m</m:t>
        </m:r>
        <m:r>
          <m:rPr>
            <m:sty m:val="p"/>
          </m:rPr>
          <m:t>=</m:t>
        </m:r>
        <m:r>
          <m:t>10</m:t>
        </m:r>
      </m:oMath>
      <w:r>
        <w:t xml:space="preserve"> s on paired logs (</w:t>
      </w:r>
      <m:oMath>
        <m:r>
          <m:t>p</m:t>
        </m:r>
        <m:r>
          <m:rPr>
            <m:sty m:val="p"/>
          </m:rPr>
          <m:t>=</m:t>
        </m:r>
        <m:r>
          <m:t>1.0</m:t>
        </m:r>
      </m:oMath>
      <w:r>
        <w:t xml:space="preserve">). Data leakage</w:t>
      </w:r>
      <w:r>
        <w:t xml:space="preserve"> </w:t>
      </w:r>
      <w:r>
        <w:t xml:space="preserve">was therefore specific to rate-tracking and tuning fault detection.</w:t>
      </w:r>
    </w:p>
    <w:p>
      <w:pPr>
        <w:pStyle w:val="BodyText"/>
      </w:pPr>
      <w:r>
        <w:t xml:space="preserve">To test diagnostic attribution on independently evaluated incidents, we evaluated the rule and models across all 38 downloadable</w:t>
      </w:r>
      <w:r>
        <w:t xml:space="preserve"> </w:t>
      </w:r>
      <w:r>
        <w:t xml:space="preserve">logs behind expert forum threads. Because all 38 incidents were independently diagnosed by autopilot engineers as aircraft faults (no</w:t>
      </w:r>
      <w:r>
        <w:t xml:space="preserve"> </w:t>
      </w:r>
      <w:r>
        <w:t xml:space="preserve">pilot-caused crashes with active log links were found in the forum), this serves as a one-class sensitivity and false-negative check.</w:t>
      </w:r>
      <w:r>
        <w:t xml:space="preserve"> </w:t>
      </w:r>
      <w:r>
        <w:t xml:space="preserve">When evaluated on these real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w:t>
      </w:r>
      <w:r>
        <w:t xml:space="preserve"> </w:t>
      </w:r>
      <w:r>
        <w:t xml:space="preserve">blamed the</w:t>
      </w:r>
      <w:r>
        <w:t xml:space="preserve"> </w:t>
      </w:r>
      <w:r>
        <w:t xml:space="preserve">“pilot”</w:t>
      </w:r>
      <w:r>
        <w:t xml:space="preserve"> </w:t>
      </w:r>
      <w:r>
        <w:t xml:space="preserve">in 14 (36.8%). On decided cases (</w:t>
      </w:r>
      <m:oMath>
        <m:r>
          <m:t>n</m:t>
        </m:r>
        <m:r>
          <m:rPr>
            <m:sty m:val="p"/>
          </m:rPr>
          <m:t>=</m:t>
        </m:r>
        <m:r>
          <m:t>32</m:t>
        </m:r>
      </m:oMath>
      <w:r>
        <w:t xml:space="preserve">), the rule was wrong on 43.8% (14/32). Detailed inspection of flight mode</w:t>
      </w:r>
      <w:r>
        <w:t xml:space="preserve"> </w:t>
      </w:r>
      <w:r>
        <w:t xml:space="preserve">sequences confirmed the failure mechanism: in all 14 misclassified logs, the vehicle was in a pilot-flown mode at the crash moment</w:t>
      </w:r>
      <w:r>
        <w:t xml:space="preserve"> </w:t>
      </w:r>
      <w:r>
        <w:t xml:space="preserve">(</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 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 failsafe fired</w:t>
      </w:r>
      <w:r>
        <w:t xml:space="preserve"> </w:t>
      </w:r>
      <w:r>
        <w:t xml:space="preserve">before impact, the rule defaulted to blaming the pilot. Similarly, when evaluated out-of-fold on the 30 logs with complete telemetry</w:t>
      </w:r>
      <w:r>
        <w:t xml:space="preserve"> </w:t>
      </w:r>
      <w:r>
        <w:t xml:space="preserve">features, the logistic regression model predicted</w:t>
      </w:r>
      <w:r>
        <w:t xml:space="preserve"> </w:t>
      </w:r>
      <w:r>
        <w:t xml:space="preserve">“aircraft”</w:t>
      </w:r>
      <w:r>
        <w:t xml:space="preserve"> </w:t>
      </w:r>
      <w:r>
        <w:t xml:space="preserve">in 27 (90.0%) and</w:t>
      </w:r>
      <w:r>
        <w:t xml:space="preserve"> </w:t>
      </w:r>
      <w:r>
        <w:t xml:space="preserve">“pilot”</w:t>
      </w:r>
      <w:r>
        <w:t xml:space="preserve"> </w:t>
      </w:r>
      <w:r>
        <w:t xml:space="preserve">in 3 (10.0%), defaulting strongly toward</w:t>
      </w:r>
      <w:r>
        <w:t xml:space="preserve"> </w:t>
      </w:r>
      <w:r>
        <w:t xml:space="preserve">its 72.3% aircraft training prior. This empirical test on independent incidents confirms that neither telemetry rules nor models reliably</w:t>
      </w:r>
      <w:r>
        <w:t xml:space="preserve"> </w:t>
      </w:r>
      <w:r>
        <w:t xml:space="preserve">attribute responsibility.</w:t>
      </w:r>
    </w:p>
    <w:bookmarkStart w:id="54" w:name="_83343f61327e522fa9ffc9aa8f722d134b07ff7"/>
    <w:p>
      <w:pPr>
        <w:pStyle w:val="TableCaption"/>
      </w:pPr>
      <w:r>
        <w:t xml:space="preserve">Table 7. Fault checks on logs whose expert named the matching fault, with the full window and with the last 10 s</w:t>
      </w:r>
      <w:r>
        <w:t xml:space="preserve"> </w:t>
      </w:r>
      <w:r>
        <w:t xml:space="preserve">before the crash removed. Declared criterion: at least 50% of diagnosed logs and at most 10% of normal flights.</w:t>
      </w:r>
    </w:p>
    <w:tbl>
      <w:tblPr>
        <w:tblStyle w:val="Table"/>
        <w:tblW w:type="pct" w:w="5000"/>
        <w:tblLook w:firstRow="1" w:lastRow="0" w:firstColumn="0" w:lastColumn="0" w:noHBand="0" w:noVBand="0" w:val="0020"/>
        <w:tblCaption w:val="Table 7. Fault checks on logs whose expert named the matching fault, with the full window and with the last 10 s before the crash removed. Declared criterion: at least 50% of diagnosed logs and at most 10% of normal fligh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Expert-named fault</w:t>
            </w:r>
          </w:p>
        </w:tc>
        <w:tc>
          <w:tcPr/>
          <w:p>
            <w:pPr>
              <w:pStyle w:val="Compact"/>
              <w:spacing w:line="240" w:lineRule="auto"/>
              <w:jc w:val="left"/>
            </w:pPr>
            <w:r>
              <w:rPr>
                <w:sz w:val="19"/>
              </w:rPr>
              <w:t xml:space="preserve">Full window: diagnosed</w:t>
            </w:r>
          </w:p>
        </w:tc>
        <w:tc>
          <w:tcPr/>
          <w:p>
            <w:pPr>
              <w:pStyle w:val="Compact"/>
              <w:spacing w:line="240" w:lineRule="auto"/>
              <w:jc w:val="left"/>
            </w:pPr>
            <w:r>
              <w:rPr>
                <w:sz w:val="19"/>
              </w:rPr>
              <w:t xml:space="preserve">Full window: normal</w:t>
            </w:r>
          </w:p>
        </w:tc>
        <w:tc>
          <w:tcPr/>
          <w:p>
            <w:pPr>
              <w:pStyle w:val="Compact"/>
              <w:spacing w:line="240" w:lineRule="auto"/>
              <w:jc w:val="left"/>
            </w:pPr>
            <m:oMath>
              <m:r>
                <m:t>m</m:t>
              </m:r>
              <m:r>
                <m:rPr>
                  <m:sty m:val="p"/>
                </m:rPr>
                <m:t>=</m:t>
              </m:r>
              <m:r>
                <m:t>10</m:t>
              </m:r>
            </m:oMath>
            <w:r>
              <w:rPr>
                <w:sz w:val="19"/>
              </w:rPr>
              <w:t xml:space="preserve"> s: diagnosed</w:t>
            </w:r>
          </w:p>
        </w:tc>
        <w:tc>
          <w:tcPr/>
          <w:p>
            <w:pPr>
              <w:pStyle w:val="Compact"/>
              <w:spacing w:line="240" w:lineRule="auto"/>
              <w:jc w:val="left"/>
            </w:pPr>
            <m:oMath>
              <m:r>
                <m:t>m</m:t>
              </m:r>
              <m:r>
                <m:rPr>
                  <m:sty m:val="p"/>
                </m:rPr>
                <m:t>=</m:t>
              </m:r>
              <m:r>
                <m:t>10</m:t>
              </m:r>
            </m:oMath>
            <w:r>
              <w:rPr>
                <w:sz w:val="19"/>
              </w:rPr>
              <w:t xml:space="preserve"> s: normal</w:t>
            </w:r>
          </w:p>
        </w:tc>
      </w:tr>
      <w:tr>
        <w:tc>
          <w:tcPr/>
          <w:p>
            <w:pPr>
              <w:pStyle w:val="Compact"/>
              <w:spacing w:line="240" w:lineRule="auto"/>
              <w:jc w:val="left"/>
            </w:pPr>
            <w:r>
              <w:rPr>
                <w:sz w:val="19"/>
              </w:rPr>
              <w:t xml:space="preserve">Tuning or configuration</w:t>
            </w:r>
          </w:p>
        </w:tc>
        <w:tc>
          <w:tcPr/>
          <w:p>
            <w:pPr>
              <w:pStyle w:val="Compact"/>
              <w:spacing w:line="240" w:lineRule="auto"/>
              <w:jc w:val="left"/>
            </w:pPr>
            <w:r>
              <w:rPr>
                <w:sz w:val="19"/>
              </w:rPr>
              <w:t xml:space="preserve">10/12 (83%)</w:t>
            </w:r>
          </w:p>
        </w:tc>
        <w:tc>
          <w:tcPr/>
          <w:p>
            <w:pPr>
              <w:pStyle w:val="Compact"/>
              <w:spacing w:line="240" w:lineRule="auto"/>
              <w:jc w:val="left"/>
            </w:pPr>
            <w:r>
              <w:rPr>
                <w:sz w:val="19"/>
              </w:rPr>
              <w:t xml:space="preserve">18/142 (13%)</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7/48 (15%)</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left"/>
            </w:pPr>
            <w:r>
              <w:rPr>
                <w:sz w:val="19"/>
              </w:rPr>
              <w:t xml:space="preserve">1/5 (20%)</w:t>
            </w:r>
          </w:p>
        </w:tc>
        <w:tc>
          <w:tcPr/>
          <w:p>
            <w:pPr>
              <w:pStyle w:val="Compact"/>
              <w:spacing w:line="240" w:lineRule="auto"/>
              <w:jc w:val="left"/>
            </w:pPr>
            <w:r>
              <w:rPr>
                <w:sz w:val="19"/>
              </w:rPr>
              <w:t xml:space="preserve">10/143 (7%)</w:t>
            </w:r>
          </w:p>
        </w:tc>
        <w:tc>
          <w:tcPr/>
          <w:p>
            <w:pPr>
              <w:pStyle w:val="Compact"/>
              <w:spacing w:line="240" w:lineRule="auto"/>
              <w:jc w:val="left"/>
            </w:pPr>
            <w:r>
              <w:rPr>
                <w:sz w:val="19"/>
              </w:rPr>
              <w:t xml:space="preserve">1/4 (25%)</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8/143 (6%)</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4/143 (3%)</w:t>
            </w:r>
          </w:p>
        </w:tc>
        <w:tc>
          <w:tcPr/>
          <w:p>
            <w:pPr>
              <w:pStyle w:val="Compact"/>
              <w:spacing w:line="240" w:lineRule="auto"/>
              <w:jc w:val="left"/>
            </w:pPr>
            <w:r>
              <w:rPr>
                <w:sz w:val="19"/>
              </w:rPr>
              <w:t xml:space="preserve">0/2</w:t>
            </w:r>
          </w:p>
        </w:tc>
        <w:tc>
          <w:tcPr/>
          <w:p>
            <w:pPr>
              <w:pStyle w:val="Compact"/>
              <w:spacing w:line="240" w:lineRule="auto"/>
              <w:jc w:val="left"/>
            </w:pPr>
            <w:r>
              <w:rPr>
                <w:sz w:val="19"/>
              </w:rPr>
              <w:t xml:space="preserve">1/130 (1%)</w:t>
            </w:r>
          </w:p>
        </w:tc>
      </w:tr>
    </w:tbl>
    <w:bookmarkEnd w:id="54"/>
    <w:bookmarkStart w:id="58" w:name="_c0d72e502cb8722b270509e9f977263b14fe2c0"/>
    <w:p>
      <w:pPr>
        <w:pStyle w:val="CaptionedFigure"/>
        <w:jc w:val="center"/>
      </w:pPr>
      <w:r>
        <w:drawing>
          <wp:inline>
            <wp:extent cx="4160520" cy="2601925"/>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1925"/>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fb365ced420b86c8cd60024101a350b346a0a31"/>
      <w:r>
        <w:rPr>
          <w:rStyle w:val="SectionNumber"/>
        </w:rPr>
        <w:t xml:space="preserve">5.7</w:t>
      </w:r>
      <w:r>
        <w:tab/>
      </w:r>
      <w:r>
        <w:t xml:space="preserve">Language-model review panels (summary)</w:t>
      </w:r>
      <w:bookmarkEnd w:id="59"/>
    </w:p>
    <w:p>
      <w:pPr>
        <w:pStyle w:val="FirstParagraph"/>
      </w:pPr>
      <w:r>
        <w:t xml:space="preserve">Because language-model assistants are increasingly proposed for log review, we conducted a controlled exploratory evaluation</w:t>
      </w:r>
      <w:r>
        <w:t xml:space="preserve"> </w:t>
      </w:r>
      <w:r>
        <w:t xml:space="preserve">of local models (3–4B parameters) configured as single agents and multi-agent review panels on 60 author-generated fault</w:t>
      </w:r>
      <w:r>
        <w:t xml:space="preserve"> </w:t>
      </w:r>
      <w:r>
        <w:t xml:space="preserve">cases and worst-case adversarial prompts. As detailed in Appendix B, the fixed rule reached 75% right and 0%</w:t>
      </w:r>
      <w:r>
        <w:t xml:space="preserve"> </w:t>
      </w:r>
      <w:r>
        <w:t xml:space="preserve">wrong (referring 25% to humans), whereas local language models produced substantial error rates (10–63% wrong), suffered</w:t>
      </w:r>
      <w:r>
        <w:t xml:space="preserve"> </w:t>
      </w:r>
      <w:r>
        <w:t xml:space="preserve">from mode collapse or abstention on active causes, and proved vulnerable to consensus manipulation by a single compromised</w:t>
      </w:r>
      <w:r>
        <w:t xml:space="preserve"> </w:t>
      </w:r>
      <w:r>
        <w:t xml:space="preserve">reviewer (flipping 45–56 of 60 cases). In contrast, deterministic numeric telemetry extraction prevented direct prompt</w:t>
      </w:r>
      <w:r>
        <w:t xml:space="preserve"> </w:t>
      </w:r>
      <w:r>
        <w:t xml:space="preserve">injection by construction.</w:t>
      </w:r>
    </w:p>
    <w:p>
      <w:pPr>
        <w:pStyle w:val="Heading2"/>
      </w:pPr>
      <w:bookmarkStart w:id="60" w:name="_000b339d75a155a848ca0c43e54b0b02b7b82d8"/>
      <w:r>
        <w:rPr>
          <w:rStyle w:val="SectionNumber"/>
        </w:rPr>
        <w:t xml:space="preserve">5.8</w:t>
      </w:r>
      <w:r>
        <w:tab/>
      </w:r>
      <w:r>
        <w:t xml:space="preserve">Analyses added during revision (exploratory)</w:t>
      </w:r>
      <w:bookmarkEnd w:id="60"/>
    </w:p>
    <w:p>
      <w:pPr>
        <w:pStyle w:val="FirstParagraph"/>
      </w:pPr>
      <w:r>
        <w:t xml:space="preserve">To preserve the boundary between pre-declared confirmatory hypotheses and exploratory post-hoc investigations</w:t>
      </w:r>
      <w:r>
        <w:t xml:space="preserve"> </w:t>
      </w:r>
      <w:r>
        <w:t xml:space="preserve">[</w:t>
      </w:r>
      <w:hyperlink w:anchor="_f6e66cea9a1ea78573b548bc5cf8461c81300ca">
        <w:r>
          <w:rPr>
            <w:rStyle w:val="Hyperlink"/>
          </w:rPr>
          <w:t xml:space="preserve">17</w:t>
        </w:r>
      </w:hyperlink>
      <w:r>
        <w:t xml:space="preserve">]</w:t>
      </w:r>
      <w:r>
        <w:t xml:space="preserve">, Table 8 documents the analyses added during peer review, their motivation, key</w:t>
      </w:r>
      <w:r>
        <w:t xml:space="preserve"> </w:t>
      </w:r>
      <w:r>
        <w:t xml:space="preserve">results, and the git commit hashes where their declarations or implementations were introduced. None of these exploratory</w:t>
      </w:r>
      <w:r>
        <w:t xml:space="preserve"> </w:t>
      </w:r>
      <w:r>
        <w:t xml:space="preserve">additions altered the conclusions of the pre-declared tests; rather, they provided empirical bounds on confounding, evaluated</w:t>
      </w:r>
      <w:r>
        <w:t xml:space="preserve"> </w:t>
      </w:r>
      <w:r>
        <w:t xml:space="preserve">alternative non-linear architectures, and quantified operational screening performance.</w:t>
      </w:r>
    </w:p>
    <w:bookmarkStart w:id="61" w:name="_fb475224272a447d57b77f14dfc8774bb10ba7c"/>
    <w:p>
      <w:pPr>
        <w:pStyle w:val="TableCaption"/>
      </w:pPr>
      <w:r>
        <w:t xml:space="preserve">Table 8. Exploratory analyses added during peer review, their motivation, key results, and git commit hashes.</w:t>
      </w:r>
    </w:p>
    <w:tbl>
      <w:tblPr>
        <w:tblStyle w:val="Table"/>
        <w:tblW w:type="pct" w:w="5000"/>
        <w:tblLook w:firstRow="1" w:lastRow="0" w:firstColumn="0" w:lastColumn="0" w:noHBand="0" w:noVBand="0" w:val="0020"/>
        <w:tblCaption w:val="Table 8. Exploratory analyses added during peer review, their motivation, key results, and git commit hash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Result</w:t>
            </w:r>
          </w:p>
        </w:tc>
        <w:tc>
          <w:tcPr/>
          <w:p>
            <w:pPr>
              <w:pStyle w:val="Compact"/>
              <w:spacing w:line="240" w:lineRule="auto"/>
              <w:jc w:val="left"/>
            </w:pPr>
            <w:r>
              <w:rPr>
                <w:sz w:val="19"/>
              </w:rPr>
              <w:t xml:space="preserve">Commit</w:t>
            </w:r>
          </w:p>
        </w:tc>
      </w:tr>
      <w:tr>
        <w:tc>
          <w:tcPr/>
          <w:p>
            <w:pPr>
              <w:pStyle w:val="Compact"/>
              <w:spacing w:line="240" w:lineRule="auto"/>
              <w:jc w:val="left"/>
            </w:pPr>
            <w:r>
              <w:rPr>
                <w:sz w:val="19"/>
              </w:rPr>
              <w:t xml:space="preserve">1,000-permutation null (Task B)</w:t>
            </w:r>
          </w:p>
        </w:tc>
        <w:tc>
          <w:tcPr/>
          <w:p>
            <w:pPr>
              <w:pStyle w:val="Compact"/>
              <w:spacing w:line="240" w:lineRule="auto"/>
              <w:jc w:val="left"/>
            </w:pPr>
            <w:r>
              <w:rPr>
                <w:sz w:val="19"/>
              </w:rPr>
              <w:t xml:space="preserve">Calibrate below-chance CV AUC</w:t>
            </w:r>
          </w:p>
        </w:tc>
        <w:tc>
          <w:tcPr/>
          <w:p>
            <w:pPr>
              <w:pStyle w:val="Compact"/>
              <w:spacing w:line="240" w:lineRule="auto"/>
              <w:jc w:val="left"/>
            </w:pPr>
            <w:r>
              <w:rPr>
                <w:sz w:val="19"/>
              </w:rPr>
              <w:t xml:space="preserve">Null mean 0.497 [0.313, 0.660]; two-sided</w:t>
            </w:r>
            <w:r>
              <w:rPr>
                <w:sz w:val="19"/>
              </w:rPr>
              <w:t xml:space="preserve"> </w:t>
            </w:r>
            <m:oMath>
              <m:r>
                <m:t>p</m:t>
              </m:r>
              <m:r>
                <m:rPr>
                  <m:sty m:val="p"/>
                </m:rPr>
                <m:t>=</m:t>
              </m:r>
              <m:r>
                <m:t>0.509</m:t>
              </m:r>
            </m:oMath>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Boosted decision trees (Task B)</w:t>
            </w:r>
          </w:p>
        </w:tc>
        <w:tc>
          <w:tcPr/>
          <w:p>
            <w:pPr>
              <w:pStyle w:val="Compact"/>
              <w:spacing w:line="240" w:lineRule="auto"/>
              <w:jc w:val="left"/>
            </w:pPr>
            <w:r>
              <w:rPr>
                <w:sz w:val="19"/>
              </w:rPr>
              <w:t xml:space="preserve">Test non-linear feature interactions</w:t>
            </w:r>
          </w:p>
        </w:tc>
        <w:tc>
          <w:tcPr/>
          <w:p>
            <w:pPr>
              <w:pStyle w:val="Compact"/>
              <w:spacing w:line="240" w:lineRule="auto"/>
              <w:jc w:val="left"/>
            </w:pPr>
            <w:r>
              <w:rPr>
                <w:sz w:val="19"/>
              </w:rPr>
              <w:t xml:space="preserve">Stumps</w:t>
            </w:r>
            <w:r>
              <w:rPr>
                <w:sz w:val="19"/>
              </w:rPr>
              <w:t xml:space="preserve"> </w:t>
            </w:r>
            <m:oMath>
              <m:r>
                <m:t>0.560</m:t>
              </m:r>
              <m:r>
                <m:rPr>
                  <m:sty m:val="p"/>
                </m:rPr>
                <m:t>→</m:t>
              </m:r>
              <m:r>
                <m:t>0.413</m:t>
              </m:r>
            </m:oMath>
            <w:r>
              <w:rPr>
                <w:sz w:val="19"/>
              </w:rPr>
              <w:t xml:space="preserve">; Depth-3</w:t>
            </w:r>
            <w:r>
              <w:rPr>
                <w:sz w:val="19"/>
              </w:rPr>
              <w:t xml:space="preserve"> </w:t>
            </w:r>
            <m:oMath>
              <m:r>
                <m:t>0.595</m:t>
              </m:r>
              <m:r>
                <m:rPr>
                  <m:sty m:val="p"/>
                </m:rPr>
                <m:t>→</m:t>
              </m:r>
              <m:r>
                <m:t>0.553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r>
      <w:tr>
        <w:tc>
          <w:tcPr/>
          <w:p>
            <w:pPr>
              <w:pStyle w:val="Compact"/>
              <w:spacing w:line="240" w:lineRule="auto"/>
              <w:jc w:val="left"/>
            </w:pPr>
            <w:r>
              <w:rPr>
                <w:sz w:val="19"/>
              </w:rPr>
              <w:t xml:space="preserve">Paired diagnostic leakage test</w:t>
            </w:r>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Account for airframe confounding</w:t>
            </w:r>
          </w:p>
        </w:tc>
        <w:tc>
          <w:tcPr/>
          <w:p>
            <w:pPr>
              <w:pStyle w:val="Compact"/>
              <w:spacing w:line="240" w:lineRule="auto"/>
              <w:jc w:val="left"/>
            </w:pPr>
            <w:r>
              <w:rPr>
                <w:sz w:val="19"/>
              </w:rPr>
              <w:t xml:space="preserve">Group-CV AUC 0.580; mean within-drone AUC 0.605</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Poisson-binomial set null</w:t>
            </w:r>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Screening PPV and CIs</w:t>
            </w:r>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Matched PPV 1.04% (lift</w:t>
            </w:r>
            <w:r>
              <w:rPr>
                <w:sz w:val="19"/>
              </w:rPr>
              <w:t xml:space="preserve"> </w:t>
            </w:r>
            <m:oMath>
              <m:r>
                <m:t>1.40</m:t>
              </m:r>
              <m:r>
                <m:rPr>
                  <m:sty m:val="p"/>
                </m:rPr>
                <m:t>×</m:t>
              </m:r>
            </m:oMath>
            <w:r>
              <w:rPr>
                <w:sz w:val="19"/>
              </w:rPr>
              <w:t xml:space="preserve">); Fleet-ref PPV 3.81% (lift</w:t>
            </w:r>
            <w:r>
              <w:rPr>
                <w:sz w:val="19"/>
              </w:rPr>
              <w:t xml:space="preserve"> </w:t>
            </w:r>
            <m:oMath>
              <m:r>
                <m:t>2.47</m:t>
              </m:r>
              <m:r>
                <m:rPr>
                  <m:sty m:val="p"/>
                </m:rPr>
                <m:t>×</m:t>
              </m:r>
            </m:oMath>
            <w:r>
              <w:rPr>
                <w:sz w:val="19"/>
              </w:rPr>
              <w:t xml:space="preserve">)</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Sensitivity by vibration source</w:t>
            </w:r>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38 expert crash logs attribution</w:t>
            </w:r>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One-class test: rule wrong on 43.8%; model 90% drone</w:t>
            </w:r>
          </w:p>
        </w:tc>
        <w:tc>
          <w:tcPr/>
          <w:p>
            <w:pPr>
              <w:pStyle w:val="Compact"/>
              <w:spacing w:line="240" w:lineRule="auto"/>
              <w:jc w:val="left"/>
            </w:pPr>
            <w:r>
              <w:rPr>
                <w:rStyle w:val="VerbatimChar"/>
                <w:sz w:val="19"/>
              </w:rPr>
              <w:t xml:space="preserve">bad06ff</w:t>
            </w:r>
          </w:p>
        </w:tc>
      </w:tr>
    </w:tbl>
    <w:bookmarkEnd w:id="61"/>
    <w:p>
      <w:pPr>
        <w:pStyle w:val="Heading1"/>
      </w:pPr>
      <w:bookmarkStart w:id="62" w:name="_5197750e0310900a35791fde6fc3b970851116d"/>
      <w:r>
        <w:rPr>
          <w:rStyle w:val="SectionNumber"/>
        </w:rPr>
        <w:t xml:space="preserve">6</w:t>
      </w:r>
      <w:r>
        <w:tab/>
      </w:r>
      <w:r>
        <w:t xml:space="preserve">Design implications: an assurance tool built on the findings</w:t>
      </w:r>
      <w:bookmarkEnd w:id="62"/>
    </w:p>
    <w:p>
      <w:pPr>
        <w:pStyle w:val="FirstParagraph"/>
      </w:pPr>
      <w:r>
        <w:t xml:space="preserve">The authors develop AeroFleet 2.0,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AeroFleet 2.0’s checks are primarily engineering validation tests, not evidence of improved operational safety;</w:t>
      </w:r>
      <w:r>
        <w:t xml:space="preserve"> </w:t>
      </w:r>
      <w:r>
        <w:t xml:space="preserve">demonstrating safety benefits in field operations requires prospective fleet evaluation and user studies, which remain</w:t>
      </w:r>
      <w:r>
        <w:t xml:space="preserve"> </w:t>
      </w:r>
      <w:r>
        <w:t xml:space="preserve">future work (Section 7). The injection, search, and replay validation checks are detailed in</w:t>
      </w:r>
      <w:r>
        <w:t xml:space="preserve"> </w:t>
      </w:r>
      <w:r>
        <w:t xml:space="preserve">Appendix A.</w:t>
      </w:r>
    </w:p>
    <w:bookmarkStart w:id="63" w:name="_4816a700d4290cff51a6fa69217ee9f1521b64f"/>
    <w:p>
      <w:pPr>
        <w:pStyle w:val="TableCaption"/>
      </w:pPr>
      <w:r>
        <w:t xml:space="preserve">Table 9. From findings to design decisions in the AeroFleet 2.0 assurance tool, and how each part was checked.</w:t>
      </w:r>
    </w:p>
    <w:tbl>
      <w:tblPr>
        <w:tblStyle w:val="Table"/>
        <w:tblW w:type="pct" w:w="5000"/>
        <w:tblLook w:firstRow="1" w:lastRow="0" w:firstColumn="0" w:lastColumn="0" w:noHBand="0" w:noVBand="0" w:val="0020"/>
        <w:tblCaption w:val="Table 9. From findings to design decisions in the AeroFleet 2.0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upper quartile flagged for inspection</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(Appendix A.1)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(Appendix A.2)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 (Appendix A.3)</w:t>
            </w:r>
          </w:p>
        </w:tc>
      </w:tr>
    </w:tbl>
    <w:bookmarkEnd w:id="63"/>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and those above their group’s upper quartile are</w:t>
      </w:r>
      <w:r>
        <w:t xml:space="preserve"> </w:t>
      </w:r>
      <w:r>
        <w:t xml:space="preserve">flagged for mechanical inspection. In the archive, this ranking identified the drone that later crashed as the roughest</w:t>
      </w:r>
      <w:r>
        <w:t xml:space="preserve"> </w:t>
      </w:r>
      <w:r>
        <w:t xml:space="preserve">in 55.0% of matched sets (against 40.3% expected under the exact Poisson-binomial null,</w:t>
      </w:r>
      <w:r>
        <w:t xml:space="preserve"> </w:t>
      </w:r>
      <m:oMath>
        <m:r>
          <m:t>p</m:t>
        </m:r>
        <m:r>
          <m:rPr>
            <m:sty m:val="p"/>
          </m:rPr>
          <m:t>=</m:t>
        </m:r>
        <m:r>
          <m:t>0.014</m:t>
        </m:r>
      </m:oMath>
      <w:r>
        <w:t xml:space="preserve">; lift</w:t>
      </w:r>
      <w:r>
        <w:t xml:space="preserve"> </w:t>
      </w:r>
      <m:oMath>
        <m:r>
          <m:t>3.6</m:t>
        </m:r>
        <m:r>
          <m:rPr>
            <m:sty m:val="p"/>
          </m:rPr>
          <m:t>×</m:t>
        </m:r>
      </m:oMath>
      <w:r>
        <w:t xml:space="preserve">),</w:t>
      </w:r>
      <w:r>
        <w:t xml:space="preserve"> </w:t>
      </w:r>
      <w:r>
        <w:t xml:space="preserve">and 63.3% exceeded the control third quartile. In operational terms, this translates to a PPV of 1.04% (95% bootstrap CI</w:t>
      </w:r>
      <w:r>
        <w:t xml:space="preserve"> </w:t>
      </w:r>
      <w:r>
        <w:t xml:space="preserve">0.83–1.25%, lift</w:t>
      </w:r>
      <w:r>
        <w:t xml:space="preserve"> </w:t>
      </w:r>
      <m:oMath>
        <m:r>
          <m:t>1.40</m:t>
        </m:r>
        <m:r>
          <m:rPr>
            <m:sty m:val="p"/>
          </m:rPr>
          <m:t>×</m:t>
        </m:r>
      </m:oMath>
      <w:r>
        <w:t xml:space="preserve">, 96.4 inspections per crash) under empirical matched-set screening at the 0.741% vehicle base rate,</w:t>
      </w:r>
      <w:r>
        <w:t xml:space="preserve"> </w:t>
      </w:r>
      <w:r>
        <w:t xml:space="preserve">and a PPV of 3.81% (95% CI 3.18–4.62%, lift</w:t>
      </w:r>
      <w:r>
        <w:t xml:space="preserve"> </w:t>
      </w:r>
      <m:oMath>
        <m:r>
          <m:t>2.47</m:t>
        </m:r>
        <m:r>
          <m:rPr>
            <m:sty m:val="p"/>
          </m:rPr>
          <m:t>×</m:t>
        </m:r>
      </m:oMath>
      <w:r>
        <w:t xml:space="preserve">, 26.2 inspections per crash) under an idealized fleet-wide 25% flag rate</w:t>
      </w:r>
      <w:r>
        <w:t xml:space="preserve"> </w:t>
      </w:r>
      <w:r>
        <w:t xml:space="preserve">at the 1.54% log base rate (1.86% PPV at the vehicle base rate). The flag is therefore a maintenance inspection prompt,</w:t>
      </w:r>
      <w:r>
        <w:t xml:space="preserve"> </w:t>
      </w:r>
      <w:r>
        <w:t xml:space="preserve">not a crash warning.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1"/>
      </w:pPr>
      <w:bookmarkStart w:id="64" w:name="_074802e0e16f6322e726b21f081c01c392e8fbd"/>
      <w:r>
        <w:rPr>
          <w:rStyle w:val="SectionNumber"/>
        </w:rPr>
        <w:t xml:space="preserve">7</w:t>
      </w:r>
      <w:r>
        <w:tab/>
      </w:r>
      <w:r>
        <w:t xml:space="preserve">Discussion</w:t>
      </w:r>
      <w:bookmarkEnd w:id="64"/>
    </w:p>
    <w:p>
      <w:pPr>
        <w:pStyle w:val="FirstParagraph"/>
      </w:pPr>
      <w:r>
        <w:rPr>
          <w:b/>
          <w:bCs/>
        </w:rPr>
        <w:t xml:space="preserve">Attribution.</w:t>
      </w:r>
      <w:r>
        <w:t xml:space="preserve"> </w:t>
      </w:r>
      <w:r>
        <w:t xml:space="preserve">A declared rule, its held-out replication and a cross-validated model all found no usable</w:t>
      </w:r>
      <w:r>
        <w:t xml:space="preserve"> </w:t>
      </w:r>
      <w:r>
        <w:t xml:space="preserve">separation between pilot- and aircraft-caused crashes with these labels and features. While commercial and legal</w:t>
      </w:r>
      <w:r>
        <w:t xml:space="preserve"> </w:t>
      </w:r>
      <w:r>
        <w:t xml:space="preserve">disputes often seek a binary verdict, aviation safety science demonstrates that accidents are multi-causal systemic</w:t>
      </w:r>
      <w:r>
        <w:t xml:space="preserve"> </w:t>
      </w:r>
      <w:r>
        <w:t xml:space="preserve">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 labels are noisy,</w:t>
      </w:r>
      <w:r>
        <w:t xml:space="preserve"> </w:t>
      </w:r>
      <w:r>
        <w:t xml:space="preserve">and the sharp divergence between uploader pilot blame (32%) and expert forum diagnoses (6%) points to politeness bias</w:t>
      </w:r>
      <w:r>
        <w:t xml:space="preserve"> </w:t>
      </w:r>
      <w:r>
        <w:t xml:space="preserve">on public forums or a narrower definition of pilot fault among autopilot engineers. A log records the combined physical</w:t>
      </w:r>
      <w:r>
        <w:t xml:space="preserve"> </w:t>
      </w:r>
      <w:r>
        <w:t xml:space="preserve">outcome of pilot inputs, environmental disturbances and vehicle response; disentangling responsibility from telemetry alone</w:t>
      </w:r>
      <w:r>
        <w:t xml:space="preserve"> </w:t>
      </w:r>
      <w:r>
        <w:t xml:space="preserve">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showed high apparent separation (AUC 0.88), this was</w:t>
      </w:r>
      <w:r>
        <w:t xml:space="preserve"> </w:t>
      </w:r>
      <w:r>
        <w:t xml:space="preserve">dominated by between-drone confounds; within-drone evaluation demonstrated attenuation to near-chance (AUC 0.58),</w:t>
      </w:r>
      <w:r>
        <w:t xml:space="preserve"> </w:t>
      </w:r>
      <w:r>
        <w:t xml:space="preserve">confirming that longitudinal baseline comparison is essential. Diagnostic checks also exhibited leakage: specifically, tuning fault detection fell from 77.8% to 11.1% sensitivity (</w:t>
      </w:r>
      <m:oMath>
        <m:r>
          <m:t>p</m:t>
        </m:r>
        <m:r>
          <m:rPr>
            <m:sty m:val="p"/>
          </m:rPr>
          <m:t>=</m:t>
        </m:r>
        <m:r>
          <m:t>0.031</m:t>
        </m:r>
      </m:oMath>
      <w:r>
        <w:t xml:space="preserve">) when the final 10 s were removed. Diagnostic evaluations must remove the crash</w:t>
      </w:r>
      <w:r>
        <w:t xml:space="preserve"> </w:t>
      </w:r>
      <w:r>
        <w:t xml:space="preserve">window and 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24</w:t>
        </w:r>
      </w:hyperlink>
      <w:r>
        <w:t xml:space="preserve">]</w:t>
      </w:r>
      <w:r>
        <w:t xml:space="preserve">. However, two important qualifications apply. First,</w:t>
      </w:r>
      <w:r>
        <w:t xml:space="preserve"> </w:t>
      </w:r>
      <w:r>
        <w:t xml:space="preserve">removing crash-day flights reduced usable sets from 60 to 25, indicating that many flights occurred during the same</w:t>
      </w:r>
      <w:r>
        <w:t xml:space="preserve"> </w:t>
      </w:r>
      <w:r>
        <w:t xml:space="preserve">session; the</w:t>
      </w:r>
      <w:r>
        <w:t xml:space="preserve"> </w:t>
      </w:r>
      <w:r>
        <w:t xml:space="preserve">“maintenance degradation”</w:t>
      </w:r>
      <w:r>
        <w:t xml:space="preserve"> </w:t>
      </w:r>
      <w:r>
        <w:t xml:space="preserve">hypothesis therefore competes with an</w:t>
      </w:r>
      <w:r>
        <w:t xml:space="preserve"> </w:t>
      </w:r>
      <w:r>
        <w:t xml:space="preserve">“experimental airframe”</w:t>
      </w:r>
      <w:r>
        <w:t xml:space="preserve"> </w:t>
      </w:r>
      <w:r>
        <w:t xml:space="preserve">hypothesis,</w:t>
      </w:r>
      <w:r>
        <w:t xml:space="preserve"> </w:t>
      </w:r>
      <w:r>
        <w:t xml:space="preserve">where poorly tuned or prototype drones vibrate heavily and crash during initial testing. Second, the effect was supported</w:t>
      </w:r>
      <w:r>
        <w:t xml:space="preserve"> </w:t>
      </w:r>
      <w:r>
        <w:t xml:space="preserve">on the older estimator metric only; a declared replication on the newer accelerometer metric was inconclusive (</w:t>
      </w:r>
      <m:oMath>
        <m:r>
          <m:t>p</m:t>
        </m:r>
        <m:r>
          <m:rPr>
            <m:sty m:val="p"/>
          </m:rPr>
          <m:t>=</m:t>
        </m:r>
        <m:r>
          <m:t>0.25</m:t>
        </m:r>
      </m:oMath>
      <w:r>
        <w:t xml:space="preserve">).</w:t>
      </w:r>
      <w:r>
        <w:t xml:space="preserve"> </w:t>
      </w:r>
      <w:r>
        <w:t xml:space="preserve">Finally, given the low baseline crash rate in active fleets (</w:t>
      </w:r>
      <m:oMath>
        <m:r>
          <m:rPr>
            <m:sty m:val="p"/>
          </m:rPr>
          <m:t>∼</m:t>
        </m:r>
        <m:r>
          <m:t>1.5</m:t>
        </m:r>
        <m:r>
          <m:rPr>
            <m:sty m:val="p"/>
          </m:rPr>
          <m:t>%</m:t>
        </m:r>
      </m:oMath>
      <w:r>
        <w:t xml:space="preserve">), flagging upper-quartile vibration yields an</w:t>
      </w:r>
      <w:r>
        <w:t xml:space="preserve"> </w:t>
      </w:r>
      <w:r>
        <w:t xml:space="preserve">operational PPV of 3.8% (95% CI 3.2–4.6%; 3.3% for top-rank flagging). The metric provides a maintenance</w:t>
      </w:r>
      <w:r>
        <w:t xml:space="preserve"> </w:t>
      </w:r>
      <w:r>
        <w:t xml:space="preserve">prioritization signal, not an operational warning.</w:t>
      </w:r>
    </w:p>
    <w:p>
      <w:pPr>
        <w:pStyle w:val="BodyText"/>
      </w:pPr>
      <w:r>
        <w:rPr>
          <w:b/>
          <w:bCs/>
        </w:rPr>
        <w:t xml:space="preserve">From findings to a tool.</w:t>
      </w:r>
      <w:r>
        <w:t xml:space="preserve"> </w:t>
      </w:r>
      <w:r>
        <w:t xml:space="preserve">Section 6 turns these results into design decisions for AeroFleet 2.0,</w:t>
      </w:r>
      <w:r>
        <w:t xml:space="preserve"> </w:t>
      </w:r>
      <w:r>
        <w:t xml:space="preserve">an operator’s ground-side assurance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voting vulnerabilities rather than accuracy.</w:t>
      </w:r>
      <w:r>
        <w:t xml:space="preserve"> </w:t>
      </w:r>
      <w:r>
        <w:t xml:space="preserve">While deterministic numeric parsing prevented direct prompt injection by construction, multi-agent voting consensus was</w:t>
      </w:r>
      <w:r>
        <w:t xml:space="preserve"> </w:t>
      </w:r>
      <w:r>
        <w:t xml:space="preserve">easily manipulated by a single compromised reviewer. Larger models and blind evaluation cases remain to be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8</w:t>
        </w:r>
      </w:hyperlink>
      <w:r>
        <w:t xml:space="preserve">,</w:t>
      </w:r>
      <w:hyperlink w:anchor="_446d2d8311e3f2ab8e5f2830e712f064a3280b9">
        <w:r>
          <w:rPr>
            <w:rStyle w:val="Hyperlink"/>
          </w:rPr>
          <w:t xml:space="preserve">9</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10</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within-subjects user study comparing the three-dimensional views with a</w:t>
      </w:r>
      <w:r>
        <w:t xml:space="preserve"> </w:t>
      </w:r>
      <w:r>
        <w:t xml:space="preserve">two-dimensional map on tasks with known answers. Stronger replication of the between-drone vibration effect on modern</w:t>
      </w:r>
      <w:r>
        <w:t xml:space="preserve"> </w:t>
      </w:r>
      <w:r>
        <w:t xml:space="preserve">autopilots, evaluating operational safety impact across active fleets, testing sequence models or frequency-domain IMU</w:t>
      </w:r>
      <w:r>
        <w:t xml:space="preserve"> </w:t>
      </w:r>
      <w:r>
        <w:t xml:space="preserve">features for transient precursors that whole-window summaries miss, and evaluating a larger set of crashes with causes</w:t>
      </w:r>
      <w:r>
        <w:t xml:space="preserve"> </w:t>
      </w:r>
      <w:r>
        <w:t xml:space="preserve">verified by independent investigators would further strengthen the evidence.</w:t>
      </w:r>
    </w:p>
    <w:p>
      <w:pPr>
        <w:pStyle w:val="Heading1"/>
      </w:pPr>
      <w:bookmarkStart w:id="65" w:name="_82b82981e21bad8167d56d1f0b74a832e215810"/>
      <w:r>
        <w:rPr>
          <w:rStyle w:val="SectionNumber"/>
        </w:rPr>
        <w:t xml:space="preserve">8</w:t>
      </w:r>
      <w:r>
        <w:tab/>
      </w:r>
      <w:r>
        <w:t xml:space="preserve">Threats to validity</w:t>
      </w:r>
      <w:bookmarkEnd w:id="65"/>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The expert-diagnosed sample confirmed agreement on</w:t>
      </w:r>
      <w:r>
        <w:t xml:space="preserve"> </w:t>
      </w:r>
      <w:r>
        <w:t xml:space="preserve">aircraft-rated logs (11 of 14) but did not evaluate pilot-rated logs, and the gap between expert (6%) and uploader (32%)</w:t>
      </w:r>
      <w:r>
        <w:t xml:space="preserve"> </w:t>
      </w:r>
      <w:r>
        <w:t xml:space="preserve">pilot blame rates suggests reporting biases. Controls without a crash-rated log may have crashed without a rating, biasing</w:t>
      </w:r>
      <w:r>
        <w:t xml:space="preserve"> </w:t>
      </w:r>
      <w:r>
        <w:t xml:space="preserve">the between-drone test conservatively. Forum diagnoses were coded with good inter-rater reliability (</w:t>
      </w:r>
      <m:oMath>
        <m:r>
          <m:t>κ</m:t>
        </m:r>
        <m:r>
          <m:rPr>
            <m:sty m:val="p"/>
          </m:rPr>
          <m:t>≥</m:t>
        </m:r>
        <m:r>
          <m:t>0.73</m:t>
        </m:r>
      </m:oMath>
      <w:r>
        <w:t xml:space="preserve">),</w:t>
      </w:r>
      <w:r>
        <w:t xml:space="preserve"> </w:t>
      </w:r>
      <w:r>
        <w:t xml:space="preserve">but were limited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public version control in advance of</w:t>
      </w:r>
      <w:r>
        <w:t xml:space="preserve"> </w:t>
      </w:r>
      <w:r>
        <w:t xml:space="preserve">analysis, but git repositories are self-hosted and lack third-party timestamped registries (e.g. OSF). One amendment</w:t>
      </w:r>
      <w:r>
        <w:t xml:space="preserve"> </w:t>
      </w:r>
      <w:r>
        <w:t xml:space="preserve">(lifting the within-drone firmware filter) was data-dependent after observing sample starvation (</w:t>
      </w:r>
      <m:oMath>
        <m:r>
          <m:t>n</m:t>
        </m:r>
        <m:r>
          <m:rPr>
            <m:sty m:val="p"/>
          </m:rPr>
          <m:t>=</m:t>
        </m:r>
        <m:r>
          <m:t>12</m:t>
        </m:r>
      </m:oMath>
      <w:r>
        <w:t xml:space="preserve">).</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Only 37 of the 73 logs behind expert aircraft diagnoses with a checkable cause could still be</w:t>
      </w:r>
      <w:r>
        <w:t xml:space="preserve"> </w:t>
      </w:r>
      <w:r>
        <w:t xml:space="preserve">downloaded, so several diagnostic comparisons in Table 7 have very small sample sizes (</w:t>
      </w:r>
      <m:oMath>
        <m:r>
          <m:t>n</m:t>
        </m:r>
        <m:r>
          <m:rPr>
            <m:sty m:val="p"/>
          </m:rPr>
          <m:t>=</m:t>
        </m:r>
        <m:r>
          <m:t>2</m:t>
        </m:r>
      </m:oMath>
      <w:r>
        <w:t xml:space="preserve"> </w:t>
      </w:r>
      <w:r>
        <w:t xml:space="preserve">to</w:t>
      </w:r>
      <w:r>
        <w:t xml:space="preserve"> </w:t>
      </w:r>
      <m:oMath>
        <m:r>
          <m:t>9</m:t>
        </m:r>
      </m:oMath>
      <w:r>
        <w:t xml:space="preserve">);</w:t>
      </w:r>
      <w:r>
        <w:t xml:space="preserve"> </w:t>
      </w:r>
      <w:r>
        <w:t xml:space="preserve">its results are indicative rather than definitive.</w:t>
      </w:r>
    </w:p>
    <w:p>
      <w:pPr>
        <w:pStyle w:val="BodyText"/>
      </w:pPr>
      <w:r>
        <w:rPr>
          <w:b/>
          <w:bCs/>
        </w:rPr>
        <w:t xml:space="preserve">Power.</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2.0’s checks are primarily engineering tests on archive data and synthetic fault injections,</w:t>
      </w:r>
      <w:r>
        <w:t xml:space="preserve"> </w:t>
      </w:r>
      <w:r>
        <w:t xml:space="preserve">not evidence of improved operational safety. Plans in the injection test were built from the flights themselves; the</w:t>
      </w:r>
      <w:r>
        <w:t xml:space="preserve"> </w:t>
      </w:r>
      <w:r>
        <w:t xml:space="preserve">description search was tested on forum titles, which are shorter and more varied than an operator’s report, and its symptom</w:t>
      </w:r>
      <w:r>
        <w:t xml:space="preserve"> </w:t>
      </w:r>
      <w:r>
        <w:t xml:space="preserve">lists were written by the authors; prospective fleet evaluation of the vibration ranking and user studies of the</w:t>
      </w:r>
      <w:r>
        <w:t xml:space="preserve"> </w:t>
      </w:r>
      <w:r>
        <w:t xml:space="preserve">three-dimensional views remain future work (Sections 6 and 7).</w:t>
      </w:r>
    </w:p>
    <w:p>
      <w:pPr>
        <w:pStyle w:val="Heading1"/>
      </w:pPr>
      <w:bookmarkStart w:id="66" w:name="_0cf7f8e9027f9f9352f3019b4ede1d43d537ff7"/>
      <w:r>
        <w:rPr>
          <w:rStyle w:val="SectionNumber"/>
        </w:rPr>
        <w:t xml:space="preserve">9</w:t>
      </w:r>
      <w:r>
        <w:tab/>
      </w:r>
      <w:r>
        <w:t xml:space="preserve">Conclusion</w:t>
      </w:r>
      <w:bookmarkEnd w:id="66"/>
    </w:p>
    <w:p>
      <w:pPr>
        <w:pStyle w:val="FirstParagraph"/>
      </w:pPr>
      <w:r>
        <w:t xml:space="preserve">Across 590 crash-rated logs from an archive index of 479,547 flights, flight logs did not distinguish pilot-caused from</w:t>
      </w:r>
      <w:r>
        <w:t xml:space="preserve"> </w:t>
      </w:r>
      <w:r>
        <w:t xml:space="preserve">aircraft-caused crashes above chance, configuration protections were disabled at similar rates, and the flight that</w:t>
      </w:r>
      <w:r>
        <w:t xml:space="preserve"> </w:t>
      </w:r>
      <w:r>
        <w:t xml:space="preserve">crashed showed no detectable difference in vibration or rate-tracking error relative to the same drone’s prior flights</w:t>
      </w:r>
      <w:r>
        <w:t xml:space="preserve"> </w:t>
      </w:r>
      <w:r>
        <w:t xml:space="preserve">(95% CI upper bounds 0.58 and 0.63). Diagnostic checks also suffered from crash-impact data leakage: tuning fault detection fell from 77.8% to 11.1% sensitivity (</w:t>
      </w:r>
      <m:oMath>
        <m:r>
          <m:t>p</m:t>
        </m:r>
        <m:r>
          <m:rPr>
            <m:sty m:val="p"/>
          </m:rPr>
          <m:t>=</m:t>
        </m:r>
        <m:r>
          <m:t>0.031</m:t>
        </m:r>
      </m:oMath>
      <w:r>
        <w:t xml:space="preserve">) once the final 10 s were removed. What the logs did reveal, on older estimator metrics, was that drones that later crashed exhibited higher baseline</w:t>
      </w:r>
      <w:r>
        <w:t xml:space="preserve"> </w:t>
      </w:r>
      <w:r>
        <w:t xml:space="preserve">vibration on ordinary flights than matched peers, though replication on newer accelerometer metrics was inconclusive (</w:t>
      </w:r>
      <m:oMath>
        <m:r>
          <m:t>p</m:t>
        </m:r>
        <m:r>
          <m:rPr>
            <m:sty m:val="p"/>
          </m:rPr>
          <m:t>=</m:t>
        </m:r>
        <m:r>
          <m:t>0.25</m:t>
        </m:r>
      </m:oMath>
      <w:r>
        <w:t xml:space="preserve">)</w:t>
      </w:r>
      <w:r>
        <w:t xml:space="preserve"> </w:t>
      </w:r>
      <w:r>
        <w:t xml:space="preserve">and operational screening yields an operational positive predictive value of 1.04% under empirical matched-set screening (3.8% under a theoretical fleet-wide upper-quartile reference). Flight log analytics for drone fleets should prioritize longitudinal airframe screening and</w:t>
      </w:r>
      <w:r>
        <w:t xml:space="preserve"> </w:t>
      </w:r>
      <w:r>
        <w:t xml:space="preserve">structured evidence review, not automated verdicts. AeroFleet 2.0 implements this approach as an open-source tool,</w:t>
      </w:r>
      <w:r>
        <w:t xml:space="preserve"> </w:t>
      </w:r>
      <w:r>
        <w:t xml:space="preserve">presenting verifiable evidence while leaving diagnostic decisions to human operators.</w:t>
      </w:r>
    </w:p>
    <w:p>
      <w:pPr>
        <w:pStyle w:val="Heading1"/>
      </w:pPr>
      <w:bookmarkStart w:id="67" w:name="_84dc18e74b75db6057c8c16a8f70e097972540a"/>
      <w:r>
        <w:t xml:space="preserve">Declaration of competing interest</w:t>
      </w:r>
      <w:bookmarkEnd w:id="67"/>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68" w:name="_1f74eb43af444059c7518034463b6c89b1cacf4"/>
      <w:r>
        <w:t xml:space="preserve">Declaration of generative AI and AI-assisted technologies in the manuscript preparation process</w:t>
      </w:r>
      <w:bookmarkEnd w:id="68"/>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69" w:name="_ea5c66868f283220c19382d0fdd5a852ec570ca"/>
      <w:r>
        <w:t xml:space="preserve">Data availability</w:t>
      </w:r>
      <w:bookmarkEnd w:id="69"/>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0">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1" w:name="_funding"/>
      <w:r>
        <w:t xml:space="preserve">Funding</w:t>
      </w:r>
      <w:bookmarkEnd w:id="71"/>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2" w:name="_2e4e683a75f4ea1e96c47404e8a75ca682e3575"/>
      <w:r>
        <w:rPr>
          <w:rStyle w:val="SectionNumber"/>
        </w:rPr>
        <w:t xml:space="preserve">10</w:t>
      </w:r>
      <w:r>
        <w:tab/>
      </w:r>
      <w:r>
        <w:t xml:space="preserve">Assurance tool implementation and validation checks</w:t>
      </w:r>
      <w:bookmarkEnd w:id="72"/>
    </w:p>
    <w:p>
      <w:pPr>
        <w:pStyle w:val="Heading2"/>
      </w:pPr>
      <w:bookmarkStart w:id="73" w:name="_e9cb5b0fd220e30d51d52748a99948ea06a1200"/>
      <w:r>
        <w:rPr>
          <w:rStyle w:val="SectionNumber"/>
        </w:rPr>
        <w:t xml:space="preserve">10.1</w:t>
      </w:r>
      <w:r>
        <w:tab/>
      </w:r>
      <w:r>
        <w:t xml:space="preserve">Planned versus flown trajectory checks</w:t>
      </w:r>
      <w:bookmarkEnd w:id="7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 only six distinct missions; the check</w:t>
      </w:r>
      <w:r>
        <w:t xml:space="preserve"> </w:t>
      </w:r>
      <w:r>
        <w:t xml:space="preserve">reported no deviation while any of them flew in mission mode, and the two deviations it did report were stretches in</w:t>
      </w:r>
      <w:r>
        <w:t xml:space="preserve"> </w:t>
      </w:r>
      <w:r>
        <w:t xml:space="preserve">which the vehicle had left mission mode (return-to-launch, or the pilot taking over). Six missions are too few for a</w:t>
      </w:r>
      <w:r>
        <w:t xml:space="preserve"> </w:t>
      </w:r>
      <w:r>
        <w:t xml:space="preserve">rate (95% upper bound 39%), so the false-alarm rate on real plans remains unmeasured and a reported deviation is a</w:t>
      </w:r>
      <w:r>
        <w:t xml:space="preserve"> </w:t>
      </w:r>
      <w:r>
        <w:t xml:space="preserve">reason to look at the replay rather than a finding.</w:t>
      </w:r>
    </w:p>
    <w:p>
      <w:pPr>
        <w:pStyle w:val="Heading2"/>
      </w:pPr>
      <w:bookmarkStart w:id="74" w:name="_ba111e3b1ab1bf9cf9c89fdb5dcad017abb296d"/>
      <w:r>
        <w:rPr>
          <w:rStyle w:val="SectionNumber"/>
        </w:rPr>
        <w:t xml:space="preserve">10.2</w:t>
      </w:r>
      <w:r>
        <w:tab/>
      </w:r>
      <w:r>
        <w:t xml:space="preserve">Searching past community diagnoses</w:t>
      </w:r>
      <w:bookmarkEnd w:id="7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 description, like the log, did not reveal the cause. The tool</w:t>
      </w:r>
      <w:r>
        <w:t xml:space="preserve"> </w:t>
      </w:r>
      <w:r>
        <w:t xml:space="preserve">therefore orders its checklist by how often experts found each cause, marks the causes the description mentions, and</w:t>
      </w:r>
      <w:r>
        <w:t xml:space="preserve"> </w:t>
      </w:r>
      <w:r>
        <w:t xml:space="preserve">offers the most similar threads only as reading, with the measured accuracy shown beside the answer.</w:t>
      </w:r>
    </w:p>
    <w:p>
      <w:pPr>
        <w:pStyle w:val="Heading2"/>
      </w:pPr>
      <w:bookmarkStart w:id="75" w:name="_2fdde5e9aa4343cb9ee229a5abab9cb4de37fc8"/>
      <w:r>
        <w:rPr>
          <w:rStyle w:val="SectionNumber"/>
        </w:rPr>
        <w:t xml:space="preserve">10.3</w:t>
      </w:r>
      <w:r>
        <w:tab/>
      </w:r>
      <w:r>
        <w:t xml:space="preserve">Three-dimensional replay and mission rehearsal</w:t>
      </w:r>
      <w:bookmarkEnd w:id="75"/>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 turns each mission file</w:t>
      </w:r>
      <w:r>
        <w:t xml:space="preserve"> </w:t>
      </w:r>
      <w:r>
        <w:t xml:space="preserve">into a position-over-time trajectory on a common clock (straight legs at stated climb, cruise and descent speeds),</w:t>
      </w:r>
      <w:r>
        <w:t xml:space="preserve"> </w:t>
      </w:r>
      <w:r>
        <w:t xml:space="preserve">finds every pair closer than the separation distance and resolves conflicts by a launch delay or, where allowed, a</w:t>
      </w:r>
      <w:r>
        <w:t xml:space="preserve"> </w:t>
      </w:r>
      <w:r>
        <w:t xml:space="preserve">different cruise height. The rehearsal flies all missions on that clock, as uploaded and as rescheduled, with each loss</w:t>
      </w:r>
      <w:r>
        <w:t xml:space="preserve"> </w:t>
      </w:r>
      <w:r>
        <w:t xml:space="preserve">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9" w:name="_bf99149bad0dada6e2c9862d0554e4b7cad348e"/>
    <w:p>
      <w:pPr>
        <w:pStyle w:val="CaptionedFigure"/>
        <w:jc w:val="center"/>
      </w:pPr>
      <w:r>
        <w:drawing>
          <wp:inline>
            <wp:extent cx="5334000" cy="4488933"/>
            <wp:effectExtent b="0" l="0" r="0" t="0"/>
            <wp:docPr descr="" title="" id="77" name="Picture"/>
            <a:graphic>
              <a:graphicData uri="http://schemas.openxmlformats.org/drawingml/2006/picture">
                <pic:pic>
                  <pic:nvPicPr>
                    <pic:cNvPr descr="fig_rehearsal.png" id="78" name="Picture"/>
                    <pic:cNvPicPr>
                      <a:picLocks noChangeArrowheads="1" noChangeAspect="1"/>
                    </pic:cNvPicPr>
                  </pic:nvPicPr>
                  <pic:blipFill>
                    <a:blip r:embed="rId76"/>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9"/>
    <w:p>
      <w:pPr>
        <w:pStyle w:val="Heading1"/>
      </w:pPr>
      <w:bookmarkStart w:id="80" w:name="_81f332d0bc99ea95ecab20532ec82dd8605ae66"/>
      <w:r>
        <w:rPr>
          <w:rStyle w:val="SectionNumber"/>
        </w:rPr>
        <w:t xml:space="preserve">11</w:t>
      </w:r>
      <w:r>
        <w:tab/>
      </w:r>
      <w:r>
        <w:t xml:space="preserve">Exploratory evaluation of language-model review panels</w:t>
      </w:r>
      <w:bookmarkEnd w:id="80"/>
    </w:p>
    <w:p>
      <w:pPr>
        <w:pStyle w:val="FirstParagraph"/>
      </w:pPr>
      <w:r>
        <w:t xml:space="preserve">Because language-model assistants are increasingly proposed for log review, we conducted a preliminary comparison on</w:t>
      </w:r>
      <w:r>
        <w:t xml:space="preserve"> </w:t>
      </w:r>
      <w:r>
        <w:t xml:space="preserve">60 author-generated fault cases using four relatively small local models (3–4B parameters). The fixed rule was right</w:t>
      </w:r>
      <w:r>
        <w:t xml:space="preserve"> </w:t>
      </w:r>
      <w:r>
        <w:t xml:space="preserve">in 45 of 60 generated cases (75%, 95% Wilson interval 63–84%) and wrong in none (0%, 95% interval 0–6%); it</w:t>
      </w:r>
      <w:r>
        <w:t xml:space="preserve"> </w:t>
      </w:r>
      <w:r>
        <w:t xml:space="preserve">referred the other 15 to a human operator.</w:t>
      </w:r>
      <w:r>
        <w:t xml:space="preserve"> </w:t>
      </w:r>
      <w:r>
        <w:t xml:space="preserve">“Right”</w:t>
      </w:r>
      <w:r>
        <w:t xml:space="preserve"> </w:t>
      </w:r>
      <w:r>
        <w:t xml:space="preserve">includes leaving the 10 no-cause cases open, so the rule named the true</w:t>
      </w:r>
      <w:r>
        <w:t xml:space="preserve"> </w:t>
      </w:r>
      <w:r>
        <w:t xml:space="preserve">cause in 35 of the 50 cases that had one. As discussed in Section 8, the rule’s performance may be</w:t>
      </w:r>
      <w:r>
        <w:t xml:space="preserve"> </w:t>
      </w:r>
      <w:r>
        <w:t xml:space="preserve">optimistic because the cases were created by the authors who designed the rule; nonetheless, no model’s panel matched</w:t>
      </w:r>
      <w:r>
        <w:t xml:space="preserve"> </w:t>
      </w:r>
      <w:r>
        <w:t xml:space="preserve">it (Table B.10): wrong answers ranged from 6 to 38 of 60 (10–63%).</w:t>
      </w:r>
    </w:p>
    <w:p>
      <w:pPr>
        <w:pStyle w:val="BodyText"/>
      </w:pPr>
      <w:r>
        <w:t xml:space="preserve">Reporting coverage (share of cases decided) and accuracy-when-answering separately clarifies the failure mechanisms of</w:t>
      </w:r>
      <w:r>
        <w:t xml:space="preserve"> </w:t>
      </w:r>
      <w:r>
        <w:t xml:space="preserve">individual models. The single-agent configurations of</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abstained on all 50 cases</w:t>
      </w:r>
      <w:r>
        <w:t xml:space="preserve"> </w:t>
      </w:r>
      <w:r>
        <w:t xml:space="preserve">with an active cause (0% active coverage); their 10</w:t>
      </w:r>
      <w:r>
        <w:t xml:space="preserve"> </w:t>
      </w:r>
      <w:r>
        <w:t xml:space="preserve">“right”</w:t>
      </w:r>
      <w:r>
        <w:t xml:space="preserve"> </w:t>
      </w:r>
      <w:r>
        <w:t xml:space="preserve">scores stemmed entirely from correctly leaving the 10</w:t>
      </w:r>
      <w:r>
        <w:t xml:space="preserve"> </w:t>
      </w:r>
      <w:r>
        <w:t xml:space="preserve">no-cause cases open.</w:t>
      </w:r>
      <w:r>
        <w:t xml:space="preserve"> </w:t>
      </w:r>
      <w:r>
        <w:rPr>
          <w:rStyle w:val="VerbatimChar"/>
        </w:rPr>
        <w:t xml:space="preserve">qwen2.5:3b</w:t>
      </w:r>
      <w:r>
        <w:t xml:space="preserve"> </w:t>
      </w:r>
      <w:r>
        <w:t xml:space="preserve">answered 53 of 60 cases (88% coverage) but achieved only 17.0% accuracy when</w:t>
      </w:r>
      <w:r>
        <w:t xml:space="preserve"> </w:t>
      </w:r>
      <w:r>
        <w:t xml:space="preserve">answering (9 right, 44 wrong), which is indistinguishable from random guessing across the six cause classes (16.7%).</w:t>
      </w:r>
      <w:r>
        <w:t xml:space="preserve"> </w:t>
      </w:r>
      <w:r>
        <w:rPr>
          <w:rStyle w:val="VerbatimChar"/>
        </w:rPr>
        <w:t xml:space="preserve">qwen3:4b</w:t>
      </w:r>
      <w:r>
        <w:t xml:space="preserve"> </w:t>
      </w:r>
      <w:r>
        <w:t xml:space="preserve">suffered complete mode collapse on decided cases: across the 41 cases it answered (the remaining 19</w:t>
      </w:r>
      <w:r>
        <w:t xml:space="preserve"> </w:t>
      </w:r>
      <w:r>
        <w:t xml:space="preserve">failed JSON schema parsing), it attributed all 41 to</w:t>
      </w:r>
      <w:r>
        <w:t xml:space="preserve"> </w:t>
      </w:r>
      <w:r>
        <w:rPr>
          <w:rStyle w:val="VerbatimChar"/>
        </w:rPr>
        <w:t xml:space="preserve">PLAN_OR_ROUTE_ISSUE</w:t>
      </w:r>
      <w:r>
        <w:t xml:space="preserve">, yielding 0 right, 41 wrong (0%</w:t>
      </w:r>
      <w:r>
        <w:t xml:space="preserve"> </w:t>
      </w:r>
      <w:r>
        <w:t xml:space="preserve">accuracy when answering).</w:t>
      </w:r>
    </w:p>
    <w:p>
      <w:pPr>
        <w:pStyle w:val="BodyText"/>
      </w:pPr>
      <w:r>
        <w:t xml:space="preserve">Multi-agent panel deliberation increased coverage for</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to 65%, but accuracy when</w:t>
      </w:r>
      <w:r>
        <w:t xml:space="preserve"> </w:t>
      </w:r>
      <w:r>
        <w:t xml:space="preserve">answering remained low for</w:t>
      </w:r>
      <w:r>
        <w:t xml:space="preserve"> </w:t>
      </w:r>
      <w:r>
        <w:rPr>
          <w:rStyle w:val="VerbatimChar"/>
        </w:rPr>
        <w:t xml:space="preserve">gemma3</w:t>
      </w:r>
      <w:r>
        <w:t xml:space="preserve"> </w:t>
      </w:r>
      <w:r>
        <w:t xml:space="preserve">(7.7%, 3 of 39) and modest for</w:t>
      </w:r>
      <w:r>
        <w:t xml:space="preserve"> </w:t>
      </w:r>
      <w:r>
        <w:rPr>
          <w:rStyle w:val="VerbatimChar"/>
        </w:rPr>
        <w:t xml:space="preserve">phi4</w:t>
      </w:r>
      <w:r>
        <w:t xml:space="preserve"> </w:t>
      </w:r>
      <w:r>
        <w:t xml:space="preserve">(51.3%, 20 of 39).</w:t>
      </w:r>
      <w:r>
        <w:t xml:space="preserve"> </w:t>
      </w:r>
      <w:r>
        <w:rPr>
          <w:rStyle w:val="VerbatimChar"/>
        </w:rPr>
        <w:t xml:space="preserve">qwen2.5:3b</w:t>
      </w:r>
      <w:r>
        <w:t xml:space="preserve"> </w:t>
      </w:r>
      <w:r>
        <w:t xml:space="preserve">achieved 62.5% accuracy when answering in the panel (10 right, 6 wrong), but deferred on 73% of cases</w:t>
      </w:r>
      <w:r>
        <w:t xml:space="preserve"> </w:t>
      </w:r>
      <w:r>
        <w:t xml:space="preserve">(16 answered).</w:t>
      </w:r>
      <w:r>
        <w:t xml:space="preserve"> </w:t>
      </w:r>
      <w:r>
        <w:rPr>
          <w:rStyle w:val="VerbatimChar"/>
        </w:rPr>
        <w:t xml:space="preserve">qwen3:4b</w:t>
      </w:r>
      <w:r>
        <w:t xml:space="preserve"> </w:t>
      </w:r>
      <w:r>
        <w:t xml:space="preserve">reached 30.9% accuracy when answering (17 of 55).</w:t>
      </w:r>
    </w:p>
    <w:p>
      <w:pPr>
        <w:pStyle w:val="BodyText"/>
      </w:pPr>
      <w:r>
        <w:t xml:space="preserve">In the adversarial robustness test, we conducted a worst-case sensitivity sweep where a single compromised reviewer systematically</w:t>
      </w:r>
      <w:r>
        <w:t xml:space="preserve"> </w:t>
      </w:r>
      <w:r>
        <w:t xml:space="preserve">advocated for a designated incorrect cause across both voting rounds. This adversary successfully flipped the panel’s consensus in 45</w:t>
      </w:r>
      <w:r>
        <w:t xml:space="preserve"> </w:t>
      </w:r>
      <w:r>
        <w:t xml:space="preserve">to 56 of 60 cases (Table B.10). This highlights that multi-agent consensus voting without cryptographic proofs or</w:t>
      </w:r>
      <w:r>
        <w:t xml:space="preserve"> </w:t>
      </w:r>
      <w:r>
        <w:t xml:space="preserve">fact-citation enforcement remains vulnerable to rogue reviewers. In contrast, 40 hostile prompt-injection strings planted in</w:t>
      </w:r>
      <w:r>
        <w:t xml:space="preserve"> </w:t>
      </w:r>
      <w:r>
        <w:t xml:space="preserve">uploader-controlled fields never reached any model prompt because the pipeline deterministically extracts numeric telemetry into</w:t>
      </w:r>
      <w:r>
        <w:t xml:space="preserve"> </w:t>
      </w:r>
      <w:r>
        <w:t xml:space="preserve">code, preventing direct prompt injection by construction.</w:t>
      </w:r>
    </w:p>
    <w:bookmarkStart w:id="81" w:name="_e9a1c7ab9cd062877714c77f2a5f253f301b820"/>
    <w:p>
      <w:pPr>
        <w:pStyle w:val="TableCaption"/>
      </w:pPr>
      <w:r>
        <w:t xml:space="preserve">Table B.10. Language-model review panels on 60 generated cases: counts of right (R), wrong (W), and deferred (Def) cases,</w:t>
      </w:r>
      <w:r>
        <w:t xml:space="preserve"> </w:t>
      </w:r>
      <w:r>
        <w:t xml:space="preserve">with coverage (Cov., share of cases decided) and accuracy when answering (Acc.).</w:t>
      </w:r>
      <w:r>
        <w:t xml:space="preserve"> </w:t>
      </w:r>
      <w:r>
        <w:t xml:space="preserve">“Right”</w:t>
      </w:r>
      <w:r>
        <w:t xml:space="preserve"> </w:t>
      </w:r>
      <w:r>
        <w:t xml:space="preserve">includes correctly leaving a</w:t>
      </w:r>
      <w:r>
        <w:t xml:space="preserve"> </w:t>
      </w:r>
      <w:r>
        <w:t xml:space="preserve">no-cause case open. Single-agent gemma3 and phi4 answered only the 10 no-cause cases (0% coverage on active causes).</w:t>
      </w:r>
      <w:r>
        <w:t xml:space="preserve"> </w:t>
      </w:r>
      <w:r>
        <w:t xml:space="preserve">Adversary flips show consensus changes caused by a single compromised reviewer in a worst-case sweep.</w:t>
      </w:r>
    </w:p>
    <w:tbl>
      <w:tblPr>
        <w:tblStyle w:val="Table"/>
        <w:tblW w:type="pct" w:w="5000"/>
        <w:tblLook w:firstRow="0" w:lastRow="0" w:firstColumn="0" w:lastColumn="0" w:noHBand="0" w:noVBand="0" w:val="0000"/>
        <w:tblCaption w:val="Table B.10.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81"/>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1"/>
      </w:pPr>
      <w:bookmarkStart w:id="82" w:name="_bibliography"/>
      <w:r>
        <w:t xml:space="preserve">References</w:t>
      </w:r>
      <w:bookmarkEnd w:id="82"/>
    </w:p>
    <w:bookmarkStart w:id="144" w:name="_refs"/>
    <w:bookmarkStart w:id="83"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3"/>
    <w:bookmarkStart w:id="84"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4"/>
    <w:bookmarkStart w:id="85"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5"/>
    <w:bookmarkStart w:id="86"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6"/>
    <w:bookmarkStart w:id="88"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7">
        <w:r>
          <w:rPr>
            <w:rStyle w:val="Hyperlink"/>
          </w:rPr>
          <w:t xml:space="preserve">10.1109/ICSE55347.2025.00223</w:t>
        </w:r>
      </w:hyperlink>
      <w:r>
        <w:t xml:space="preserve">.</w:t>
      </w:r>
    </w:p>
    <w:bookmarkEnd w:id="88"/>
    <w:bookmarkStart w:id="90"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9">
        <w:r>
          <w:rPr>
            <w:rStyle w:val="Hyperlink"/>
          </w:rPr>
          <w:t xml:space="preserve">10.1016/j.fsidi.2026.302051</w:t>
        </w:r>
      </w:hyperlink>
      <w:r>
        <w:t xml:space="preserve">.</w:t>
      </w:r>
    </w:p>
    <w:bookmarkEnd w:id="90"/>
    <w:bookmarkStart w:id="91"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1"/>
    <w:bookmarkStart w:id="93" w:name="_d75d7cf63098afa5d33e189bc1a163022e7ecdc"/>
    <w:p>
      <w:pPr>
        <w:pStyle w:val="Bibliography"/>
      </w:pPr>
      <w:r>
        <w:t xml:space="preserve">[8]</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2">
        <w:r>
          <w:rPr>
            <w:rStyle w:val="Hyperlink"/>
          </w:rPr>
          <w:t xml:space="preserve">10.1177/0278364920966642</w:t>
        </w:r>
      </w:hyperlink>
      <w:r>
        <w:t xml:space="preserve">.</w:t>
      </w:r>
    </w:p>
    <w:bookmarkEnd w:id="93"/>
    <w:bookmarkStart w:id="95" w:name="_446d2d8311e3f2ab8e5f2830e712f064a3280b9"/>
    <w:p>
      <w:pPr>
        <w:pStyle w:val="Bibliography"/>
      </w:pPr>
      <w:r>
        <w:t xml:space="preserve">[9]</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4">
        <w:r>
          <w:rPr>
            <w:rStyle w:val="Hyperlink"/>
          </w:rPr>
          <w:t xml:space="preserve">10.1177/02783649241305153</w:t>
        </w:r>
      </w:hyperlink>
      <w:r>
        <w:t xml:space="preserve">.</w:t>
      </w:r>
    </w:p>
    <w:bookmarkEnd w:id="95"/>
    <w:bookmarkStart w:id="96" w:name="_973650d78dc352a8b25ace59ab002a1d91cdfc9"/>
    <w:p>
      <w:pPr>
        <w:pStyle w:val="Bibliography"/>
      </w:pPr>
      <w:r>
        <w:t xml:space="preserve">[10]</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6"/>
    <w:bookmarkStart w:id="98" w:name="_42246838952b0ed0d35bd475d264714b9e743f7"/>
    <w:p>
      <w:pPr>
        <w:pStyle w:val="Bibliography"/>
      </w:pPr>
      <w:r>
        <w:t xml:space="preserve">[11]</w:t>
      </w:r>
      <w:r>
        <w:t xml:space="preserve"> </w:t>
      </w:r>
      <w:r>
        <w:t xml:space="preserve">	</w:t>
      </w:r>
      <w:r>
        <w:t xml:space="preserve">G. Wild, J. Murray, G. Baxter, Exploring civil drone accidents and incidents to help prevent potential air disasters, Aerospace 3 (2016) 22. https://doi.org/</w:t>
      </w:r>
      <w:hyperlink r:id="rId97">
        <w:r>
          <w:rPr>
            <w:rStyle w:val="Hyperlink"/>
          </w:rPr>
          <w:t xml:space="preserve">10.3390/aerospace3030022</w:t>
        </w:r>
      </w:hyperlink>
      <w:r>
        <w:t xml:space="preserve">.</w:t>
      </w:r>
    </w:p>
    <w:bookmarkEnd w:id="98"/>
    <w:bookmarkStart w:id="99" w:name="_b513b568a9a02649a1ddc461a1dd01e876732a2"/>
    <w:p>
      <w:pPr>
        <w:pStyle w:val="Bibliography"/>
      </w:pPr>
      <w:r>
        <w:t xml:space="preserve">[12]</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9"/>
    <w:bookmarkStart w:id="101" w:name="_3541019a36f31423dbace231a12fca4d5e5f1ad"/>
    <w:p>
      <w:pPr>
        <w:pStyle w:val="Bibliography"/>
      </w:pPr>
      <w:r>
        <w:t xml:space="preserve">[13]</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100">
        <w:r>
          <w:rPr>
            <w:rStyle w:val="Hyperlink"/>
          </w:rPr>
          <w:t xml:space="preserve">10.1145/2382577.2382579</w:t>
        </w:r>
      </w:hyperlink>
      <w:r>
        <w:t xml:space="preserve">.</w:t>
      </w:r>
    </w:p>
    <w:bookmarkEnd w:id="101"/>
    <w:bookmarkStart w:id="103" w:name="_77239db318a405bdd9ca0cc5db74d4c41b2a03f"/>
    <w:p>
      <w:pPr>
        <w:pStyle w:val="Bibliography"/>
      </w:pPr>
      <w:r>
        <w:t xml:space="preserve">[14]</w:t>
      </w:r>
      <w:r>
        <w:t xml:space="preserve"> </w:t>
      </w:r>
      <w:r>
        <w:t xml:space="preserve">	</w:t>
      </w:r>
      <w:r>
        <w:t xml:space="preserve">S. Kapoor, A. Narayanan, Leakage and the reproducibility crisis in machine-learning-based science, Patterns 4 (2023) 100804. https://doi.org/</w:t>
      </w:r>
      <w:hyperlink r:id="rId102">
        <w:r>
          <w:rPr>
            <w:rStyle w:val="Hyperlink"/>
          </w:rPr>
          <w:t xml:space="preserve">10.1016/j.patter.2023.100804</w:t>
        </w:r>
      </w:hyperlink>
      <w:r>
        <w:t xml:space="preserve">.</w:t>
      </w:r>
    </w:p>
    <w:bookmarkEnd w:id="103"/>
    <w:bookmarkStart w:id="105"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4">
        <w:r>
          <w:rPr>
            <w:rStyle w:val="Hyperlink"/>
          </w:rPr>
          <w:t xml:space="preserve">10.1109/ICRA.2015.7140074</w:t>
        </w:r>
      </w:hyperlink>
      <w:r>
        <w:t xml:space="preserve">.</w:t>
      </w:r>
    </w:p>
    <w:bookmarkEnd w:id="105"/>
    <w:bookmarkStart w:id="106"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6"/>
    <w:bookmarkStart w:id="108" w:name="_f6e66cea9a1ea78573b548bc5cf8461c81300ca"/>
    <w:p>
      <w:pPr>
        <w:pStyle w:val="Bibliography"/>
      </w:pPr>
      <w:r>
        <w:t xml:space="preserve">[17]</w:t>
      </w:r>
      <w:r>
        <w:t xml:space="preserve"> </w:t>
      </w:r>
      <w:r>
        <w:t xml:space="preserve">	</w:t>
      </w:r>
      <w:r>
        <w:t xml:space="preserve">B.A. Nosek, C.R. Ebersole, A.C. DeHaven, D.T. Mellor, The preregistration revolution, Proceedings of the National Academy of Sciences 115 (2018) 2600–2606. https://doi.org/</w:t>
      </w:r>
      <w:hyperlink r:id="rId107">
        <w:r>
          <w:rPr>
            <w:rStyle w:val="Hyperlink"/>
          </w:rPr>
          <w:t xml:space="preserve">10.1073/pnas.1708274114</w:t>
        </w:r>
      </w:hyperlink>
      <w:r>
        <w:t xml:space="preserve">.</w:t>
      </w:r>
    </w:p>
    <w:bookmarkEnd w:id="108"/>
    <w:bookmarkStart w:id="109" w:name="_c1fc4b225b7dfa71f64cc84e83afba5f24698c2"/>
    <w:p>
      <w:pPr>
        <w:pStyle w:val="Bibliography"/>
      </w:pPr>
      <w:r>
        <w:t xml:space="preserve">[18]</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9"/>
    <w:bookmarkStart w:id="111" w:name="_3d31df3710cff81ff87ef6665f7295f981708a9"/>
    <w:p>
      <w:pPr>
        <w:pStyle w:val="Bibliography"/>
      </w:pPr>
      <w:r>
        <w:t xml:space="preserve">[19]</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0">
        <w:r>
          <w:rPr>
            <w:rStyle w:val="Hyperlink"/>
          </w:rPr>
          <w:t xml:space="preserve">10.3390/s26103188</w:t>
        </w:r>
      </w:hyperlink>
      <w:r>
        <w:t xml:space="preserve">.</w:t>
      </w:r>
    </w:p>
    <w:bookmarkEnd w:id="111"/>
    <w:bookmarkStart w:id="113"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2">
        <w:r>
          <w:rPr>
            <w:rStyle w:val="Hyperlink"/>
          </w:rPr>
          <w:t xml:space="preserve">10.3390/drones6110330</w:t>
        </w:r>
      </w:hyperlink>
      <w:r>
        <w:t xml:space="preserve">.</w:t>
      </w:r>
    </w:p>
    <w:bookmarkEnd w:id="113"/>
    <w:bookmarkStart w:id="115"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4">
        <w:r>
          <w:rPr>
            <w:rStyle w:val="Hyperlink"/>
          </w:rPr>
          <w:t xml:space="preserve">10.1145/3146389</w:t>
        </w:r>
      </w:hyperlink>
      <w:r>
        <w:t xml:space="preserve">.</w:t>
      </w:r>
    </w:p>
    <w:bookmarkEnd w:id="115"/>
    <w:bookmarkStart w:id="117"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6">
        <w:r>
          <w:rPr>
            <w:rStyle w:val="Hyperlink"/>
          </w:rPr>
          <w:t xml:space="preserve">10.3389/frobt.2024.1123762</w:t>
        </w:r>
      </w:hyperlink>
      <w:r>
        <w:t xml:space="preserve">.</w:t>
      </w:r>
    </w:p>
    <w:bookmarkEnd w:id="117"/>
    <w:bookmarkStart w:id="119"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8">
        <w:r>
          <w:rPr>
            <w:rStyle w:val="Hyperlink"/>
          </w:rPr>
          <w:t xml:space="preserve">10.1145/3468264.3468559</w:t>
        </w:r>
      </w:hyperlink>
      <w:r>
        <w:t xml:space="preserve">.</w:t>
      </w:r>
    </w:p>
    <w:bookmarkEnd w:id="119"/>
    <w:bookmarkStart w:id="121" w:name="_4f9a794a6a4ddf2789379e73f8e74e34b9538b4"/>
    <w:p>
      <w:pPr>
        <w:pStyle w:val="Bibliography"/>
      </w:pPr>
      <w:r>
        <w:t xml:space="preserve">[24]</w:t>
      </w:r>
      <w:r>
        <w:t xml:space="preserve"> </w:t>
      </w:r>
      <w:r>
        <w:t xml:space="preserve">	</w:t>
      </w:r>
      <w:r>
        <w:t xml:space="preserve">E. Petritoli, F. Leccese, L. Ciani, Reliability and maintenance analysis of unmanned aerial vehicles, Sensors 18 (2018) 3171. https://doi.org/</w:t>
      </w:r>
      <w:hyperlink r:id="rId120">
        <w:r>
          <w:rPr>
            <w:rStyle w:val="Hyperlink"/>
          </w:rPr>
          <w:t xml:space="preserve">10.3390/s18093171</w:t>
        </w:r>
      </w:hyperlink>
      <w:r>
        <w:t xml:space="preserve">.</w:t>
      </w:r>
    </w:p>
    <w:bookmarkEnd w:id="121"/>
    <w:bookmarkStart w:id="122"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22"/>
    <w:bookmarkStart w:id="124"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3">
        <w:r>
          <w:rPr>
            <w:rStyle w:val="Hyperlink"/>
          </w:rPr>
          <w:t xml:space="preserve">https://proceedings.mlr.press/v235/du24e.html</w:t>
        </w:r>
      </w:hyperlink>
      <w:r>
        <w:t xml:space="preserve">.</w:t>
      </w:r>
    </w:p>
    <w:bookmarkEnd w:id="124"/>
    <w:bookmarkStart w:id="126"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5">
        <w:r>
          <w:rPr>
            <w:rStyle w:val="Hyperlink"/>
          </w:rPr>
          <w:t xml:space="preserve">10.1145/3605764.3623985</w:t>
        </w:r>
      </w:hyperlink>
      <w:r>
        <w:t xml:space="preserve">.</w:t>
      </w:r>
    </w:p>
    <w:bookmarkEnd w:id="126"/>
    <w:bookmarkStart w:id="128"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7">
        <w:r>
          <w:rPr>
            <w:rStyle w:val="Hyperlink"/>
          </w:rPr>
          <w:t xml:space="preserve">10.1109/TNNLS.2013.2292894</w:t>
        </w:r>
      </w:hyperlink>
      <w:r>
        <w:t xml:space="preserve">.</w:t>
      </w:r>
    </w:p>
    <w:bookmarkEnd w:id="128"/>
    <w:bookmarkStart w:id="130"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9">
        <w:r>
          <w:rPr>
            <w:rStyle w:val="Hyperlink"/>
          </w:rPr>
          <w:t xml:space="preserve">10.1214/09-STS313</w:t>
        </w:r>
      </w:hyperlink>
      <w:r>
        <w:t xml:space="preserve">.</w:t>
      </w:r>
    </w:p>
    <w:bookmarkEnd w:id="130"/>
    <w:bookmarkStart w:id="132"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31">
        <w:r>
          <w:rPr>
            <w:rStyle w:val="Hyperlink"/>
          </w:rPr>
          <w:t xml:space="preserve">10.3233/AIC-1994-7104</w:t>
        </w:r>
      </w:hyperlink>
      <w:r>
        <w:t xml:space="preserve">.</w:t>
      </w:r>
    </w:p>
    <w:bookmarkEnd w:id="132"/>
    <w:bookmarkStart w:id="134"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3">
        <w:r>
          <w:rPr>
            <w:rStyle w:val="Hyperlink"/>
          </w:rPr>
          <w:t xml:space="preserve">10.1561/1500000019</w:t>
        </w:r>
      </w:hyperlink>
      <w:r>
        <w:t xml:space="preserve">.</w:t>
      </w:r>
    </w:p>
    <w:bookmarkEnd w:id="134"/>
    <w:bookmarkStart w:id="136"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5">
        <w:r>
          <w:rPr>
            <w:rStyle w:val="Hyperlink"/>
          </w:rPr>
          <w:t xml:space="preserve">10.1145/223904.223938</w:t>
        </w:r>
      </w:hyperlink>
      <w:r>
        <w:t xml:space="preserve">.</w:t>
      </w:r>
    </w:p>
    <w:bookmarkEnd w:id="136"/>
    <w:bookmarkStart w:id="138"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7">
        <w:r>
          <w:rPr>
            <w:rStyle w:val="Hyperlink"/>
          </w:rPr>
          <w:t xml:space="preserve">10.1148/radiology.143.1.7063747</w:t>
        </w:r>
      </w:hyperlink>
      <w:r>
        <w:t xml:space="preserve">.</w:t>
      </w:r>
    </w:p>
    <w:bookmarkEnd w:id="138"/>
    <w:bookmarkStart w:id="140"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9">
        <w:r>
          <w:rPr>
            <w:rStyle w:val="Hyperlink"/>
          </w:rPr>
          <w:t xml:space="preserve">10.1214/aoms/1177730491</w:t>
        </w:r>
      </w:hyperlink>
      <w:r>
        <w:t xml:space="preserve">.</w:t>
      </w:r>
    </w:p>
    <w:bookmarkEnd w:id="140"/>
    <w:bookmarkStart w:id="141"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41"/>
    <w:bookmarkStart w:id="143"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42">
        <w:r>
          <w:rPr>
            <w:rStyle w:val="Hyperlink"/>
          </w:rPr>
          <w:t xml:space="preserve">https://www.jstor.org/stable/4615733</w:t>
        </w:r>
      </w:hyperlink>
      <w:r>
        <w:t xml:space="preserve">.</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6" Type="http://schemas.openxmlformats.org/officeDocument/2006/relationships/image" Target="media/rId76.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9" Type="http://schemas.openxmlformats.org/officeDocument/2006/relationships/hyperlink" Target="https://doi.org/10.1016/j.fsidi.2026.302051" TargetMode="External"/><Relationship Id="rId102" Type="http://schemas.openxmlformats.org/officeDocument/2006/relationships/hyperlink" Target="https://doi.org/10.1016/j.patter.2023.100804" TargetMode="External"/><Relationship Id="rId107"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7" Type="http://schemas.openxmlformats.org/officeDocument/2006/relationships/hyperlink" Target="https://doi.org/10.1109/TNNLS.2013.2292894" TargetMode="External"/><Relationship Id="rId135" Type="http://schemas.openxmlformats.org/officeDocument/2006/relationships/hyperlink" Target="https://doi.org/10.1145/223904.223938" TargetMode="External"/><Relationship Id="rId100"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25" Type="http://schemas.openxmlformats.org/officeDocument/2006/relationships/hyperlink" Target="https://doi.org/10.1145/3605764.3623985" TargetMode="External"/><Relationship Id="rId13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9" Type="http://schemas.openxmlformats.org/officeDocument/2006/relationships/hyperlink" Target="https://doi.org/10.1214/09-STS313" TargetMode="External"/><Relationship Id="rId139" Type="http://schemas.openxmlformats.org/officeDocument/2006/relationships/hyperlink" Target="https://doi.org/10.1214/aoms/1177730491" TargetMode="External"/><Relationship Id="rId133" Type="http://schemas.openxmlformats.org/officeDocument/2006/relationships/hyperlink" Target="https://doi.org/10.1561/1500000019" TargetMode="External"/><Relationship Id="rId131" Type="http://schemas.openxmlformats.org/officeDocument/2006/relationships/hyperlink" Target="https://doi.org/10.3233/AIC-1994-7104" TargetMode="External"/><Relationship Id="rId116"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70" Type="http://schemas.openxmlformats.org/officeDocument/2006/relationships/hyperlink" Target="https://github.com/AdityaPathare46/aerofleet" TargetMode="External"/><Relationship Id="rId123" Type="http://schemas.openxmlformats.org/officeDocument/2006/relationships/hyperlink" Target="https://proceedings.mlr.press/v235/du24e.html" TargetMode="External"/><Relationship Id="rId142"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doi.org/10.1016/j.fsidi.2026.302051" TargetMode="External"/><Relationship Id="rId102" Type="http://schemas.openxmlformats.org/officeDocument/2006/relationships/hyperlink" Target="https://doi.org/10.1016/j.patter.2023.100804" TargetMode="External"/><Relationship Id="rId107"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7" Type="http://schemas.openxmlformats.org/officeDocument/2006/relationships/hyperlink" Target="https://doi.org/10.1109/TNNLS.2013.2292894" TargetMode="External"/><Relationship Id="rId135" Type="http://schemas.openxmlformats.org/officeDocument/2006/relationships/hyperlink" Target="https://doi.org/10.1145/223904.223938" TargetMode="External"/><Relationship Id="rId100"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25" Type="http://schemas.openxmlformats.org/officeDocument/2006/relationships/hyperlink" Target="https://doi.org/10.1145/3605764.3623985" TargetMode="External"/><Relationship Id="rId13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9" Type="http://schemas.openxmlformats.org/officeDocument/2006/relationships/hyperlink" Target="https://doi.org/10.1214/09-STS313" TargetMode="External"/><Relationship Id="rId139" Type="http://schemas.openxmlformats.org/officeDocument/2006/relationships/hyperlink" Target="https://doi.org/10.1214/aoms/1177730491" TargetMode="External"/><Relationship Id="rId133" Type="http://schemas.openxmlformats.org/officeDocument/2006/relationships/hyperlink" Target="https://doi.org/10.1561/1500000019" TargetMode="External"/><Relationship Id="rId131" Type="http://schemas.openxmlformats.org/officeDocument/2006/relationships/hyperlink" Target="https://doi.org/10.3233/AIC-1994-7104" TargetMode="External"/><Relationship Id="rId116"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70" Type="http://schemas.openxmlformats.org/officeDocument/2006/relationships/hyperlink" Target="https://github.com/AdityaPathare46/aerofleet" TargetMode="External"/><Relationship Id="rId123" Type="http://schemas.openxmlformats.org/officeDocument/2006/relationships/hyperlink" Target="https://proceedings.mlr.press/v235/du24e.html" TargetMode="External"/><Relationship Id="rId142"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2026-10-25T12:46:03Z</dcterms:created>
  <dcterms:modified xsi:type="dcterms:W3CDTF">2026-10-25T12:46:03Z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