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479,547 public PX4 flight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increasingly expected to explain why a small drone crashed. We tested that expectation on the public</w:t>
      </w:r>
      <w:r>
        <w:t xml:space="preserve"> </w:t>
      </w:r>
      <w:r>
        <w:t xml:space="preserve">PX4 Flight Review archive (479,547 logs; 590 crashes labelled by their uploaders as pilot- or aircraft-caused),</w:t>
      </w:r>
      <w:r>
        <w:t xml:space="preserve"> </w:t>
      </w:r>
      <w:r>
        <w:t xml:space="preserve">committing each test and its pass mark to version control before running it. A fixed attribution rule reached a balanced accuracy of 0.47 on 112</w:t>
      </w:r>
      <w:r>
        <w:t xml:space="preserve"> </w:t>
      </w:r>
      <w:r>
        <w:t xml:space="preserve">held-out crashes, and a cross-validated model stayed between 0.42 and 0.52. Checks that seemed to find the cause</w:t>
      </w:r>
      <w:r>
        <w:t xml:space="preserve"> </w:t>
      </w:r>
      <w:r>
        <w:t xml:space="preserve">named by forum experts mostly fired on the crash itself (tuning faults: 10 of 12 found, 1 of 9 without the last</w:t>
      </w:r>
      <w:r>
        <w:t xml:space="preserve"> </w:t>
      </w:r>
      <w:r>
        <w:t xml:space="preserve">10 s). The crash flight did not differ from the same drone’s earlier flights, but drones that</w:t>
      </w:r>
      <w:r>
        <w:t xml:space="preserve"> </w:t>
      </w:r>
      <w:r>
        <w:t xml:space="preserve">later crashed vibrated more on ordinary flights than matched drones (mean rank 0.67, 95% CI 0.57–0.77,</w:t>
      </w:r>
      <w:r>
        <w:t xml:space="preserve"> </w:t>
      </w:r>
      <w:r>
        <w:t xml:space="preserve">Holm-adjusted</w:t>
      </w:r>
      <w:r>
        <w:t xml:space="preserve"> </w:t>
      </w:r>
      <m:oMath>
        <m:r>
          <m:t>p</m:t>
        </m:r>
        <m:r>
          <m:rPr>
            <m:sty m:val="p"/>
          </m:rPr>
          <m:t>=</m:t>
        </m:r>
        <m:r>
          <m:t>0.016</m:t>
        </m:r>
      </m:oMath>
      <w:r>
        <w:t xml:space="preserve">), though a replication on the newer accelerometer metric alone did not confirm it</w:t>
      </w:r>
      <w:r>
        <w:t xml:space="preserve"> </w:t>
      </w:r>
      <w:r>
        <w:t xml:space="preserve">(0.58,</w:t>
      </w:r>
      <w:r>
        <w:t xml:space="preserve"> </w:t>
      </w:r>
      <m:oMath>
        <m:r>
          <m:t>p</m:t>
        </m:r>
        <m:r>
          <m:rPr>
            <m:sty m:val="p"/>
          </m:rPr>
          <m:t>=</m:t>
        </m:r>
        <m:r>
          <m:t>0.25</m:t>
        </m:r>
      </m:oMath>
      <w:r>
        <w:t xml:space="preserve">, 19 sets). Small language-model panels lost to a fixed rule and were easily steered, and matching a</w:t>
      </w:r>
      <w:r>
        <w:t xml:space="preserve"> </w:t>
      </w:r>
      <w:r>
        <w:t xml:space="preserve">written problem description against 96 expert-diagnosed crashes found the expert’s cause less often than the base</w:t>
      </w:r>
      <w:r>
        <w:t xml:space="preserve"> </w:t>
      </w:r>
      <w:r>
        <w:t xml:space="preserve">rate (22% vs 27%). An open-source fleet-assurance tool, AeroFleet 2.0, built on these findings presents evidence, not verdicts:</w:t>
      </w:r>
      <w:r>
        <w:t xml:space="preserve"> </w:t>
      </w:r>
      <w:r>
        <w:t xml:space="preserve">an event timeline, a fleet vibration ranking, a signed record, and 3D replay and rehearsal of flights. Flight logs support ranking airframes for inspection, not attributing an individual crash.</w:t>
      </w:r>
    </w:p>
    <w:p>
      <w:pPr>
        <w:pStyle w:val="BodyText"/>
      </w:pPr>
      <w:r>
        <w:rPr>
          <w:b/>
          <w:bCs/>
        </w:rPr>
        <w:t xml:space="preserve">Keywords:</w:t>
      </w:r>
      <w:r>
        <w:t xml:space="preserve"> </w:t>
      </w:r>
      <w:r>
        <w:t xml:space="preserve">Unmanned aircraft systems; Flight log analysis; Crash investigation; Fault diagnosis; Data leakage; Pre-registration;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An investigation report, an insurance claim or a warranty</w:t>
      </w:r>
      <w:r>
        <w:t xml:space="preserve"> </w:t>
      </w:r>
      <w:r>
        <w:t xml:space="preserve">dispute often turns on whether a crash was caused by the person flying or by the aircraft, and an automatic verdict</w:t>
      </w:r>
      <w:r>
        <w:t xml:space="preserve"> </w:t>
      </w:r>
      <w:r>
        <w:t xml:space="preserve">that looks objective can carry weight it has not earned. Fleet operators face a related but different question: not</w:t>
      </w:r>
      <w:r>
        <w:t xml:space="preserve"> </w:t>
      </w:r>
      <w:r>
        <w:t xml:space="preserve">why one flight ended badly, but which of their drones are most likely to fail next and should be inspected first. A</w:t>
      </w:r>
      <w:r>
        <w:t xml:space="preserve"> </w:t>
      </w:r>
      <w:r>
        <w:t xml:space="preserve">log-based method that is good at the second task need not be good at the first, and confusing the two can mislead</w:t>
      </w:r>
      <w:r>
        <w:t xml:space="preserve"> </w:t>
      </w:r>
      <w:r>
        <w:t xml:space="preserve">both investigators and maintainers.</w:t>
      </w:r>
    </w:p>
    <w:p>
      <w:pPr>
        <w:pStyle w:val="BodyText"/>
      </w:pPr>
      <w:r>
        <w:t xml:space="preserve">Whether logs can deliver an answer to the first question has, to our knowledge, not been tested on real crashes at scale. Public fault</w:t>
      </w:r>
      <w:r>
        <w:t xml:space="preserve"> </w:t>
      </w:r>
      <w:r>
        <w:t xml:space="preserve">datasets are dominated by simulation or by faults injected on purpose</w:t>
      </w:r>
      <w:r>
        <w:t xml:space="preserve"> </w:t>
      </w:r>
      <w:r>
        <w:t xml:space="preserve">[</w:t>
      </w:r>
      <w:hyperlink w:anchor="_d75d7cf63098afa5d33e189bc1a163022e7ecdc">
        <w:r>
          <w:rPr>
            <w:rStyle w:val="Hyperlink"/>
          </w:rPr>
          <w:t xml:space="preserve">7</w:t>
        </w:r>
      </w:hyperlink>
      <w:r>
        <w:t xml:space="preserve">–</w:t>
      </w:r>
      <w:hyperlink w:anchor="_973650d78dc352a8b25ace59ab002a1d91cdfc9">
        <w:r>
          <w:rPr>
            <w:rStyle w:val="Hyperlink"/>
          </w:rPr>
          <w:t xml:space="preserve">9</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10</w:t>
        </w:r>
      </w:hyperlink>
      <w:r>
        <w:t xml:space="preserve">,</w:t>
      </w:r>
      <w:hyperlink w:anchor="_b513b568a9a02649a1ddc461a1dd01e876732a2">
        <w:r>
          <w:rPr>
            <w:rStyle w:val="Hyperlink"/>
          </w:rPr>
          <w:t xml:space="preserve">11</w:t>
        </w:r>
      </w:hyperlink>
      <w:r>
        <w:t xml:space="preserve">]</w:t>
      </w:r>
      <w:r>
        <w:t xml:space="preserve">. Two pitfalls make optimistic results</w:t>
      </w:r>
      <w:r>
        <w:t xml:space="preserve"> </w:t>
      </w:r>
      <w:r>
        <w:t xml:space="preserve">easy to obtain. First, a log that contains a crash also contains its consequences: saturated motors, extreme attitudes</w:t>
      </w:r>
      <w:r>
        <w:t xml:space="preserve"> </w:t>
      </w:r>
      <w:r>
        <w:t xml:space="preserve">and estimator errors. A detector can learn these instead of the cause, a form of data leakage</w:t>
      </w:r>
      <w:r>
        <w:t xml:space="preserve"> </w:t>
      </w:r>
      <w:r>
        <w:t xml:space="preserve">[</w:t>
      </w:r>
      <w:hyperlink w:anchor="_3541019a36f31423dbace231a12fca4d5e5f1ad">
        <w:r>
          <w:rPr>
            <w:rStyle w:val="Hyperlink"/>
          </w:rPr>
          <w:t xml:space="preserve">12</w:t>
        </w:r>
      </w:hyperlink>
      <w:r>
        <w:t xml:space="preserve">,</w:t>
      </w:r>
      <w:hyperlink w:anchor="_77239db318a405bdd9ca0cc5db74d4c41b2a03f">
        <w:r>
          <w:rPr>
            <w:rStyle w:val="Hyperlink"/>
          </w:rPr>
          <w:t xml:space="preserve">13</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w:t>
      </w:r>
    </w:p>
    <w:p>
      <w:pPr>
        <w:pStyle w:val="BodyText"/>
      </w:pPr>
      <w:r>
        <w:t xml:space="preserve">This paper asks four questions of the largest public archive of real autopilot logs, PX4 Flight Review</w:t>
      </w:r>
      <w:r>
        <w:t xml:space="preserve"> </w:t>
      </w:r>
      <w:r>
        <w:t xml:space="preserve">[</w:t>
      </w:r>
      <w:hyperlink w:anchor="_7bef8dc44b5ed9bb7ced7ca5f392a78a76d6601">
        <w:r>
          <w:rPr>
            <w:rStyle w:val="Hyperlink"/>
          </w:rPr>
          <w:t xml:space="preserve">14</w:t>
        </w:r>
      </w:hyperlink>
      <w:r>
        <w:t xml:space="preserve">,</w:t>
      </w:r>
      <w:hyperlink w:anchor="_d96f71c5379cbcad3bc75bfc7936eeacbaeb4ed">
        <w:r>
          <w:rPr>
            <w:rStyle w:val="Hyperlink"/>
          </w:rPr>
          <w:t xml:space="preserve">15</w:t>
        </w:r>
      </w:hyperlink>
      <w:r>
        <w:t xml:space="preserve">]</w:t>
      </w:r>
      <w:r>
        <w:t xml:space="preserve">:</w:t>
      </w:r>
    </w:p>
    <w:p>
      <w:pPr>
        <w:pStyle w:val="BodyText"/>
      </w:pPr>
      <w:r>
        <w:rPr>
          <w:b/>
          <w:bCs/>
        </w:rPr>
        <w:t xml:space="preserve">Q1</w:t>
      </w:r>
      <w:r>
        <w:t xml:space="preserve"> </w:t>
      </w:r>
      <w:r>
        <w:t xml:space="preserve">Do configuration settings differ between crash flights and normal flights?</w:t>
      </w:r>
    </w:p>
    <w:p>
      <w:pPr>
        <w:pStyle w:val="BodyText"/>
      </w:pPr>
      <w:r>
        <w:rPr>
          <w:b/>
          <w:bCs/>
        </w:rPr>
        <w:t xml:space="preserve">Q2</w:t>
      </w:r>
      <w:r>
        <w:t xml:space="preserve"> </w:t>
      </w:r>
      <w:r>
        <w:t xml:space="preserve">Can a log separate crashes caused by the pilot from crashes caused by the aircraft?</w:t>
      </w:r>
    </w:p>
    <w:p>
      <w:pPr>
        <w:pStyle w:val="BodyText"/>
      </w:pPr>
      <w:r>
        <w:rPr>
          <w:b/>
          <w:bCs/>
        </w:rPr>
        <w:t xml:space="preserve">Q3</w:t>
      </w:r>
      <w:r>
        <w:t xml:space="preserve"> </w:t>
      </w:r>
      <w:r>
        <w:t xml:space="preserve">Does the flight that crashed show warning signs relative to the same drone’s history, or are the</w:t>
      </w:r>
      <w:r>
        <w:t xml:space="preserve"> </w:t>
      </w:r>
      <w:r>
        <w:t xml:space="preserve">differences between drones?</w:t>
      </w:r>
    </w:p>
    <w:p>
      <w:pPr>
        <w:pStyle w:val="BodyText"/>
      </w:pPr>
      <w:r>
        <w:rPr>
          <w:b/>
          <w:bCs/>
        </w:rPr>
        <w:t xml:space="preserve">Q4</w:t>
      </w:r>
      <w:r>
        <w:t xml:space="preserve"> </w:t>
      </w:r>
      <w:r>
        <w:t xml:space="preserve">Do expert diagnoses agree with uploader labels, and do automatic checks find the faults experts name?</w:t>
      </w:r>
    </w:p>
    <w:p>
      <w:pPr>
        <w:pStyle w:val="BodyText"/>
      </w:pPr>
      <w:r>
        <w:t xml:space="preserve">Because language-model assistants are now proposed for exactly this task, we also report a controlled test of small</w:t>
      </w:r>
      <w:r>
        <w:t xml:space="preserve"> </w:t>
      </w:r>
      <w:r>
        <w:t xml:space="preserve">local models used as a review panel.</w:t>
      </w:r>
    </w:p>
    <w:p>
      <w:pPr>
        <w:pStyle w:val="BodyText"/>
      </w:pPr>
      <w:r>
        <w:t xml:space="preserve">The contributions are as follows. (i) We assemble a real-flight crash benchmark from public logs and check its labels</w:t>
      </w:r>
      <w:r>
        <w:t xml:space="preserve"> </w:t>
      </w:r>
      <w:r>
        <w:t xml:space="preserve">against expert diagnoses. (ii) Every confirmatory test was declared, with its threshold and pass mark, before the data</w:t>
      </w:r>
      <w:r>
        <w:t xml:space="preserve"> </w:t>
      </w:r>
      <w:r>
        <w:t xml:space="preserve">it used were analysed, and decisive tests were repeated on held-out data, following the logic of pre-registration</w:t>
      </w:r>
      <w:r>
        <w:t xml:space="preserve"> </w:t>
      </w:r>
      <w:r>
        <w:t xml:space="preserve">[</w:t>
      </w:r>
      <w:hyperlink w:anchor="_f6e66cea9a1ea78573b548bc5cf8461c81300ca">
        <w:r>
          <w:rPr>
            <w:rStyle w:val="Hyperlink"/>
          </w:rPr>
          <w:t xml:space="preserve">16</w:t>
        </w:r>
      </w:hyperlink>
      <w:r>
        <w:t xml:space="preserve">]</w:t>
      </w:r>
      <w:r>
        <w:t xml:space="preserve">. (iii) We show that crash attribution from logs was not achievable with these labels and</w:t>
      </w:r>
      <w:r>
        <w:t xml:space="preserve"> </w:t>
      </w:r>
      <w:r>
        <w:t xml:space="preserve">features, and that apparent diagnostic accuracy can come from the crash itself. (iv) We report one positive and</w:t>
      </w:r>
      <w:r>
        <w:t xml:space="preserve"> </w:t>
      </w:r>
      <w:r>
        <w:t xml:space="preserve">practically useful result: drones that later crash are rougher on their ordinary flights than matched drones, which</w:t>
      </w:r>
      <w:r>
        <w:t xml:space="preserve"> </w:t>
      </w:r>
      <w:r>
        <w:t xml:space="preserve">supports fleet-level inspection ranking but not per-flight prediction. (v) We show how these results translate</w:t>
      </w:r>
      <w:r>
        <w:t xml:space="preserve"> </w:t>
      </w:r>
      <w:r>
        <w:t xml:space="preserve">into the design of an open-source assurance tool, AeroFleet 2.0, and report engineering checks of its parts, including one</w:t>
      </w:r>
      <w:r>
        <w:t xml:space="preserve"> </w:t>
      </w:r>
      <w:r>
        <w:t xml:space="preserve">negative result (Section 6).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7</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8</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9</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None labels real crashes by responsibility, and none</w:t>
      </w:r>
      <w:r>
        <w:t xml:space="preserve"> </w:t>
      </w:r>
      <w:r>
        <w:t xml:space="preserve">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7</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8</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9</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19</w:t>
        </w:r>
      </w:hyperlink>
      <w:r>
        <w:t xml:space="preserve">,</w:t>
      </w:r>
      <w:hyperlink w:anchor="_1ece912d6a7cc2c7f97bdecc84d0912f3af390e">
        <w:r>
          <w:rPr>
            <w:rStyle w:val="Hyperlink"/>
          </w:rPr>
          <w:t xml:space="preserve">20</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21</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22</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23</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10</w:t>
        </w:r>
      </w:hyperlink>
      <w:r>
        <w:t xml:space="preserve">]</w:t>
      </w:r>
      <w:r>
        <w:t xml:space="preserve">. Human-factors classifications of remotely piloted aircraft mishaps attribute a large</w:t>
      </w:r>
      <w:r>
        <w:t xml:space="preserve"> </w:t>
      </w:r>
      <w:r>
        <w:t xml:space="preserve">share of causal factors to people</w:t>
      </w:r>
      <w:r>
        <w:t xml:space="preserve"> </w:t>
      </w:r>
      <w:r>
        <w:t xml:space="preserve">[</w:t>
      </w:r>
      <w:hyperlink w:anchor="_006a7190097400c6c37363d97b6f3be0cdc0b48">
        <w:r>
          <w:rPr>
            <w:rStyle w:val="Hyperlink"/>
          </w:rPr>
          <w:t xml:space="preserve">24</w:t>
        </w:r>
      </w:hyperlink>
      <w:r>
        <w:t xml:space="preserve">,</w:t>
      </w:r>
      <w:hyperlink w:anchor="_a0e369e89429aa426010697429f06415b068aab">
        <w:r>
          <w:rPr>
            <w:rStyle w:val="Hyperlink"/>
          </w:rPr>
          <w:t xml:space="preserve">25</w:t>
        </w:r>
      </w:hyperlink>
      <w:r>
        <w:t xml:space="preserve">]</w:t>
      </w:r>
      <w:r>
        <w:t xml:space="preserve">. Such classifications depend on the</w:t>
      </w:r>
      <w:r>
        <w:t xml:space="preserve"> </w:t>
      </w:r>
      <w:r>
        <w:t xml:space="preserve">rater, which is one reason we check uploader labels against expert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26</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27</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12</w:t>
        </w:r>
      </w:hyperlink>
      <w:r>
        <w:t xml:space="preserve">,</w:t>
      </w:r>
      <w:hyperlink w:anchor="_77239db318a405bdd9ca0cc5db74d4c41b2a03f">
        <w:r>
          <w:rPr>
            <w:rStyle w:val="Hyperlink"/>
          </w:rPr>
          <w:t xml:space="preserve">13</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28</w:t>
        </w:r>
      </w:hyperlink>
      <w:r>
        <w:t xml:space="preserve">]</w:t>
      </w:r>
      <w:r>
        <w:t xml:space="preserve">. Matching reduces confounding in observational comparisons</w:t>
      </w:r>
      <w:r>
        <w:t xml:space="preserve"> </w:t>
      </w:r>
      <w:r>
        <w:t xml:space="preserve">[</w:t>
      </w:r>
      <w:hyperlink w:anchor="_90b58fdc380e5ffe19ed416545c54d06f184b09">
        <w:r>
          <w:rPr>
            <w:rStyle w:val="Hyperlink"/>
          </w:rPr>
          <w:t xml:space="preserve">29</w:t>
        </w:r>
      </w:hyperlink>
      <w:r>
        <w:t xml:space="preserve">]</w:t>
      </w:r>
      <w:r>
        <w:t xml:space="preserve">, and pre-registration separates confirmatory from exploratory analysis</w:t>
      </w:r>
      <w:r>
        <w:t xml:space="preserve"> </w:t>
      </w:r>
      <w:r>
        <w:t xml:space="preserve">[</w:t>
      </w:r>
      <w:hyperlink w:anchor="_f6e66cea9a1ea78573b548bc5cf8461c81300ca">
        <w:r>
          <w:rPr>
            <w:rStyle w:val="Hyperlink"/>
          </w:rPr>
          <w:t xml:space="preserve">16</w:t>
        </w:r>
      </w:hyperlink>
      <w:r>
        <w:t xml:space="preserve">]</w:t>
      </w:r>
      <w:r>
        <w:t xml:space="preserve">. We apply these ideas to drone logs.</w:t>
      </w:r>
    </w:p>
    <w:p>
      <w:pPr>
        <w:pStyle w:val="BodyText"/>
      </w:pPr>
      <w:r>
        <w:rPr>
          <w:b/>
          <w:bCs/>
        </w:rPr>
        <w:t xml:space="preserve">Tools for operators.</w:t>
      </w:r>
      <w:r>
        <w:t xml:space="preserve"> </w:t>
      </w:r>
      <w:r>
        <w:t xml:space="preserve">Retrieving similar past cases and reusing their solutions is the basis of</w:t>
      </w:r>
      <w:r>
        <w:t xml:space="preserve"> </w:t>
      </w:r>
      <w:r>
        <w:t xml:space="preserve">case-based reasoning</w:t>
      </w:r>
      <w:r>
        <w:t xml:space="preserve"> </w:t>
      </w:r>
      <w:r>
        <w:t xml:space="preserve">[</w:t>
      </w:r>
      <w:hyperlink w:anchor="_73ca53b3200da47e1a054effa9b6f4174075f9a">
        <w:r>
          <w:rPr>
            <w:rStyle w:val="Hyperlink"/>
          </w:rPr>
          <w:t xml:space="preserve">30</w:t>
        </w:r>
      </w:hyperlink>
      <w:r>
        <w:t xml:space="preserve">]</w:t>
      </w:r>
      <w:r>
        <w:t xml:space="preserve">; ranking text by word overlap with BM25 is a standard, deterministic</w:t>
      </w:r>
      <w:r>
        <w:t xml:space="preserve"> </w:t>
      </w:r>
      <w:r>
        <w:t xml:space="preserve">retrieval method</w:t>
      </w:r>
      <w:r>
        <w:t xml:space="preserve"> </w:t>
      </w:r>
      <w:r>
        <w:t xml:space="preserve">[</w:t>
      </w:r>
      <w:hyperlink w:anchor="_aa8360ba2eb3daad7a46f1986f0c2c353067603">
        <w:r>
          <w:rPr>
            <w:rStyle w:val="Hyperlink"/>
          </w:rPr>
          <w:t xml:space="preserve">31</w:t>
        </w:r>
      </w:hyperlink>
      <w:r>
        <w:t xml:space="preserve">]</w:t>
      </w:r>
      <w:r>
        <w:t xml:space="preserve">. A hand-held miniature of the environment lets a person grasp and</w:t>
      </w:r>
      <w:r>
        <w:t xml:space="preserve"> </w:t>
      </w:r>
      <w:r>
        <w:t xml:space="preserve">inspect a spatial scene at a glance</w:t>
      </w:r>
      <w:r>
        <w:t xml:space="preserve"> </w:t>
      </w:r>
      <w:r>
        <w:t xml:space="preserve">[</w:t>
      </w:r>
      <w:hyperlink w:anchor="_587a2a13103f5a9c7c9f5fbc8ef0c5dfd686e3c">
        <w:r>
          <w:rPr>
            <w:rStyle w:val="Hyperlink"/>
          </w:rPr>
          <w:t xml:space="preserve">32</w:t>
        </w:r>
      </w:hyperlink>
      <w:r>
        <w:t xml:space="preserve">]</w:t>
      </w:r>
      <w:r>
        <w:t xml:space="preserve">, the idea behind the tabletop view in</w:t>
      </w:r>
      <w:r>
        <w:t xml:space="preserve"> </w:t>
      </w:r>
      <w:r>
        <w:t xml:space="preserve">Section 6. We use these as engineering choices and test them only as far as stated.</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15</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 crash rating, 402 attributing the</w:t>
      </w:r>
      <w:r>
        <w:t xml:space="preserve"> </w:t>
      </w:r>
      <w:r>
        <w:t xml:space="preserve">crash to software or hardware (</w:t>
      </w:r>
      <w:r>
        <w:t xml:space="preserve">“aircraft-caused”</w:t>
      </w:r>
      <w:r>
        <w:t xml:space="preserve">) and 188 to the pilot (</w:t>
      </w:r>
      <w:r>
        <w:t xml:space="preserve">“pilot-caused”</w:t>
      </w:r>
      <w:r>
        <w:t xml:space="preserve">). These uploader-assigned</w:t>
      </w:r>
      <w:r>
        <w:t xml:space="preserve"> </w:t>
      </w:r>
      <w:r>
        <w:t xml:space="preserve">responsibility labels are not independently verified ground truth; they reflect the uploaders’ own assessments.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w:t>
      </w:r>
      <w:r>
        <w:t xml:space="preserve"> </w:t>
      </w:r>
      <w:r>
        <w:t xml:space="preserve">identifiers, 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Unless stated, crash</w:t>
      </w:r>
      <w:r>
        <w:t xml:space="preserve"> </w:t>
      </w:r>
      <w:r>
        <w:t xml:space="preserve">samples used real hardware, PX4 1.10 or newer and at least 5 s of flight; normal flights were matched to crashes on</w:t>
      </w:r>
      <w:r>
        <w:t xml:space="preserve"> </w:t>
      </w:r>
      <w:r>
        <w:t xml:space="preserve">vehicle type and drawn from vehicles without any crash rating. For the within-drone test every crash with a vehicle</w:t>
      </w:r>
      <w:r>
        <w:t xml:space="preserve"> </w:t>
      </w:r>
      <w:r>
        <w:t xml:space="preserve">identifier and at least three earlier non-crash flights of 30 s or more was eligible (101 crashes; up to the five most</w:t>
      </w:r>
      <w:r>
        <w:t xml:space="preserve"> </w:t>
      </w:r>
      <w:r>
        <w:t xml:space="preserve">recent earlier flights each). For the between-drone test each crashed drone was matched with up to two drones without</w:t>
      </w:r>
      <w:r>
        <w:t xml:space="preserve"> </w:t>
      </w:r>
      <w:r>
        <w:t xml:space="preserve">any crash-rated log that shared the flight-controller hardware, the PX4 major.minor version and the vehicle type</w:t>
      </w:r>
      <w:r>
        <w:t xml:space="preserve"> </w:t>
      </w:r>
      <w:r>
        <w:t xml:space="preserve">(66 matched sets, 124 control drones, three randomly chosen flights each, seed 7). Control drones were sampled</w:t>
      </w:r>
      <w:r>
        <w:t xml:space="preserve"> </w:t>
      </w:r>
      <w:r>
        <w:t xml:space="preserve">without replacement, so no control served two cases. The three exposure flights of a crashed drone were its most recent</w:t>
      </w:r>
      <w:r>
        <w:t xml:space="preserve"> </w:t>
      </w:r>
      <w:r>
        <w:t xml:space="preserve">non-crash flights dated on or before the crash; flights on the crash day were included in the declared test because the</w:t>
      </w:r>
      <w:r>
        <w:t xml:space="preserve"> </w:t>
      </w:r>
      <w:r>
        <w:t xml:space="preserve">archive does not give their order within a day, and removed in a sensitivity analysis.</w:t>
      </w:r>
      <w:r>
        <w:t xml:space="preserve"> </w:t>
      </w:r>
      <w:r>
        <w:t xml:space="preserve">Not all selected flights enter every test. In the within-drone sample (101 crashes selected), 55 logs could not be</w:t>
      </w:r>
      <w:r>
        <w:t xml:space="preserve"> </w:t>
      </w:r>
      <w:r>
        <w:t xml:space="preserve">read or had under 10 s before the cut-off; a drone enters a feature’s test only if the crash flight and earlier</w:t>
      </w:r>
      <w:r>
        <w:t xml:space="preserve"> </w:t>
      </w:r>
      <w:r>
        <w:t xml:space="preserve">flights have that feature from the same measurement source, and rate-tracking error is rotary-wing only and requires</w:t>
      </w:r>
      <w:r>
        <w:t xml:space="preserve"> </w:t>
      </w:r>
      <w:r>
        <w:t xml:space="preserve">rate setpoints, leaving 61 analysed drones for vibration and 46 for tracking. In the between-drone sample (66 matched</w:t>
      </w:r>
      <w:r>
        <w:t xml:space="preserve"> </w:t>
      </w:r>
      <w:r>
        <w:t xml:space="preserve">sets), 71 flights were unreadable or too short; a drone’s value requires at least two readable flights, and case and</w:t>
      </w:r>
      <w:r>
        <w:t xml:space="preserve"> </w:t>
      </w:r>
      <w:r>
        <w:t xml:space="preserve">controls must share the measurement source, leaving 60 analysed sets for vibration and 47 for tracking.</w:t>
      </w:r>
    </w:p>
    <w:bookmarkStart w:id="20" w:name="_43eadb6bdc2e4f778444eb9134cf25c02e7400a"/>
    <w:p>
      <w:pPr>
        <w:pStyle w:val="CaptionedFigure"/>
        <w:jc w:val="center"/>
      </w:pPr>
      <w:r>
        <w:drawing>
          <wp:inline>
            <wp:extent cx="5302908" cy="3009262"/>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02908" cy="3009262"/>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w:t>
      </w:r>
    </w:p>
    <w:tbl>
      <w:tblPr>
        <w:tblStyle w:val="Table"/>
        <w:tblW w:type="pct" w:w="5000"/>
        <w:tblLook w:firstRow="1" w:lastRow="0" w:firstColumn="0" w:lastColumn="0" w:noHBand="0" w:noVBand="0" w:val="0020"/>
        <w:tblCaption w:val="Table 3. Analysis sample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477 normal (settings section only)</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p>
        </w:tc>
        <w:tc>
          <w:tcPr/>
          <w:p>
            <w:pPr>
              <w:pStyle w:val="Compact"/>
              <w:spacing w:line="240" w:lineRule="auto"/>
              <w:jc w:val="left"/>
            </w:pPr>
            <w:r>
              <w:rPr>
                <w:sz w:val="19"/>
              </w:rPr>
              <w:t xml:space="preserve">139 normal</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Forum threads</w:t>
            </w:r>
          </w:p>
        </w:tc>
        <w:tc>
          <w:tcPr/>
          <w:p>
            <w:pPr>
              <w:pStyle w:val="Compact"/>
              <w:spacing w:line="240" w:lineRule="auto"/>
              <w:jc w:val="left"/>
            </w:pPr>
            <w:r>
              <w:rPr>
                <w:sz w:val="19"/>
              </w:rPr>
              <w:t xml:space="preserve">148 real crashes</w:t>
            </w:r>
          </w:p>
        </w:tc>
        <w:tc>
          <w:tcPr/>
          <w:p>
            <w:pPr>
              <w:pStyle w:val="Compact"/>
              <w:spacing w:line="240" w:lineRule="auto"/>
              <w:jc w:val="left"/>
            </w:pPr>
            <w:r>
              <w:rPr>
                <w:sz w:val="19"/>
              </w:rPr>
              <w:t xml:space="preserve">37 logs still downloadable</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5054988a28142de9297b197dc4e93648f79a53e"/>
      <w:r>
        <w:rPr>
          <w:rStyle w:val="SectionNumber"/>
        </w:rPr>
        <w:t xml:space="preserve">4.1</w:t>
      </w:r>
      <w:r>
        <w:tab/>
      </w:r>
      <w:r>
        <w:t xml:space="preserve">Declaration protocol</w:t>
      </w:r>
      <w:bookmarkEnd w:id="24"/>
    </w:p>
    <w:p>
      <w:pPr>
        <w:pStyle w:val="FirstParagraph"/>
      </w:pPr>
      <w:r>
        <w:t xml:space="preserve">For each test, the selection, features, statistic, threshold and pass mark were committed to a public version-control</w:t>
      </w:r>
      <w:r>
        <w:t xml:space="preserve"> </w:t>
      </w:r>
      <w:r>
        <w:t xml:space="preserve">repository before the data it used were downloaded or analysed. Commit identifiers are listed in the repository’s</w:t>
      </w:r>
      <w:r>
        <w:t xml:space="preserve"> </w:t>
      </w:r>
      <w:r>
        <w:t xml:space="preserve">paper notes. One amendment was made before any analysis: the firmware filter of the within-drone test was removed</w:t>
      </w:r>
      <w:r>
        <w:t xml:space="preserve"> </w:t>
      </w:r>
      <w:r>
        <w:t xml:space="preserve">because it left only 12 cases, and a fallback for older firmware was added. One coding error was corrected after a</w:t>
      </w:r>
      <w:r>
        <w:t xml:space="preserve"> </w:t>
      </w:r>
      <w:r>
        <w:t xml:space="preserve">first run (logs whose CPU-load record lacked the load field were being skipped); no threshold changed. The robustness</w:t>
      </w:r>
      <w:r>
        <w:t xml:space="preserve"> </w:t>
      </w:r>
      <w:r>
        <w:t xml:space="preserve">checks in Section 5.5 were added afterwards and are labelled exploratory.</w:t>
      </w:r>
    </w:p>
    <w:p>
      <w:pPr>
        <w:pStyle w:val="Heading2"/>
      </w:pPr>
      <w:bookmarkStart w:id="25" w:name="_3e02a71fb6433a5b51224604e9029e12073209c"/>
      <w:r>
        <w:rPr>
          <w:rStyle w:val="SectionNumber"/>
        </w:rPr>
        <w:t xml:space="preserve">4.2</w:t>
      </w:r>
      <w:r>
        <w:tab/>
      </w:r>
      <w:r>
        <w:t xml:space="preserve">Crash moment and analysis window</w:t>
      </w:r>
      <w:bookmarkEnd w:id="25"/>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w:t>
      </w:r>
    </w:p>
    <w:p>
      <w:pPr>
        <w:pStyle w:val="Heading2"/>
      </w:pPr>
      <w:bookmarkStart w:id="26" w:name="_features"/>
      <w:r>
        <w:rPr>
          <w:rStyle w:val="SectionNumber"/>
        </w:rPr>
        <w:t xml:space="preserve">4.3</w:t>
      </w:r>
      <w:r>
        <w:tab/>
      </w:r>
      <w:r>
        <w:t xml:space="preserve">Features</w:t>
      </w:r>
      <w:bookmarkEnd w:id="26"/>
    </w:p>
    <w:p>
      <w:pPr>
        <w:pStyle w:val="FirstParagraph"/>
      </w:pPr>
      <w:r>
        <w:t xml:space="preserve">Table 4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7" w:name="_0539061cd554f718c415e1281e932bfa97c3551"/>
    <w:p>
      <w:pPr>
        <w:pStyle w:val="TableCaption"/>
      </w:pPr>
      <w:r>
        <w:t xml:space="preserve">Table 4. Features computed on each analysis window.</w:t>
      </w:r>
    </w:p>
    <w:tbl>
      <w:tblPr>
        <w:tblStyle w:val="Table"/>
        <w:tblW w:type="pct" w:w="5000"/>
        <w:tblLook w:firstRow="1" w:lastRow="0" w:firstColumn="0" w:lastColumn="0" w:noHBand="0" w:noVBand="0" w:val="0020"/>
        <w:tblCaption w:val="Table 4.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7"/>
    <w:p>
      <w:pPr>
        <w:pStyle w:val="Heading2"/>
      </w:pPr>
      <w:bookmarkStart w:id="28" w:name="_tests"/>
      <w:r>
        <w:rPr>
          <w:rStyle w:val="SectionNumber"/>
        </w:rPr>
        <w:t xml:space="preserve">4.4</w:t>
      </w:r>
      <w:r>
        <w:tab/>
      </w:r>
      <w:r>
        <w:t xml:space="preserve">Tests</w:t>
      </w:r>
      <w:bookmarkEnd w:id="28"/>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 or remaining charge below 10%; any motor at 95% or more for at least 1 s in the last 10 s;</w:t>
      </w:r>
      <w:r>
        <w:t xml:space="preserve"> </w:t>
      </w:r>
      <w:r>
        <w:t xml:space="preserve">more than 50 clipping events; poor GPS in a GPS-dependent mode; a failure-detector flag; an error-level message; CPU</w:t>
      </w:r>
      <w:r>
        <w:t xml:space="preserve"> </w:t>
      </w:r>
      <w:r>
        <w:t xml:space="preserve">load above 95%; an 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 balanced accuracy of at least 0.70 on decided cases, answering at least 60% of</w:t>
      </w:r>
      <w:r>
        <w:t xml:space="preserve"> </w:t>
      </w:r>
      <w:r>
        <w:t xml:space="preserve">crashes and being wrong on at most 20%. A model-based check used L2-regularised logistic regression on all features</w:t>
      </w:r>
      <w:r>
        <w:t xml:space="preserve"> </w:t>
      </w:r>
      <w:r>
        <w:t xml:space="preserve">(</w:t>
      </w:r>
      <m:oMath>
        <m:r>
          <m:t>λ</m:t>
        </m:r>
        <m:r>
          <m:rPr>
            <m:sty m:val="p"/>
          </m:rPr>
          <m:t>=</m:t>
        </m:r>
        <m:r>
          <m:t>1</m:t>
        </m:r>
      </m:oMath>
      <w:r>
        <w:t xml:space="preserve">, standardised inputs, median imputation within training folds), evaluated by stratified five-fold</w:t>
      </w:r>
      <w:r>
        <w:t xml:space="preserve"> </w:t>
      </w:r>
      <w:r>
        <w:t xml:space="preserve">cross-validation repeated five times and summarised by the ROC AUC</w:t>
      </w:r>
      <w:r>
        <w:t xml:space="preserve"> </w:t>
      </w:r>
      <w:r>
        <w:t xml:space="preserve">[</w:t>
      </w:r>
      <w:hyperlink w:anchor="_ad8397d41f792404ea3ffa2c2145e851561e0cf">
        <w:r>
          <w:rPr>
            <w:rStyle w:val="Hyperlink"/>
          </w:rPr>
          <w:t xml:space="preserve">33</w:t>
        </w:r>
      </w:hyperlink>
      <w:r>
        <w:t xml:space="preserve">]</w:t>
      </w:r>
      <w:r>
        <w:t xml:space="preserve">.</w:t>
      </w:r>
    </w:p>
    <w:p>
      <w:pPr>
        <w:pStyle w:val="BodyText"/>
      </w:pPr>
      <w:r>
        <w:t xml:space="preserve">The signs were chosen before the analysis to cover common failure modes of PX4 multirotors: power, propulsion,</w:t>
      </w:r>
      <w:r>
        <w:t xml:space="preserve"> </w:t>
      </w:r>
      <w:r>
        <w:t xml:space="preserve">vibration, navigation, software and failsafes. The</w:t>
      </w:r>
      <w:r>
        <w:t xml:space="preserve"> </w:t>
      </w:r>
      <w:r>
        <w:t xml:space="preserve">pilot rule was deliberately simple: if no aircraft sign fired and the vehicle was in a mode in which the pilot controls</w:t>
      </w:r>
      <w:r>
        <w:t xml:space="preserve"> </w:t>
      </w:r>
      <w:r>
        <w:t xml:space="preserve">attitude or position directly, the crash was attributed to the 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34</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35</w:t>
        </w:r>
      </w:hyperlink>
      <w:r>
        <w:t xml:space="preserve">]</w:t>
      </w:r>
      <w:r>
        <w:t xml:space="preserve">. Each test had two 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checks for the fault the</w:t>
      </w:r>
      <w:r>
        <w:t xml:space="preserve"> </w:t>
      </w:r>
      <w:r>
        <w:t xml:space="preserve">expert named (tuning, vibration, GPS or compass, motor, battery) were declared useful if they fired on at least 50% of</w:t>
      </w:r>
      <w:r>
        <w:t xml:space="preserve"> </w:t>
      </w:r>
      <w:r>
        <w:t xml:space="preserve">the logs with that diagnosis and at most 10% of normal flights, first with the full window and then with</w:t>
      </w:r>
      <w:r>
        <w:t xml:space="preserve">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that has been proposed for advisory diagnosis: several</w:t>
      </w:r>
      <w:r>
        <w:t xml:space="preserve"> </w:t>
      </w:r>
      <w:r>
        <w:t xml:space="preserve">reviewers, each restricted to one slice of evidence (navigation, pilot inputs, GPS, battery, settings), vote on a fixed</w:t>
      </w:r>
      <w:r>
        <w:t xml:space="preserve"> </w:t>
      </w:r>
      <w:r>
        <w:t xml:space="preserve">list of six causes and must cite numbered facts that code extracted from the log. Citations to facts outside a</w:t>
      </w:r>
      <w:r>
        <w:t xml:space="preserve"> </w:t>
      </w:r>
      <w:r>
        <w:t xml:space="preserve">reviewer’s slice or to non-existent facts were discarded by code. In the second round each reviewer saw only the vote</w:t>
      </w:r>
      <w:r>
        <w:t xml:space="preserve"> </w:t>
      </w:r>
      <w:r>
        <w:t xml:space="preserve">counts of the first round, not the other reviewers’ text, to limit persuasion. A cause was reported only if it had at</w:t>
      </w:r>
      <w:r>
        <w:t xml:space="preserve"> </w:t>
      </w:r>
      <w:r>
        <w:t xml:space="preserve">least one supporting vote, a net score of at least one and a lead of at least one over the runner-up; otherwise the</w:t>
      </w:r>
      <w:r>
        <w:t xml:space="preserve"> </w:t>
      </w:r>
      <w:r>
        <w:t xml:space="preserve">case was referred to a person. Sixty generated cases with a known cause (clear, subtle and no-cause cases, some with</w:t>
      </w:r>
      <w:r>
        <w:t xml:space="preserve"> </w:t>
      </w:r>
      <w:r>
        <w:t xml:space="preserve">distractors) were presented to five reviewers; a single agent shown all facts and the fixed rule served as</w:t>
      </w:r>
      <w:r>
        <w:t xml:space="preserve"> </w:t>
      </w:r>
      <w:r>
        <w:t xml:space="preserve">comparators. Four local models of 3 to 4 billion parameters ran at temperature 0. Robustness was</w:t>
      </w:r>
      <w:r>
        <w:t xml:space="preserve"> </w:t>
      </w:r>
      <w:r>
        <w:t xml:space="preserve">measured by replacing one reviewer with an adversary arguing for a chosen wrong cause. Separately, eight hostile</w:t>
      </w:r>
      <w:r>
        <w:t xml:space="preserve"> </w:t>
      </w:r>
      <w:r>
        <w:t xml:space="preserve">strings were planted in five uploader-controlled fields to test whether text could reach a prompt.</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36</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29" w:name="_a28f169358a053f7b171a621bd02ee9ea3d1d28"/>
      <w:r>
        <w:rPr>
          <w:rStyle w:val="SectionNumber"/>
        </w:rPr>
        <w:t xml:space="preserve">5</w:t>
      </w:r>
      <w:r>
        <w:tab/>
      </w:r>
      <w:r>
        <w:t xml:space="preserve">Results</w:t>
      </w:r>
      <w:bookmarkEnd w:id="29"/>
    </w:p>
    <w:p>
      <w:pPr>
        <w:pStyle w:val="Heading2"/>
      </w:pPr>
      <w:bookmarkStart w:id="30" w:name="_b5aaa7ca938fd555382c3a03c84ed52c113cbc5"/>
      <w:r>
        <w:rPr>
          <w:rStyle w:val="SectionNumber"/>
        </w:rPr>
        <w:t xml:space="preserve">5.1</w:t>
      </w:r>
      <w:r>
        <w:tab/>
      </w:r>
      <w:r>
        <w:t xml:space="preserve">Configuration settings (Q1)</w:t>
      </w:r>
      <w:bookmarkEnd w:id="30"/>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against 15 of 37), a contrast too small to test. None of 100 crash logs</w:t>
      </w:r>
      <w:r>
        <w:t xml:space="preserve"> </w:t>
      </w:r>
      <w:r>
        <w:t xml:space="preserve">changed a safety-critical or flight-limit setting during the flight.</w:t>
      </w:r>
    </w:p>
    <w:p>
      <w:pPr>
        <w:pStyle w:val="Heading2"/>
      </w:pPr>
      <w:bookmarkStart w:id="31" w:name="_bc236d91abaf2a23bc2f285e523b2a4d0211234"/>
      <w:r>
        <w:rPr>
          <w:rStyle w:val="SectionNumber"/>
        </w:rPr>
        <w:t xml:space="preserve">5.2</w:t>
      </w:r>
      <w:r>
        <w:tab/>
      </w:r>
      <w:r>
        <w:t xml:space="preserve">Attributing a crash to the pilot or the aircraft (Q2)</w:t>
      </w:r>
      <w:bookmarkEnd w:id="31"/>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5).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 The</w:t>
      </w:r>
      <w:r>
        <w:t xml:space="preserve"> </w:t>
      </w:r>
      <w:r>
        <w:t xml:space="preserve">cross-validated model stayed between 0.42 and 0.52 at every cut-off (Fig. 3).</w:t>
      </w:r>
    </w:p>
    <w:bookmarkStart w:id="35" w:name="_049e4e3e8c6150f6efca473eb560bdd9d2e8e6a"/>
    <w:p>
      <w:pPr>
        <w:pStyle w:val="CaptionedFigure"/>
        <w:jc w:val="center"/>
      </w:pPr>
      <w:r>
        <w:drawing>
          <wp:inline>
            <wp:extent cx="4160520" cy="2632959"/>
            <wp:effectExtent b="0" l="0" r="0" t="0"/>
            <wp:docPr descr="" title="" id="33" name="Picture"/>
            <a:graphic>
              <a:graphicData uri="http://schemas.openxmlformats.org/drawingml/2006/picture">
                <pic:pic>
                  <pic:nvPicPr>
                    <pic:cNvPr descr="fig_sign_rates.png" id="34" name="Picture"/>
                    <pic:cNvPicPr>
                      <a:picLocks noChangeArrowheads="1" noChangeAspect="1"/>
                    </pic:cNvPicPr>
                  </pic:nvPicPr>
                  <pic:blipFill>
                    <a:blip r:embed="rId32"/>
                    <a:stretch>
                      <a:fillRect/>
                    </a:stretch>
                  </pic:blipFill>
                  <pic:spPr bwMode="auto">
                    <a:xfrm>
                      <a:off x="0" y="0"/>
                      <a:ext cx="4160520" cy="2632959"/>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5"/>
    <w:bookmarkStart w:id="36" w:name="_febe7c87a633d14485235b1c570b7dc3553a6bb"/>
    <w:p>
      <w:pPr>
        <w:pStyle w:val="TableCaption"/>
      </w:pPr>
      <w:r>
        <w:t xml:space="preserve">Table 5.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5.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left"/>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development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 39% of normal flagged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pilot-caused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left"/>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aircraft-caused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left"/>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left"/>
            </w:pPr>
            <w:r>
              <w:rPr>
                <w:sz w:val="19"/>
              </w:rPr>
              <w:t xml:space="preserve">0.016</w:t>
            </w:r>
          </w:p>
        </w:tc>
        <w:tc>
          <w:tcPr/>
          <w:p>
            <w:pPr>
              <w:pStyle w:val="Compact"/>
              <w:spacing w:line="240" w:lineRule="auto"/>
              <w:jc w:val="left"/>
            </w:pPr>
            <w:r>
              <w:rPr>
                <w:sz w:val="19"/>
              </w:rPr>
              <w:t xml:space="preserve">Supported</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left"/>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None met</w:t>
            </w:r>
          </w:p>
        </w:tc>
      </w:tr>
    </w:tbl>
    <w:bookmarkEnd w:id="36"/>
    <w:p>
      <w:pPr>
        <w:pStyle w:val="Heading2"/>
      </w:pPr>
      <w:bookmarkStart w:id="37" w:name="_656df57dd7f44abd09b995cf6c71ccccfcfebca"/>
      <w:r>
        <w:rPr>
          <w:rStyle w:val="SectionNumber"/>
        </w:rPr>
        <w:t xml:space="preserve">5.3</w:t>
      </w:r>
      <w:r>
        <w:tab/>
      </w:r>
      <w:r>
        <w:t xml:space="preserve">The crash window (Q3a)</w:t>
      </w:r>
      <w:bookmarkEnd w:id="37"/>
    </w:p>
    <w:p>
      <w:pPr>
        <w:pStyle w:val="FirstParagraph"/>
      </w:pPr>
      <w:r>
        <w:t xml:space="preserve">Crash flights were separated from normal flights with an AUC of 0.88 (SD 0.01) using the whole flight and 0.86 with the</w:t>
      </w:r>
      <w:r>
        <w:t xml:space="preserve"> </w:t>
      </w:r>
      <w:r>
        <w:t xml:space="preserve">last 30 s removed (Fig. 3); the declared drop of 0.10 by 10 s was not observed (0.01). Leakage was</w:t>
      </w:r>
      <w:r>
        <w:t xml:space="preserve"> </w:t>
      </w:r>
      <w:r>
        <w:t xml:space="preserve">nevertheless present for individual checks. The rate-tracking feature alone fell from an AUC of 0.81 to 0.69 as the</w:t>
      </w:r>
      <w:r>
        <w:t xml:space="preserve"> </w:t>
      </w:r>
      <w:r>
        <w:t xml:space="preserve">crash was excluded, while vibration stayed between 0.74 and 0.77. A fixed tuning check that found 10 of 12</w:t>
      </w:r>
      <w:r>
        <w:t xml:space="preserve"> </w:t>
      </w:r>
      <w:r>
        <w:t xml:space="preserve">expert-diagnosed tuning faults with the crash included found 1 of 9 once the last 10 s were removed</w:t>
      </w:r>
      <w:r>
        <w:t xml:space="preserve"> </w:t>
      </w:r>
      <w:r>
        <w:t xml:space="preserve">(Section 5.6). Model-level separation therefore does not depend on the crash window; it reflects</w:t>
      </w:r>
      <w:r>
        <w:t xml:space="preserve"> </w:t>
      </w:r>
      <w:r>
        <w:t xml:space="preserve">differences that are present throughout the flight. Table 6 gives the single-feature AUCs. Values</w:t>
      </w:r>
      <w:r>
        <w:t xml:space="preserve"> </w:t>
      </w:r>
      <w:r>
        <w:t xml:space="preserve">below 0.5 indicate features that are lower in crash flights: crash flights reached lower tilt and smaller stick</w:t>
      </w:r>
      <w:r>
        <w:t xml:space="preserve"> </w:t>
      </w:r>
      <w:r>
        <w:t xml:space="preserve">deflections over the whole flight than normal flights, consistent with shorter and less aggressive flights that end abruptly.</w:t>
      </w:r>
    </w:p>
    <w:bookmarkStart w:id="38" w:name="_332204dfa69e2fa6bf2a39cf9288ea52d0052a5"/>
    <w:p>
      <w:pPr>
        <w:pStyle w:val="TableCaption"/>
      </w:pPr>
      <w:r>
        <w:t xml:space="preserve">Table 6.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6.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38"/>
    <w:bookmarkStart w:id="42" w:name="_179740080c2f044957e517342c2187737980646"/>
    <w:p>
      <w:pPr>
        <w:pStyle w:val="CaptionedFigure"/>
        <w:jc w:val="center"/>
      </w:pPr>
      <w:r>
        <w:drawing>
          <wp:inline>
            <wp:extent cx="3840479" cy="2525076"/>
            <wp:effectExtent b="0" l="0" r="0" t="0"/>
            <wp:docPr descr="" title="" id="40" name="Picture"/>
            <a:graphic>
              <a:graphicData uri="http://schemas.openxmlformats.org/drawingml/2006/picture">
                <pic:pic>
                  <pic:nvPicPr>
                    <pic:cNvPr descr="fig_leak_curve.png" id="41" name="Picture"/>
                    <pic:cNvPicPr>
                      <a:picLocks noChangeArrowheads="1" noChangeAspect="1"/>
                    </pic:cNvPicPr>
                  </pic:nvPicPr>
                  <pic:blipFill>
                    <a:blip r:embed="rId39"/>
                    <a:stretch>
                      <a:fillRect/>
                    </a:stretch>
                  </pic:blipFill>
                  <pic:spPr bwMode="auto">
                    <a:xfrm>
                      <a:off x="0" y="0"/>
                      <a:ext cx="3840479" cy="2525076"/>
                    </a:xfrm>
                    <a:prstGeom prst="rect">
                      <a:avLst/>
                    </a:prstGeom>
                    <a:noFill/>
                    <a:ln w="9525">
                      <a:noFill/>
                      <a:headEnd/>
                      <a:tailEnd/>
                    </a:ln>
                  </pic:spPr>
                </pic:pic>
              </a:graphicData>
            </a:graphic>
          </wp:inline>
        </w:drawing>
      </w:r>
    </w:p>
    <w:p>
      <w:pPr>
        <w:pStyle w:val="ImageCaption"/>
      </w:pPr>
      <w:r>
        <w:t xml:space="preserve">Figure 3. Cross-validated AUC as the end of the analysis window moves away from the crash moment. Bars: standard</w:t>
      </w:r>
      <w:r>
        <w:t xml:space="preserve"> </w:t>
      </w:r>
      <w:r>
        <w:t xml:space="preserve">deviation over five repeats of five-fold cross-validation.</w:t>
      </w:r>
    </w:p>
    <w:bookmarkEnd w:id="42"/>
    <w:p>
      <w:pPr>
        <w:pStyle w:val="Heading2"/>
      </w:pPr>
      <w:bookmarkStart w:id="43" w:name="_5846d4e1f7d339306b7a0b27ddc7510c7fb5e0d"/>
      <w:r>
        <w:rPr>
          <w:rStyle w:val="SectionNumber"/>
        </w:rPr>
        <w:t xml:space="preserve">5.4</w:t>
      </w:r>
      <w:r>
        <w:tab/>
      </w:r>
      <w:r>
        <w:t xml:space="preserve">Within the same drone and between drones (Q3b, Q3c)</w:t>
      </w:r>
      <w:bookmarkEnd w:id="43"/>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Relative to matched drones without a recorded crash, drones that later crashed vibrated more on</w:t>
      </w:r>
      <w:r>
        <w:t xml:space="preserve"> </w:t>
      </w:r>
      <w:r>
        <w:t xml:space="preserve">their ordinary pre-crash flights (</w:t>
      </w:r>
      <m:oMath>
        <m:acc>
          <m:accPr>
            <m:chr m:val="‾"/>
          </m:accPr>
          <m:e>
            <m:r>
              <m:t>r</m:t>
            </m:r>
          </m:e>
        </m:acc>
        <m:r>
          <m:rPr>
            <m:sty m:val="p"/>
          </m:rPr>
          <m:t>=</m:t>
        </m:r>
        <m:r>
          <m:t>0.67</m:t>
        </m:r>
      </m:oMath>
      <w:r>
        <w:t xml:space="preserve">, 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w:t>
      </w:r>
      <w:r>
        <w:t xml:space="preserve"> </w:t>
      </w:r>
      <w:r>
        <w:t xml:space="preserve">tracking error did not differ significantly (</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w:t>
      </w:r>
      <w:r>
        <w:t xml:space="preserve"> </w:t>
      </w:r>
      <w:r>
        <w:t xml:space="preserve">was clearest for aircraft-caused crashes (</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w:t>
      </w:r>
      <w:r>
        <w:t xml:space="preserve"> </w:t>
      </w:r>
      <w:r>
        <w:t xml:space="preserve">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 14 sets). The crash-versus-normal separation of the previous</w:t>
      </w:r>
      <w:r>
        <w:t xml:space="preserve"> </w:t>
      </w:r>
      <w:r>
        <w:t xml:space="preserve">subsection is therefore a property of the drone rather than a build-up within the flight that crashed.</w:t>
      </w:r>
    </w:p>
    <w:bookmarkStart w:id="47" w:name="_9361c5dba1dea8da31b0aed692bc5b019a98a7f"/>
    <w:p>
      <w:pPr>
        <w:pStyle w:val="CaptionedFigure"/>
        <w:jc w:val="center"/>
      </w:pPr>
      <w:r>
        <w:drawing>
          <wp:inline>
            <wp:extent cx="4160520" cy="2598320"/>
            <wp:effectExtent b="0" l="0" r="0" t="0"/>
            <wp:docPr descr="" title="" id="45" name="Picture"/>
            <a:graphic>
              <a:graphicData uri="http://schemas.openxmlformats.org/drawingml/2006/picture">
                <pic:pic>
                  <pic:nvPicPr>
                    <pic:cNvPr descr="fig_within_between.png" id="46" name="Picture"/>
                    <pic:cNvPicPr>
                      <a:picLocks noChangeArrowheads="1" noChangeAspect="1"/>
                    </pic:cNvPicPr>
                  </pic:nvPicPr>
                  <pic:blipFill>
                    <a:blip r:embed="rId44"/>
                    <a:stretch>
                      <a:fillRect/>
                    </a:stretch>
                  </pic:blipFill>
                  <pic:spPr bwMode="auto">
                    <a:xfrm>
                      <a:off x="0" y="0"/>
                      <a:ext cx="4160520" cy="25983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47"/>
    <w:p>
      <w:pPr>
        <w:pStyle w:val="Heading2"/>
      </w:pPr>
      <w:bookmarkStart w:id="48" w:name="_c68dcf7b88a01fcf500c8e00d7b03511ec2fbc1"/>
      <w:r>
        <w:rPr>
          <w:rStyle w:val="SectionNumber"/>
        </w:rPr>
        <w:t xml:space="preserve">5.5</w:t>
      </w:r>
      <w:r>
        <w:tab/>
      </w:r>
      <w:r>
        <w:t xml:space="preserve">Robustness of the between-drone result (exploratory)</w:t>
      </w:r>
      <w:bookmarkEnd w:id="48"/>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effect was carried by the older estimator vibration estimate</w:t>
      </w:r>
      <w:r>
        <w:t xml:space="preserve"> </w:t>
      </w:r>
      <w:r>
        <w:t xml:space="preserve">(</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 the newer accelerometer metric alone the direction was the same but the sample</w:t>
      </w:r>
      <w:r>
        <w:t xml:space="preserve"> </w:t>
      </w:r>
      <w:r>
        <w:t xml:space="preserve">was too small to decide (</w:t>
      </w:r>
      <m:oMath>
        <m:acc>
          <m:accPr>
            <m:chr m:val="‾"/>
          </m:accPr>
          <m:e>
            <m:r>
              <m:t>r</m:t>
            </m:r>
          </m:e>
        </m:acc>
        <m:r>
          <m:rPr>
            <m:sty m:val="p"/>
          </m:rPr>
          <m:t>=</m:t>
        </m:r>
        <m:r>
          <m:t>0.62</m:t>
        </m:r>
      </m:oMath>
      <w:r>
        <w:t xml:space="preserve">,</w:t>
      </w:r>
      <w:r>
        <w:t xml:space="preserve"> </w:t>
      </w:r>
      <m:oMath>
        <m:r>
          <m:t>p</m:t>
        </m:r>
        <m:r>
          <m:rPr>
            <m:sty m:val="p"/>
          </m:rPr>
          <m:t>=</m:t>
        </m:r>
        <m:r>
          <m:t>0.19</m:t>
        </m:r>
      </m:oMath>
      <w:r>
        <w:t xml:space="preserve">, 12 sets). A declared replication on the newer metric only,</w:t>
      </w:r>
      <w:r>
        <w:t xml:space="preserve"> </w:t>
      </w:r>
      <w:r>
        <w:t xml:space="preserve">admitting every newer-firmware crashed drone with at least one earlier flight (26 sets selected, 19 usable), did not</w:t>
      </w:r>
      <w:r>
        <w:t xml:space="preserve"> </w:t>
      </w:r>
      <w:r>
        <w:t xml:space="preserve">confirm the effect:</w:t>
      </w:r>
      <w:r>
        <w:t xml:space="preserve"> </w:t>
      </w:r>
      <m:oMath>
        <m:acc>
          <m:accPr>
            <m:chr m:val="‾"/>
          </m:accPr>
          <m:e>
            <m:r>
              <m:t>r</m:t>
            </m:r>
          </m:e>
        </m:acc>
        <m:r>
          <m:rPr>
            <m:sty m:val="p"/>
          </m:rPr>
          <m:t>=</m:t>
        </m:r>
        <m:r>
          <m:t>0.58</m:t>
        </m:r>
      </m:oMath>
      <w:r>
        <w:t xml:space="preserve"> </w:t>
      </w:r>
      <w:r>
        <w:t xml:space="preserve">(95% CI 0.39–0.76,</w:t>
      </w:r>
      <w:r>
        <w:t xml:space="preserve"> </w:t>
      </w:r>
      <m:oMath>
        <m:r>
          <m:t>p</m:t>
        </m:r>
        <m:r>
          <m:rPr>
            <m:sty m:val="p"/>
          </m:rPr>
          <m:t>=</m:t>
        </m:r>
        <m:r>
          <m:t>0.25</m:t>
        </m:r>
      </m:oMath>
      <w:r>
        <w:t xml:space="preserve">); on the ten cases not in the original test it was</w:t>
      </w:r>
      <w:r>
        <w:t xml:space="preserve"> </w:t>
      </w:r>
      <w:r>
        <w:t xml:space="preserve">0.50. The interval is compatible both with no effect and with the effect seen on the older estimate, so whether the</w:t>
      </w:r>
      <w:r>
        <w:t xml:space="preserve"> </w:t>
      </w:r>
      <w:r>
        <w:t xml:space="preserve">newer metric shows the same difference remains open; because the archive has no further newer-firmware cases meeting</w:t>
      </w:r>
      <w:r>
        <w:t xml:space="preserve"> </w:t>
      </w:r>
      <w:r>
        <w:t xml:space="preserve">the matching criteria, this main positive result needs stronger replication in prospective studies. The within-drone null did not depend on the crash-moment</w:t>
      </w:r>
      <w:r>
        <w:t xml:space="preserve"> </w:t>
      </w:r>
      <w:r>
        <w:t xml:space="preserve">threshold (</w:t>
      </w:r>
      <m:oMath>
        <m:acc>
          <m:accPr>
            <m:chr m:val="‾"/>
          </m:accPr>
          <m:e>
            <m:r>
              <m:t>r</m:t>
            </m:r>
          </m:e>
        </m:acc>
        <m:r>
          <m:rPr>
            <m:sty m:val="p"/>
          </m:rPr>
          <m:t>=</m:t>
        </m:r>
        <m:r>
          <m:t>0.46</m:t>
        </m:r>
      </m:oMath>
      <w:r>
        <w:t xml:space="preserve"> </w:t>
      </w:r>
      <w:r>
        <w:t xml:space="preserve">at</w:t>
      </w:r>
      <w:r>
        <w:t xml:space="preserve"> </w:t>
      </w:r>
      <m:oMath>
        <m:sSup>
          <m:e>
            <m:r>
              <m:t>45</m:t>
            </m:r>
          </m:e>
          <m:sup>
            <m:r>
              <m:rPr>
                <m:sty m:val="p"/>
              </m:rPr>
              <m:t>∘</m:t>
            </m:r>
          </m:sup>
        </m:sSup>
      </m:oMath>
      <w:r>
        <w:t xml:space="preserve">,</w:t>
      </w:r>
      <w:r>
        <w:t xml:space="preserve"> </w:t>
      </w:r>
      <m:oMath>
        <m:r>
          <m:t>0.50</m:t>
        </m:r>
      </m:oMath>
      <w:r>
        <w:t xml:space="preserve"> </w:t>
      </w:r>
      <w:r>
        <w:t xml:space="preserve">at</w:t>
      </w:r>
      <w:r>
        <w:t xml:space="preserve"> </w:t>
      </w:r>
      <m:oMath>
        <m:sSup>
          <m:e>
            <m:r>
              <m:t>75</m:t>
            </m:r>
          </m:e>
          <m:sup>
            <m:r>
              <m:rPr>
                <m:sty m:val="p"/>
              </m:rPr>
              <m:t>∘</m:t>
            </m:r>
          </m:sup>
        </m:sSup>
      </m:oMath>
      <w:r>
        <w:t xml:space="preserve">). As a screening signal the effect is moderate: the</w:t>
      </w:r>
      <w:r>
        <w:t xml:space="preserve"> </w:t>
      </w:r>
      <w:r>
        <w:t xml:space="preserve">crashed drone was the roughest of its matched set in 55% of sets, against 41% expected without a difference.</w:t>
      </w:r>
    </w:p>
    <w:bookmarkStart w:id="52" w:name="_f3665d09ec22ddd60812b28fa68e496f60eecb2"/>
    <w:p>
      <w:pPr>
        <w:pStyle w:val="CaptionedFigure"/>
        <w:jc w:val="center"/>
      </w:pPr>
      <w:r>
        <w:drawing>
          <wp:inline>
            <wp:extent cx="4533900" cy="1783640"/>
            <wp:effectExtent b="0" l="0" r="0" t="0"/>
            <wp:docPr descr="" title="" id="50" name="Picture"/>
            <a:graphic>
              <a:graphicData uri="http://schemas.openxmlformats.org/drawingml/2006/picture">
                <pic:pic>
                  <pic:nvPicPr>
                    <pic:cNvPr descr="fig_robustness.png" id="51" name="Picture"/>
                    <pic:cNvPicPr>
                      <a:picLocks noChangeArrowheads="1" noChangeAspect="1"/>
                    </pic:cNvPicPr>
                  </pic:nvPicPr>
                  <pic:blipFill>
                    <a:blip r:embed="rId49"/>
                    <a:stretch>
                      <a:fillRect/>
                    </a:stretch>
                  </pic:blipFill>
                  <pic:spPr bwMode="auto">
                    <a:xfrm>
                      <a:off x="0" y="0"/>
                      <a:ext cx="4533900" cy="1783640"/>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Blue:</w:t>
      </w:r>
      <w:r>
        <w:t xml:space="preserve"> </w:t>
      </w:r>
      <m:oMath>
        <m:r>
          <m:t>p</m:t>
        </m:r>
        <m:r>
          <m:rPr>
            <m:sty m:val="p"/>
          </m:rPr>
          <m:t>&lt;</m:t>
        </m:r>
        <m:r>
          <m:t>0.025</m:t>
        </m:r>
      </m:oMath>
      <w:r>
        <w:t xml:space="preserve">.</w:t>
      </w:r>
    </w:p>
    <w:bookmarkEnd w:id="52"/>
    <w:p>
      <w:pPr>
        <w:pStyle w:val="Heading2"/>
      </w:pPr>
      <w:bookmarkStart w:id="53" w:name="_440012d4f1ae87c72168f87fd4eb66e49627717"/>
      <w:r>
        <w:rPr>
          <w:rStyle w:val="SectionNumber"/>
        </w:rPr>
        <w:t xml:space="preserve">5.6</w:t>
      </w:r>
      <w:r>
        <w:tab/>
      </w:r>
      <w:r>
        <w:t xml:space="preserve">Expert diagnoses (Q4)</w:t>
      </w:r>
      <w:bookmarkEnd w:id="53"/>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the</w:t>
      </w:r>
      <w:r>
        <w:t xml:space="preserve"> </w:t>
      </w:r>
      <w:r>
        <w:t xml:space="preserve">expert agreed in 11 and was unclear in 3; none attributed the crash to the pilot. Only 37 of the 73 logs behind aircraft</w:t>
      </w:r>
      <w:r>
        <w:t xml:space="preserve"> </w:t>
      </w:r>
      <w:r>
        <w:t xml:space="preserve">diagnoses with a checkable cause could still be downloaded. Table 7 shows the fault checks with and without the crash window. With the window ending 10 s before</w:t>
      </w:r>
      <w:r>
        <w:t xml:space="preserve"> </w:t>
      </w:r>
      <w:r>
        <w:t xml:space="preserve">the crash, no check met the declared criterion. The tuning check illustrates the leakage described in Section 5.3: its apparent</w:t>
      </w:r>
      <w:r>
        <w:t xml:space="preserve"> </w:t>
      </w:r>
      <w:r>
        <w:t xml:space="preserve">sensitivity fell from 83% to 11% when the last 10 s were removed, while its rate on normal flights fell only from</w:t>
      </w:r>
      <w:r>
        <w:t xml:space="preserve"> </w:t>
      </w:r>
      <w:r>
        <w:t xml:space="preserve">13% to 5%.</w:t>
      </w:r>
    </w:p>
    <w:bookmarkStart w:id="54" w:name="_83343f61327e522fa9ffc9aa8f722d134b07ff7"/>
    <w:p>
      <w:pPr>
        <w:pStyle w:val="TableCaption"/>
      </w:pPr>
      <w:r>
        <w:t xml:space="preserve">Table 7. Fault checks on logs whose expert named the matching fault, with the full window and with the last 10 s</w:t>
      </w:r>
      <w:r>
        <w:t xml:space="preserve"> </w:t>
      </w:r>
      <w:r>
        <w:t xml:space="preserve">before the crash removed. Declared criterion: at least 50% of diagnosed logs and at most 10% of normal flights.</w:t>
      </w:r>
    </w:p>
    <w:tbl>
      <w:tblPr>
        <w:tblStyle w:val="Table"/>
        <w:tblW w:type="pct" w:w="5000"/>
        <w:tblLook w:firstRow="1" w:lastRow="0" w:firstColumn="0" w:lastColumn="0" w:noHBand="0" w:noVBand="0" w:val="0020"/>
        <w:tblCaption w:val="Table 7. Fault checks on logs whose expert named the matching fault, with the full window and with the last 10 s before the crash removed. Declared criterion: at least 50% of diagnosed logs and at most 10% of normal fligh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Expert-named fault</w:t>
            </w:r>
          </w:p>
        </w:tc>
        <w:tc>
          <w:tcPr/>
          <w:p>
            <w:pPr>
              <w:pStyle w:val="Compact"/>
              <w:spacing w:line="240" w:lineRule="auto"/>
              <w:jc w:val="left"/>
            </w:pPr>
            <w:r>
              <w:rPr>
                <w:sz w:val="19"/>
              </w:rPr>
              <w:t xml:space="preserve">Full window: diagnosed</w:t>
            </w:r>
          </w:p>
        </w:tc>
        <w:tc>
          <w:tcPr/>
          <w:p>
            <w:pPr>
              <w:pStyle w:val="Compact"/>
              <w:spacing w:line="240" w:lineRule="auto"/>
              <w:jc w:val="left"/>
            </w:pPr>
            <w:r>
              <w:rPr>
                <w:sz w:val="19"/>
              </w:rPr>
              <w:t xml:space="preserve">Full window: normal</w:t>
            </w:r>
          </w:p>
        </w:tc>
        <w:tc>
          <w:tcPr/>
          <w:p>
            <w:pPr>
              <w:pStyle w:val="Compact"/>
              <w:spacing w:line="240" w:lineRule="auto"/>
              <w:jc w:val="left"/>
            </w:pPr>
            <m:oMath>
              <m:r>
                <m:t>m</m:t>
              </m:r>
              <m:r>
                <m:rPr>
                  <m:sty m:val="p"/>
                </m:rPr>
                <m:t>=</m:t>
              </m:r>
              <m:r>
                <m:t>10</m:t>
              </m:r>
            </m:oMath>
            <w:r>
              <w:rPr>
                <w:sz w:val="19"/>
              </w:rPr>
              <w:t xml:space="preserve"> s: diagnosed</w:t>
            </w:r>
          </w:p>
        </w:tc>
        <w:tc>
          <w:tcPr/>
          <w:p>
            <w:pPr>
              <w:pStyle w:val="Compact"/>
              <w:spacing w:line="240" w:lineRule="auto"/>
              <w:jc w:val="left"/>
            </w:pPr>
            <m:oMath>
              <m:r>
                <m:t>m</m:t>
              </m:r>
              <m:r>
                <m:rPr>
                  <m:sty m:val="p"/>
                </m:rPr>
                <m:t>=</m:t>
              </m:r>
              <m:r>
                <m:t>10</m:t>
              </m:r>
            </m:oMath>
            <w:r>
              <w:rPr>
                <w:sz w:val="19"/>
              </w:rPr>
              <w:t xml:space="preserve"> s: normal</w:t>
            </w:r>
          </w:p>
        </w:tc>
      </w:tr>
      <w:tr>
        <w:tc>
          <w:tcPr/>
          <w:p>
            <w:pPr>
              <w:pStyle w:val="Compact"/>
              <w:spacing w:line="240" w:lineRule="auto"/>
              <w:jc w:val="left"/>
            </w:pPr>
            <w:r>
              <w:rPr>
                <w:sz w:val="19"/>
              </w:rPr>
              <w:t xml:space="preserve">Tuning or configuration</w:t>
            </w:r>
          </w:p>
        </w:tc>
        <w:tc>
          <w:tcPr/>
          <w:p>
            <w:pPr>
              <w:pStyle w:val="Compact"/>
              <w:spacing w:line="240" w:lineRule="auto"/>
              <w:jc w:val="left"/>
            </w:pPr>
            <w:r>
              <w:rPr>
                <w:sz w:val="19"/>
              </w:rPr>
              <w:t xml:space="preserve">10/12 (83%)</w:t>
            </w:r>
          </w:p>
        </w:tc>
        <w:tc>
          <w:tcPr/>
          <w:p>
            <w:pPr>
              <w:pStyle w:val="Compact"/>
              <w:spacing w:line="240" w:lineRule="auto"/>
              <w:jc w:val="left"/>
            </w:pPr>
            <w:r>
              <w:rPr>
                <w:sz w:val="19"/>
              </w:rPr>
              <w:t xml:space="preserve">18/142 (13%)</w:t>
            </w:r>
          </w:p>
        </w:tc>
        <w:tc>
          <w:tcPr/>
          <w:p>
            <w:pPr>
              <w:pStyle w:val="Compact"/>
              <w:spacing w:line="240" w:lineRule="auto"/>
              <w:jc w:val="left"/>
            </w:pPr>
            <w:r>
              <w:rPr>
                <w:sz w:val="19"/>
              </w:rPr>
              <w:t xml:space="preserve">1/9 (11%)</w:t>
            </w:r>
          </w:p>
        </w:tc>
        <w:tc>
          <w:tcPr/>
          <w:p>
            <w:pPr>
              <w:pStyle w:val="Compact"/>
              <w:spacing w:line="240" w:lineRule="auto"/>
              <w:jc w:val="left"/>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left"/>
            </w:pPr>
            <w:r>
              <w:rPr>
                <w:sz w:val="19"/>
              </w:rPr>
              <w:t xml:space="preserve">3/5 (60%)</w:t>
            </w:r>
          </w:p>
        </w:tc>
        <w:tc>
          <w:tcPr/>
          <w:p>
            <w:pPr>
              <w:pStyle w:val="Compact"/>
              <w:spacing w:line="240" w:lineRule="auto"/>
              <w:jc w:val="left"/>
            </w:pPr>
            <w:r>
              <w:rPr>
                <w:sz w:val="19"/>
              </w:rPr>
              <w:t xml:space="preserve">7/48 (15%)</w:t>
            </w:r>
          </w:p>
        </w:tc>
        <w:tc>
          <w:tcPr/>
          <w:p>
            <w:pPr>
              <w:pStyle w:val="Compact"/>
              <w:spacing w:line="240" w:lineRule="auto"/>
              <w:jc w:val="left"/>
            </w:pPr>
            <w:r>
              <w:rPr>
                <w:sz w:val="19"/>
              </w:rPr>
              <w:t xml:space="preserve">3/5 (60%)</w:t>
            </w:r>
          </w:p>
        </w:tc>
        <w:tc>
          <w:tcPr/>
          <w:p>
            <w:pPr>
              <w:pStyle w:val="Compact"/>
              <w:spacing w:line="240" w:lineRule="auto"/>
              <w:jc w:val="left"/>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left"/>
            </w:pPr>
            <w:r>
              <w:rPr>
                <w:sz w:val="19"/>
              </w:rPr>
              <w:t xml:space="preserve">1/5 (20%)</w:t>
            </w:r>
          </w:p>
        </w:tc>
        <w:tc>
          <w:tcPr/>
          <w:p>
            <w:pPr>
              <w:pStyle w:val="Compact"/>
              <w:spacing w:line="240" w:lineRule="auto"/>
              <w:jc w:val="left"/>
            </w:pPr>
            <w:r>
              <w:rPr>
                <w:sz w:val="19"/>
              </w:rPr>
              <w:t xml:space="preserve">10/143 (7%)</w:t>
            </w:r>
          </w:p>
        </w:tc>
        <w:tc>
          <w:tcPr/>
          <w:p>
            <w:pPr>
              <w:pStyle w:val="Compact"/>
              <w:spacing w:line="240" w:lineRule="auto"/>
              <w:jc w:val="left"/>
            </w:pPr>
            <w:r>
              <w:rPr>
                <w:sz w:val="19"/>
              </w:rPr>
              <w:t xml:space="preserve">1/4 (25%)</w:t>
            </w:r>
          </w:p>
        </w:tc>
        <w:tc>
          <w:tcPr/>
          <w:p>
            <w:pPr>
              <w:pStyle w:val="Compact"/>
              <w:spacing w:line="240" w:lineRule="auto"/>
              <w:jc w:val="left"/>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left"/>
            </w:pPr>
            <w:r>
              <w:rPr>
                <w:sz w:val="19"/>
              </w:rPr>
              <w:t xml:space="preserve">1/9 (11%)</w:t>
            </w:r>
          </w:p>
        </w:tc>
        <w:tc>
          <w:tcPr/>
          <w:p>
            <w:pPr>
              <w:pStyle w:val="Compact"/>
              <w:spacing w:line="240" w:lineRule="auto"/>
              <w:jc w:val="left"/>
            </w:pPr>
            <w:r>
              <w:rPr>
                <w:sz w:val="19"/>
              </w:rPr>
              <w:t xml:space="preserve">8/143 (6%)</w:t>
            </w:r>
          </w:p>
        </w:tc>
        <w:tc>
          <w:tcPr/>
          <w:p>
            <w:pPr>
              <w:pStyle w:val="Compact"/>
              <w:spacing w:line="240" w:lineRule="auto"/>
              <w:jc w:val="left"/>
            </w:pPr>
            <w:r>
              <w:rPr>
                <w:sz w:val="19"/>
              </w:rPr>
              <w:t xml:space="preserve">0/4</w:t>
            </w:r>
          </w:p>
        </w:tc>
        <w:tc>
          <w:tcPr/>
          <w:p>
            <w:pPr>
              <w:pStyle w:val="Compact"/>
              <w:spacing w:line="240" w:lineRule="auto"/>
              <w:jc w:val="left"/>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left"/>
            </w:pPr>
            <w:r>
              <w:rPr>
                <w:sz w:val="19"/>
              </w:rPr>
              <w:t xml:space="preserve">0/4</w:t>
            </w:r>
          </w:p>
        </w:tc>
        <w:tc>
          <w:tcPr/>
          <w:p>
            <w:pPr>
              <w:pStyle w:val="Compact"/>
              <w:spacing w:line="240" w:lineRule="auto"/>
              <w:jc w:val="left"/>
            </w:pPr>
            <w:r>
              <w:rPr>
                <w:sz w:val="19"/>
              </w:rPr>
              <w:t xml:space="preserve">4/143 (3%)</w:t>
            </w:r>
          </w:p>
        </w:tc>
        <w:tc>
          <w:tcPr/>
          <w:p>
            <w:pPr>
              <w:pStyle w:val="Compact"/>
              <w:spacing w:line="240" w:lineRule="auto"/>
              <w:jc w:val="left"/>
            </w:pPr>
            <w:r>
              <w:rPr>
                <w:sz w:val="19"/>
              </w:rPr>
              <w:t xml:space="preserve">0/2</w:t>
            </w:r>
          </w:p>
        </w:tc>
        <w:tc>
          <w:tcPr/>
          <w:p>
            <w:pPr>
              <w:pStyle w:val="Compact"/>
              <w:spacing w:line="240" w:lineRule="auto"/>
              <w:jc w:val="left"/>
            </w:pPr>
            <w:r>
              <w:rPr>
                <w:sz w:val="19"/>
              </w:rPr>
              <w:t xml:space="preserve">1/130 (1%)</w:t>
            </w:r>
          </w:p>
        </w:tc>
      </w:tr>
    </w:tbl>
    <w:bookmarkEnd w:id="54"/>
    <w:bookmarkStart w:id="58" w:name="_c0d72e502cb8722b270509e9f977263b14fe2c0"/>
    <w:p>
      <w:pPr>
        <w:pStyle w:val="CaptionedFigure"/>
        <w:jc w:val="center"/>
      </w:pPr>
      <w:r>
        <w:drawing>
          <wp:inline>
            <wp:extent cx="4160520" cy="2603928"/>
            <wp:effectExtent b="0" l="0" r="0" t="0"/>
            <wp:docPr descr="" title="" id="56" name="Picture"/>
            <a:graphic>
              <a:graphicData uri="http://schemas.openxmlformats.org/drawingml/2006/picture">
                <pic:pic>
                  <pic:nvPicPr>
                    <pic:cNvPr descr="fig_forum_causes.png" id="57" name="Picture"/>
                    <pic:cNvPicPr>
                      <a:picLocks noChangeArrowheads="1" noChangeAspect="1"/>
                    </pic:cNvPicPr>
                  </pic:nvPicPr>
                  <pic:blipFill>
                    <a:blip r:embed="rId55"/>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58"/>
    <w:p>
      <w:pPr>
        <w:pStyle w:val="Heading2"/>
      </w:pPr>
      <w:bookmarkStart w:id="59" w:name="_a83a2e69da5d89bd8f5dc37a7915a5ec7926ec3"/>
      <w:r>
        <w:rPr>
          <w:rStyle w:val="SectionNumber"/>
        </w:rPr>
        <w:t xml:space="preserve">5.7</w:t>
      </w:r>
      <w:r>
        <w:tab/>
      </w:r>
      <w:r>
        <w:t xml:space="preserve">Language-model review panels</w:t>
      </w:r>
      <w:bookmarkEnd w:id="59"/>
    </w:p>
    <w:p>
      <w:pPr>
        <w:pStyle w:val="FirstParagraph"/>
      </w:pPr>
      <w:r>
        <w:t xml:space="preserve">Because language-model assistants are increasingly proposed for log review, we conducted a preliminary comparison on</w:t>
      </w:r>
      <w:r>
        <w:t xml:space="preserve"> </w:t>
      </w:r>
      <w:r>
        <w:t xml:space="preserve">60 author-generated fault cases using four relatively small local models (3–4B parameters). The fixed rule was right</w:t>
      </w:r>
      <w:r>
        <w:t xml:space="preserve"> </w:t>
      </w:r>
      <w:r>
        <w:t xml:space="preserve">in 45 of 60 generated cases (75%, 95% Wilson interval 63–84%) and wrong in none (0%, 95% interval 0–6%); it</w:t>
      </w:r>
      <w:r>
        <w:t xml:space="preserve"> </w:t>
      </w:r>
      <w:r>
        <w:t xml:space="preserve">referred the other 15 to a person.</w:t>
      </w:r>
      <w:r>
        <w:t xml:space="preserve"> </w:t>
      </w:r>
      <w:r>
        <w:t xml:space="preserve">“Right”</w:t>
      </w:r>
      <w:r>
        <w:t xml:space="preserve"> </w:t>
      </w:r>
      <w:r>
        <w:t xml:space="preserve">includes leaving the 10 no-cause cases open, so the rule named the true</w:t>
      </w:r>
      <w:r>
        <w:t xml:space="preserve"> </w:t>
      </w:r>
      <w:r>
        <w:t xml:space="preserve">cause in 35 of the 50 cases that had one. As discussed in Section 8, the rule’s performance may be</w:t>
      </w:r>
      <w:r>
        <w:t xml:space="preserve"> </w:t>
      </w:r>
      <w:r>
        <w:t xml:space="preserve">optimistic because the cases were created by the authors who designed the rule; nonetheless, no model’s panel matched</w:t>
      </w:r>
      <w:r>
        <w:t xml:space="preserve"> </w:t>
      </w:r>
      <w:r>
        <w:t xml:space="preserve">it (Table 8): wrong answers ranged from 6 to 38 of 60 (10–63%). A single compromised reviewer changed the</w:t>
      </w:r>
      <w:r>
        <w:t xml:space="preserve"> </w:t>
      </w:r>
      <w:r>
        <w:t xml:space="preserve">panel’s answer in 45 to 56 of 60 cases. None of 40 planted hostile strings reached a model prompt, because the pipeline</w:t>
      </w:r>
      <w:r>
        <w:t xml:space="preserve"> </w:t>
      </w:r>
      <w:r>
        <w:t xml:space="preserve">passed only numbers extracted by code.</w:t>
      </w:r>
    </w:p>
    <w:bookmarkStart w:id="60" w:name="_e9a1c7ab9cd062877714c77f2a5f253f301b820"/>
    <w:p>
      <w:pPr>
        <w:pStyle w:val="TableCaption"/>
      </w:pPr>
      <w:r>
        <w:t xml:space="preserve">Table 8. Language-model review panels on 60 generated cases: counts, with 95% Wilson intervals for the share of all</w:t>
      </w:r>
      <w:r>
        <w:t xml:space="preserve"> </w:t>
      </w:r>
      <w:r>
        <w:t xml:space="preserve">60 cases.</w:t>
      </w:r>
      <w:r>
        <w:t xml:space="preserve"> </w:t>
      </w:r>
      <w:r>
        <w:t xml:space="preserve">“Right”</w:t>
      </w:r>
      <w:r>
        <w:t xml:space="preserve"> </w:t>
      </w:r>
      <w:r>
        <w:t xml:space="preserve">counts naming the true cause or correctly leaving a no-cause case open.</w:t>
      </w:r>
    </w:p>
    <w:tbl>
      <w:tblPr>
        <w:tblStyle w:val="Table"/>
        <w:tblW w:type="pct" w:w="5000"/>
        <w:tblLook w:firstRow="1" w:lastRow="0" w:firstColumn="0" w:lastColumn="0" w:noHBand="0" w:noVBand="0" w:val="0020"/>
        <w:tblCaption w:val="Table 8. Language-model review panels on 60 generated cases: counts, with 95% Wilson intervals for the share of all 60 cases. “Right” counts naming the true cause or correctly leaving a no-cause case open."/>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Method</w:t>
            </w:r>
          </w:p>
        </w:tc>
        <w:tc>
          <w:tcPr/>
          <w:p>
            <w:pPr>
              <w:pStyle w:val="Compact"/>
              <w:spacing w:line="240" w:lineRule="auto"/>
              <w:jc w:val="left"/>
            </w:pPr>
            <w:r>
              <w:rPr>
                <w:sz w:val="19"/>
              </w:rPr>
              <w:t xml:space="preserve">Single agent: right / wrong</w:t>
            </w:r>
          </w:p>
        </w:tc>
        <w:tc>
          <w:tcPr/>
          <w:p>
            <w:pPr>
              <w:pStyle w:val="Compact"/>
              <w:spacing w:line="240" w:lineRule="auto"/>
              <w:jc w:val="left"/>
            </w:pPr>
            <w:r>
              <w:rPr>
                <w:sz w:val="19"/>
              </w:rPr>
              <w:t xml:space="preserve">Panel: right</w:t>
            </w:r>
          </w:p>
        </w:tc>
        <w:tc>
          <w:tcPr/>
          <w:p>
            <w:pPr>
              <w:pStyle w:val="Compact"/>
              <w:spacing w:line="240" w:lineRule="auto"/>
              <w:jc w:val="left"/>
            </w:pPr>
            <w:r>
              <w:rPr>
                <w:sz w:val="19"/>
              </w:rPr>
              <w:t xml:space="preserve">Panel: wrong</w:t>
            </w:r>
          </w:p>
        </w:tc>
        <w:tc>
          <w:tcPr/>
          <w:p>
            <w:pPr>
              <w:pStyle w:val="Compact"/>
              <w:spacing w:line="240" w:lineRule="auto"/>
              <w:jc w:val="left"/>
            </w:pPr>
            <w:r>
              <w:rPr>
                <w:sz w:val="19"/>
              </w:rPr>
              <w:t xml:space="preserve">Panel answer changed by one adversary</w:t>
            </w:r>
          </w:p>
        </w:tc>
      </w:tr>
      <w:tr>
        <w:tc>
          <w:tcPr/>
          <w:p>
            <w:pPr>
              <w:pStyle w:val="Compact"/>
              <w:spacing w:line="240" w:lineRule="auto"/>
              <w:jc w:val="left"/>
            </w:pPr>
            <w:r>
              <w:rPr>
                <w:sz w:val="19"/>
              </w:rPr>
              <w:t xml:space="preserve">Fixed rule (no model)</w:t>
            </w:r>
          </w:p>
        </w:tc>
        <w:tc>
          <w:tcPr/>
          <w:p>
            <w:pPr>
              <w:pStyle w:val="Compact"/>
              <w:spacing w:line="240" w:lineRule="auto"/>
              <w:jc w:val="left"/>
            </w:pPr>
            <w:r>
              <w:rPr>
                <w:sz w:val="19"/>
              </w:rPr>
              <w:t xml:space="preserve">45 (63–84%) / 0 (0–6%)</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w:t>
            </w:r>
          </w:p>
        </w:tc>
      </w:tr>
      <w:tr>
        <w:tc>
          <w:tcPr/>
          <w:p>
            <w:pPr>
              <w:pStyle w:val="Compact"/>
              <w:spacing w:line="240" w:lineRule="auto"/>
              <w:jc w:val="left"/>
            </w:pPr>
            <w:r>
              <w:rPr>
                <w:sz w:val="19"/>
              </w:rPr>
              <w:t xml:space="preserve">gemma3:4b</w:t>
            </w:r>
          </w:p>
        </w:tc>
        <w:tc>
          <w:tcPr/>
          <w:p>
            <w:pPr>
              <w:pStyle w:val="Compact"/>
              <w:spacing w:line="240" w:lineRule="auto"/>
              <w:jc w:val="left"/>
            </w:pPr>
            <w:r>
              <w:rPr>
                <w:sz w:val="19"/>
              </w:rPr>
              <w:t xml:space="preserve">10 / 0</w:t>
            </w:r>
          </w:p>
        </w:tc>
        <w:tc>
          <w:tcPr/>
          <w:p>
            <w:pPr>
              <w:pStyle w:val="Compact"/>
              <w:spacing w:line="240" w:lineRule="auto"/>
              <w:jc w:val="left"/>
            </w:pPr>
            <w:r>
              <w:rPr>
                <w:sz w:val="19"/>
              </w:rPr>
              <w:t xml:space="preserve">3 (2–14%)</w:t>
            </w:r>
          </w:p>
        </w:tc>
        <w:tc>
          <w:tcPr/>
          <w:p>
            <w:pPr>
              <w:pStyle w:val="Compact"/>
              <w:spacing w:line="240" w:lineRule="auto"/>
              <w:jc w:val="left"/>
            </w:pPr>
            <w:r>
              <w:rPr>
                <w:sz w:val="19"/>
              </w:rPr>
              <w:t xml:space="preserve">36 (47–71%)</w:t>
            </w:r>
          </w:p>
        </w:tc>
        <w:tc>
          <w:tcPr/>
          <w:p>
            <w:pPr>
              <w:pStyle w:val="Compact"/>
              <w:spacing w:line="240" w:lineRule="auto"/>
              <w:jc w:val="left"/>
            </w:pPr>
            <w:r>
              <w:rPr>
                <w:sz w:val="19"/>
              </w:rPr>
              <w:t xml:space="preserve">49 of 60</w:t>
            </w:r>
          </w:p>
        </w:tc>
      </w:tr>
      <w:tr>
        <w:tc>
          <w:tcPr/>
          <w:p>
            <w:pPr>
              <w:pStyle w:val="Compact"/>
              <w:spacing w:line="240" w:lineRule="auto"/>
              <w:jc w:val="left"/>
            </w:pPr>
            <w:r>
              <w:rPr>
                <w:sz w:val="19"/>
              </w:rPr>
              <w:t xml:space="preserve">phi4-mini</w:t>
            </w:r>
          </w:p>
        </w:tc>
        <w:tc>
          <w:tcPr/>
          <w:p>
            <w:pPr>
              <w:pStyle w:val="Compact"/>
              <w:spacing w:line="240" w:lineRule="auto"/>
              <w:jc w:val="left"/>
            </w:pPr>
            <w:r>
              <w:rPr>
                <w:sz w:val="19"/>
              </w:rPr>
              <w:t xml:space="preserve">10 / 0</w:t>
            </w:r>
          </w:p>
        </w:tc>
        <w:tc>
          <w:tcPr/>
          <w:p>
            <w:pPr>
              <w:pStyle w:val="Compact"/>
              <w:spacing w:line="240" w:lineRule="auto"/>
              <w:jc w:val="left"/>
            </w:pPr>
            <w:r>
              <w:rPr>
                <w:sz w:val="19"/>
              </w:rPr>
              <w:t xml:space="preserve">20 (23–46%)</w:t>
            </w:r>
          </w:p>
        </w:tc>
        <w:tc>
          <w:tcPr/>
          <w:p>
            <w:pPr>
              <w:pStyle w:val="Compact"/>
              <w:spacing w:line="240" w:lineRule="auto"/>
              <w:jc w:val="left"/>
            </w:pPr>
            <w:r>
              <w:rPr>
                <w:sz w:val="19"/>
              </w:rPr>
              <w:t xml:space="preserve">19 (21–44%)</w:t>
            </w:r>
          </w:p>
        </w:tc>
        <w:tc>
          <w:tcPr/>
          <w:p>
            <w:pPr>
              <w:pStyle w:val="Compact"/>
              <w:spacing w:line="240" w:lineRule="auto"/>
              <w:jc w:val="left"/>
            </w:pPr>
            <w:r>
              <w:rPr>
                <w:sz w:val="19"/>
              </w:rPr>
              <w:t xml:space="preserve">56 of 60</w:t>
            </w:r>
          </w:p>
        </w:tc>
      </w:tr>
      <w:tr>
        <w:tc>
          <w:tcPr/>
          <w:p>
            <w:pPr>
              <w:pStyle w:val="Compact"/>
              <w:spacing w:line="240" w:lineRule="auto"/>
              <w:jc w:val="left"/>
            </w:pPr>
            <w:r>
              <w:rPr>
                <w:sz w:val="19"/>
              </w:rPr>
              <w:t xml:space="preserve">qwen2.5:3b</w:t>
            </w:r>
          </w:p>
        </w:tc>
        <w:tc>
          <w:tcPr/>
          <w:p>
            <w:pPr>
              <w:pStyle w:val="Compact"/>
              <w:spacing w:line="240" w:lineRule="auto"/>
              <w:jc w:val="left"/>
            </w:pPr>
            <w:r>
              <w:rPr>
                <w:sz w:val="19"/>
              </w:rPr>
              <w:t xml:space="preserve">9 / 44</w:t>
            </w:r>
          </w:p>
        </w:tc>
        <w:tc>
          <w:tcPr/>
          <w:p>
            <w:pPr>
              <w:pStyle w:val="Compact"/>
              <w:spacing w:line="240" w:lineRule="auto"/>
              <w:jc w:val="left"/>
            </w:pPr>
            <w:r>
              <w:rPr>
                <w:sz w:val="19"/>
              </w:rPr>
              <w:t xml:space="preserve">10 (9–28%)</w:t>
            </w:r>
          </w:p>
        </w:tc>
        <w:tc>
          <w:tcPr/>
          <w:p>
            <w:pPr>
              <w:pStyle w:val="Compact"/>
              <w:spacing w:line="240" w:lineRule="auto"/>
              <w:jc w:val="left"/>
            </w:pPr>
            <w:r>
              <w:rPr>
                <w:sz w:val="19"/>
              </w:rPr>
              <w:t xml:space="preserve">6 (5–20%)</w:t>
            </w:r>
          </w:p>
        </w:tc>
        <w:tc>
          <w:tcPr/>
          <w:p>
            <w:pPr>
              <w:pStyle w:val="Compact"/>
              <w:spacing w:line="240" w:lineRule="auto"/>
              <w:jc w:val="left"/>
            </w:pPr>
            <w:r>
              <w:rPr>
                <w:sz w:val="19"/>
              </w:rPr>
              <w:t xml:space="preserve">54 of 60</w:t>
            </w:r>
          </w:p>
        </w:tc>
      </w:tr>
      <w:tr>
        <w:tc>
          <w:tcPr/>
          <w:p>
            <w:pPr>
              <w:pStyle w:val="Compact"/>
              <w:spacing w:line="240" w:lineRule="auto"/>
              <w:jc w:val="left"/>
            </w:pPr>
            <w:r>
              <w:rPr>
                <w:sz w:val="19"/>
              </w:rPr>
              <w:t xml:space="preserve">qwen3:4b</w:t>
            </w:r>
          </w:p>
        </w:tc>
        <w:tc>
          <w:tcPr/>
          <w:p>
            <w:pPr>
              <w:pStyle w:val="Compact"/>
              <w:spacing w:line="240" w:lineRule="auto"/>
              <w:jc w:val="left"/>
            </w:pPr>
            <w:r>
              <w:rPr>
                <w:sz w:val="19"/>
              </w:rPr>
              <w:t xml:space="preserve">0 / 41</w:t>
            </w:r>
          </w:p>
        </w:tc>
        <w:tc>
          <w:tcPr/>
          <w:p>
            <w:pPr>
              <w:pStyle w:val="Compact"/>
              <w:spacing w:line="240" w:lineRule="auto"/>
              <w:jc w:val="left"/>
            </w:pPr>
            <w:r>
              <w:rPr>
                <w:sz w:val="19"/>
              </w:rPr>
              <w:t xml:space="preserve">17 (19–41%)</w:t>
            </w:r>
          </w:p>
        </w:tc>
        <w:tc>
          <w:tcPr/>
          <w:p>
            <w:pPr>
              <w:pStyle w:val="Compact"/>
              <w:spacing w:line="240" w:lineRule="auto"/>
              <w:jc w:val="left"/>
            </w:pPr>
            <w:r>
              <w:rPr>
                <w:sz w:val="19"/>
              </w:rPr>
              <w:t xml:space="preserve">38 (51–74%)</w:t>
            </w:r>
          </w:p>
        </w:tc>
        <w:tc>
          <w:tcPr/>
          <w:p>
            <w:pPr>
              <w:pStyle w:val="Compact"/>
              <w:spacing w:line="240" w:lineRule="auto"/>
              <w:jc w:val="left"/>
            </w:pPr>
            <w:r>
              <w:rPr>
                <w:sz w:val="19"/>
              </w:rPr>
              <w:t xml:space="preserve">45 of 60</w:t>
            </w:r>
          </w:p>
        </w:tc>
      </w:tr>
    </w:tbl>
    <w:bookmarkEnd w:id="60"/>
    <w:p>
      <w:pPr>
        <w:pStyle w:val="Heading1"/>
      </w:pPr>
      <w:bookmarkStart w:id="61" w:name="_5197750e0310900a35791fde6fc3b970851116d"/>
      <w:r>
        <w:rPr>
          <w:rStyle w:val="SectionNumber"/>
        </w:rPr>
        <w:t xml:space="preserve">6</w:t>
      </w:r>
      <w:r>
        <w:tab/>
      </w:r>
      <w:r>
        <w:t xml:space="preserve">Design implications: an assurance tool built on the findings</w:t>
      </w:r>
      <w:bookmarkEnd w:id="61"/>
    </w:p>
    <w:p>
      <w:pPr>
        <w:pStyle w:val="FirstParagraph"/>
      </w:pPr>
      <w:r>
        <w:t xml:space="preserve">The authors develop AeroFleet 2.0, an open-source, ground-side assurance tool for PX4 and ArduPilot fleets. It reads</w:t>
      </w:r>
      <w:r>
        <w:t xml:space="preserve"> </w:t>
      </w:r>
      <w:r>
        <w:t xml:space="preserve">the files an operator already has (parameter files, mission files and flight logs), contacts no aircraft and calls no</w:t>
      </w:r>
      <w:r>
        <w:t xml:space="preserve"> </w:t>
      </w:r>
      <w:r>
        <w:t xml:space="preserve">language model. This section reports design consequences and engineering checks; the paper’s empirical evidence is</w:t>
      </w:r>
      <w:r>
        <w:t xml:space="preserve"> </w:t>
      </w:r>
      <w:r>
        <w:t xml:space="preserve">presented in Sections 3–5. Table 9 links each result above to a design decision and to the check that was made of</w:t>
      </w:r>
      <w:r>
        <w:t xml:space="preserve"> </w:t>
      </w:r>
      <w:r>
        <w:t xml:space="preserve">it. AeroFleet 2.0’s checks are primarily engineering validation tests, not evidence of improved operational safety;</w:t>
      </w:r>
      <w:r>
        <w:t xml:space="preserve"> </w:t>
      </w:r>
      <w:r>
        <w:t xml:space="preserve">demonstrating safety benefits in field operations requires prospective fleet evaluation and user studies, which remain</w:t>
      </w:r>
      <w:r>
        <w:t xml:space="preserve"> </w:t>
      </w:r>
      <w:r>
        <w:t xml:space="preserve">future work (Section 7). The injection and leave-one-out checks were declared before they were run,</w:t>
      </w:r>
      <w:r>
        <w:t xml:space="preserve"> </w:t>
      </w:r>
      <w:r>
        <w:t xml:space="preserve">like the tests above; the others are software tests. All are engineering validation; none evaluates the tool as a</w:t>
      </w:r>
      <w:r>
        <w:t xml:space="preserve"> </w:t>
      </w:r>
      <w:r>
        <w:t xml:space="preserve">safety intervention.</w:t>
      </w:r>
    </w:p>
    <w:bookmarkStart w:id="62" w:name="_4816a700d4290cff51a6fa69217ee9f1521b64f"/>
    <w:p>
      <w:pPr>
        <w:pStyle w:val="TableCaption"/>
      </w:pPr>
      <w:r>
        <w:t xml:space="preserve">Table 9. From findings to design decisions in the AeroFleet 2.0 assurance tool, and how each part was checked.</w:t>
      </w:r>
    </w:p>
    <w:tbl>
      <w:tblPr>
        <w:tblStyle w:val="Table"/>
        <w:tblW w:type="pct" w:w="5000"/>
        <w:tblLook w:firstRow="1" w:lastRow="0" w:firstColumn="0" w:lastColumn="0" w:noHBand="0" w:noVBand="0" w:val="0020"/>
        <w:tblCaption w:val="Table 9. From findings to design decisions in the AeroFleet 2.0 assurance tool, and how each part was checked."/>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Design decision</w:t>
            </w:r>
          </w:p>
        </w:tc>
        <w:tc>
          <w:tcPr/>
          <w:p>
            <w:pPr>
              <w:pStyle w:val="Compact"/>
              <w:spacing w:line="240" w:lineRule="auto"/>
              <w:jc w:val="left"/>
            </w:pPr>
            <w:r>
              <w:rPr>
                <w:sz w:val="19"/>
              </w:rPr>
              <w:t xml:space="preserve">Check</w:t>
            </w:r>
          </w:p>
        </w:tc>
      </w:tr>
      <w:tr>
        <w:tc>
          <w:tcPr/>
          <w:p>
            <w:pPr>
              <w:pStyle w:val="Compact"/>
              <w:spacing w:line="240" w:lineRule="auto"/>
              <w:jc w:val="left"/>
            </w:pPr>
            <w:r>
              <w:rPr>
                <w:sz w:val="19"/>
              </w:rPr>
              <w:t xml:space="preserve">Logs did not attribute crashes (Q2); checks fired on the crash (Q4)</w:t>
            </w:r>
          </w:p>
        </w:tc>
        <w:tc>
          <w:tcPr/>
          <w:p>
            <w:pPr>
              <w:pStyle w:val="Compact"/>
              <w:spacing w:line="240" w:lineRule="auto"/>
              <w:jc w:val="left"/>
            </w:pPr>
            <w:r>
              <w:rPr>
                <w:sz w:val="19"/>
              </w:rPr>
              <w:t xml:space="preserve">A flight review lists the log’s events in time</w:t>
            </w:r>
            <w:r>
              <w:rPr>
                <w:sz w:val="19"/>
              </w:rPr>
              <w:t xml:space="preserve"> </w:t>
            </w:r>
            <w:r>
              <w:rPr>
                <w:sz w:val="19"/>
              </w:rPr>
              <w:t xml:space="preserve">order and states the quality of its evidence; it names no cause</w:t>
            </w:r>
          </w:p>
        </w:tc>
        <w:tc>
          <w:tcPr/>
          <w:p>
            <w:pPr>
              <w:pStyle w:val="Compact"/>
              <w:spacing w:line="240" w:lineRule="auto"/>
              <w:jc w:val="left"/>
            </w:pPr>
            <w:r>
              <w:rPr>
                <w:sz w:val="19"/>
              </w:rPr>
              <w:t xml:space="preserve">Unit and API tests</w:t>
            </w:r>
          </w:p>
        </w:tc>
      </w:tr>
      <w:tr>
        <w:tc>
          <w:tcPr/>
          <w:p>
            <w:pPr>
              <w:pStyle w:val="Compact"/>
              <w:spacing w:line="240" w:lineRule="auto"/>
              <w:jc w:val="left"/>
            </w:pPr>
            <w:r>
              <w:rPr>
                <w:sz w:val="19"/>
              </w:rPr>
              <w:t xml:space="preserve">Roughness marked drones, not flights (Q3b, Q3c)</w:t>
            </w:r>
          </w:p>
        </w:tc>
        <w:tc>
          <w:tcPr/>
          <w:p>
            <w:pPr>
              <w:pStyle w:val="Compact"/>
              <w:spacing w:line="240" w:lineRule="auto"/>
              <w:jc w:val="left"/>
            </w:pPr>
            <w:r>
              <w:rPr>
                <w:sz w:val="19"/>
              </w:rPr>
              <w:t xml:space="preserve">Drones ranked by vibration within a fleet, measured the same way;</w:t>
            </w:r>
            <w:r>
              <w:rPr>
                <w:sz w:val="19"/>
              </w:rPr>
              <w:t xml:space="preserve"> </w:t>
            </w:r>
            <w:r>
              <w:rPr>
                <w:sz w:val="19"/>
              </w:rPr>
              <w:t xml:space="preserve">the upper quartile flagged for inspection</w:t>
            </w:r>
          </w:p>
        </w:tc>
        <w:tc>
          <w:tcPr/>
          <w:p>
            <w:pPr>
              <w:pStyle w:val="Compact"/>
              <w:spacing w:line="240" w:lineRule="auto"/>
              <w:jc w:val="left"/>
            </w:pPr>
            <w:r>
              <w:rPr>
                <w:sz w:val="19"/>
              </w:rPr>
              <w:t xml:space="preserve">Unit tests; no prospective evaluation yet</w:t>
            </w:r>
          </w:p>
        </w:tc>
      </w:tr>
      <w:tr>
        <w:tc>
          <w:tcPr/>
          <w:p>
            <w:pPr>
              <w:pStyle w:val="Compact"/>
              <w:spacing w:line="240" w:lineRule="auto"/>
              <w:jc w:val="left"/>
            </w:pPr>
            <w:r>
              <w:rPr>
                <w:sz w:val="19"/>
              </w:rPr>
              <w:t xml:space="preserve">Useful evidence is longitudinal</w:t>
            </w:r>
          </w:p>
        </w:tc>
        <w:tc>
          <w:tcPr/>
          <w:p>
            <w:pPr>
              <w:pStyle w:val="Compact"/>
              <w:spacing w:line="240" w:lineRule="auto"/>
              <w:jc w:val="left"/>
            </w:pPr>
            <w:r>
              <w:rPr>
                <w:sz w:val="19"/>
              </w:rPr>
              <w:t xml:space="preserve">Every upload, approval and review appended to a hash-chained, Ed25519-signed record</w:t>
            </w:r>
            <w:r>
              <w:rPr>
                <w:sz w:val="19"/>
              </w:rPr>
              <w:t xml:space="preserve"> </w:t>
            </w:r>
            <w:r>
              <w:rPr>
                <w:sz w:val="19"/>
              </w:rPr>
              <w:t xml:space="preserve">with SHA-256 fingerprints of the files received</w:t>
            </w:r>
          </w:p>
        </w:tc>
        <w:tc>
          <w:tcPr/>
          <w:p>
            <w:pPr>
              <w:pStyle w:val="Compact"/>
              <w:spacing w:line="240" w:lineRule="auto"/>
              <w:jc w:val="left"/>
            </w:pPr>
            <w:r>
              <w:rPr>
                <w:sz w:val="19"/>
              </w:rPr>
              <w:t xml:space="preserve">Tamper tests: edited, deleted, reordered and re-signed records</w:t>
            </w:r>
            <w:r>
              <w:rPr>
                <w:sz w:val="19"/>
              </w:rPr>
              <w:t xml:space="preserve"> </w:t>
            </w:r>
            <w:r>
              <w:rPr>
                <w:sz w:val="19"/>
              </w:rPr>
              <w:t xml:space="preserve">detected</w:t>
            </w:r>
          </w:p>
        </w:tc>
      </w:tr>
      <w:tr>
        <w:tc>
          <w:tcPr/>
          <w:p>
            <w:pPr>
              <w:pStyle w:val="Compact"/>
              <w:spacing w:line="240" w:lineRule="auto"/>
              <w:jc w:val="left"/>
            </w:pPr>
            <w:r>
              <w:rPr>
                <w:sz w:val="19"/>
              </w:rPr>
              <w:t xml:space="preserve">A plan proves nothing if something else was flown</w:t>
            </w:r>
          </w:p>
        </w:tc>
        <w:tc>
          <w:tcPr/>
          <w:p>
            <w:pPr>
              <w:pStyle w:val="Compact"/>
              <w:spacing w:line="240" w:lineRule="auto"/>
              <w:jc w:val="left"/>
            </w:pPr>
            <w:r>
              <w:rPr>
                <w:sz w:val="19"/>
              </w:rPr>
              <w:t xml:space="preserve">Planned-versus-flown check: deviations beyond a fleet’s corridor</w:t>
            </w:r>
            <w:r>
              <w:rPr>
                <w:sz w:val="19"/>
              </w:rPr>
              <w:t xml:space="preserve"> </w:t>
            </w:r>
            <w:r>
              <w:rPr>
                <w:sz w:val="19"/>
              </w:rPr>
              <w:t xml:space="preserve">and height tolerance</w:t>
            </w:r>
          </w:p>
        </w:tc>
        <w:tc>
          <w:tcPr/>
          <w:p>
            <w:pPr>
              <w:pStyle w:val="Compact"/>
              <w:spacing w:line="240" w:lineRule="auto"/>
              <w:jc w:val="left"/>
            </w:pPr>
            <w:r>
              <w:rPr>
                <w:sz w:val="19"/>
              </w:rPr>
              <w:t xml:space="preserve">Known deviations injected into 40 real flights (Section 6.1)</w:t>
            </w:r>
          </w:p>
        </w:tc>
      </w:tr>
      <w:tr>
        <w:tc>
          <w:tcPr/>
          <w:p>
            <w:pPr>
              <w:pStyle w:val="Compact"/>
              <w:spacing w:line="240" w:lineRule="auto"/>
              <w:jc w:val="left"/>
            </w:pPr>
            <w:r>
              <w:rPr>
                <w:sz w:val="19"/>
              </w:rPr>
              <w:t xml:space="preserve">Expert diagnoses as precedents (Q4)</w:t>
            </w:r>
          </w:p>
        </w:tc>
        <w:tc>
          <w:tcPr/>
          <w:p>
            <w:pPr>
              <w:pStyle w:val="Compact"/>
              <w:spacing w:line="240" w:lineRule="auto"/>
              <w:jc w:val="left"/>
            </w:pPr>
            <w:r>
              <w:rPr>
                <w:sz w:val="19"/>
              </w:rPr>
              <w:t xml:space="preserve">Description search over 161 expert-labelled threads; checklist in order of</w:t>
            </w:r>
            <w:r>
              <w:rPr>
                <w:sz w:val="19"/>
              </w:rPr>
              <w:t xml:space="preserve"> </w:t>
            </w:r>
            <w:r>
              <w:rPr>
                <w:sz w:val="19"/>
              </w:rPr>
              <w:t xml:space="preserve">expert frequency</w:t>
            </w:r>
          </w:p>
        </w:tc>
        <w:tc>
          <w:tcPr/>
          <w:p>
            <w:pPr>
              <w:pStyle w:val="Compact"/>
              <w:spacing w:line="240" w:lineRule="auto"/>
              <w:jc w:val="left"/>
            </w:pPr>
            <w:r>
              <w:rPr>
                <w:sz w:val="19"/>
              </w:rPr>
              <w:t xml:space="preserve">Leave-one-out test on 96 cases (Section 6.2)</w:t>
            </w:r>
          </w:p>
        </w:tc>
      </w:tr>
      <w:tr>
        <w:tc>
          <w:tcPr/>
          <w:p>
            <w:pPr>
              <w:pStyle w:val="Compact"/>
              <w:spacing w:line="240" w:lineRule="auto"/>
              <w:jc w:val="left"/>
            </w:pPr>
            <w:r>
              <w:rPr>
                <w:sz w:val="19"/>
              </w:rPr>
              <w:t xml:space="preserve">Separation and deviations are three-dimensional</w:t>
            </w:r>
          </w:p>
        </w:tc>
        <w:tc>
          <w:tcPr/>
          <w:p>
            <w:pPr>
              <w:pStyle w:val="Compact"/>
              <w:spacing w:line="240" w:lineRule="auto"/>
              <w:jc w:val="left"/>
            </w:pPr>
            <w:r>
              <w:rPr>
                <w:sz w:val="19"/>
              </w:rPr>
              <w:t xml:space="preserve">Tabletop 3D replay of a reviewed flight and rehearsal of planned</w:t>
            </w:r>
            <w:r>
              <w:rPr>
                <w:sz w:val="19"/>
              </w:rPr>
              <w:t xml:space="preserve"> </w:t>
            </w:r>
            <w:r>
              <w:rPr>
                <w:sz w:val="19"/>
              </w:rPr>
              <w:t xml:space="preserve">missions, on screen or in a headset</w:t>
            </w:r>
          </w:p>
        </w:tc>
        <w:tc>
          <w:tcPr/>
          <w:p>
            <w:pPr>
              <w:pStyle w:val="Compact"/>
              <w:spacing w:line="240" w:lineRule="auto"/>
              <w:jc w:val="left"/>
            </w:pPr>
            <w:r>
              <w:rPr>
                <w:sz w:val="19"/>
              </w:rPr>
              <w:t xml:space="preserve">Functional checks only; no user study</w:t>
            </w:r>
          </w:p>
        </w:tc>
      </w:tr>
    </w:tbl>
    <w:bookmarkEnd w:id="62"/>
    <w:p>
      <w:pPr>
        <w:pStyle w:val="FirstParagraph"/>
      </w:pPr>
      <w:r>
        <w:rPr>
          <w:b/>
          <w:bCs/>
        </w:rPr>
        <w:t xml:space="preserve">Evidence, not verdicts.</w:t>
      </w:r>
      <w:r>
        <w:t xml:space="preserve"> </w:t>
      </w:r>
      <w:r>
        <w:t xml:space="preserve">A flight review reads an ArduPilot or PX4 log and the approved mission file and</w:t>
      </w:r>
      <w:r>
        <w:t xml:space="preserve"> </w:t>
      </w:r>
      <w:r>
        <w:t xml:space="preserve">lists, in time order, mode changes (with a pilot taking over from an automatic mode flagged), settings changed in</w:t>
      </w:r>
      <w:r>
        <w:t xml:space="preserve"> </w:t>
      </w:r>
      <w:r>
        <w:t xml:space="preserve">flight, battery and voltage warnings, poor GPS and deviations from the plan. It reports the quality of that evidence</w:t>
      </w:r>
      <w:r>
        <w:t xml:space="preserve"> </w:t>
      </w:r>
      <w:r>
        <w:t xml:space="preserve">(sample rate, satellite count and dilution of precision, height reference, clock source) so that a reader can judge</w:t>
      </w:r>
      <w:r>
        <w:t xml:space="preserve"> </w:t>
      </w:r>
      <w:r>
        <w:t xml:space="preserve">how far to trust it, and leaves the conclusion to a person. Given the attribution results, a tool that issued a</w:t>
      </w:r>
      <w:r>
        <w:t xml:space="preserve"> </w:t>
      </w:r>
      <w:r>
        <w:t xml:space="preserve">pilot-or-aircraft verdict would claim more than the log supports.</w:t>
      </w:r>
    </w:p>
    <w:p>
      <w:pPr>
        <w:pStyle w:val="BodyText"/>
      </w:pPr>
      <w:r>
        <w:rPr>
          <w:b/>
          <w:bCs/>
        </w:rPr>
        <w:t xml:space="preserve">Ranking drones, not predicting flights.</w:t>
      </w:r>
      <w:r>
        <w:t xml:space="preserve"> </w:t>
      </w:r>
      <w:r>
        <w:t xml:space="preserve">Each reviewed flight’s vibration is stored with its measurement</w:t>
      </w:r>
      <w:r>
        <w:t xml:space="preserve"> </w:t>
      </w:r>
      <w:r>
        <w:t xml:space="preserve">source; drones are ranked against others measured the same way, and those above their group’s upper quartile are</w:t>
      </w:r>
      <w:r>
        <w:t xml:space="preserve"> </w:t>
      </w:r>
      <w:r>
        <w:t xml:space="preserve">flagged for mechanical inspection. In the archive, this kind of ranking identified the drone that later crashed as</w:t>
      </w:r>
      <w:r>
        <w:t xml:space="preserve"> </w:t>
      </w:r>
      <w:r>
        <w:t xml:space="preserve">the roughest of its matched set in 55% of sets, against 41% by chance, so the flag is a prompt to inspect, not a</w:t>
      </w:r>
      <w:r>
        <w:t xml:space="preserve"> </w:t>
      </w:r>
      <w:r>
        <w:t xml:space="preserve">warning that a crash is coming.</w:t>
      </w:r>
    </w:p>
    <w:p>
      <w:pPr>
        <w:pStyle w:val="BodyText"/>
      </w:pPr>
      <w:r>
        <w:rPr>
          <w:b/>
          <w:bCs/>
        </w:rPr>
        <w:t xml:space="preserve">A record that can be checked.</w:t>
      </w:r>
      <w:r>
        <w:t xml:space="preserve"> </w:t>
      </w:r>
      <w:r>
        <w:t xml:space="preserve">Because the useful evidence accumulates per aircraft, results are appended to</w:t>
      </w:r>
      <w:r>
        <w:t xml:space="preserve"> </w:t>
      </w:r>
      <w:r>
        <w:t xml:space="preserve">a hash-chained record in which each entry is signed and carries the SHA-256 of the exact files it came from; each new</w:t>
      </w:r>
      <w:r>
        <w:t xml:space="preserve"> </w:t>
      </w:r>
      <w:r>
        <w:t xml:space="preserve">head is also written to a separate file intended to be copied elsewhere. A standalone verifier checks an exported</w:t>
      </w:r>
      <w:r>
        <w:t xml:space="preserve"> </w:t>
      </w:r>
      <w:r>
        <w:t xml:space="preserve">record; in tests it detected an edited field, a deleted entry, a reordering, and a chain rebuilt with a new key</w:t>
      </w:r>
      <w:r>
        <w:t xml:space="preserve"> </w:t>
      </w:r>
      <w:r>
        <w:t xml:space="preserve">(the last only against a pinned key fingerprint or the separately kept heads, which is the stated limit of the design).</w:t>
      </w:r>
    </w:p>
    <w:p>
      <w:pPr>
        <w:pStyle w:val="Heading2"/>
      </w:pPr>
      <w:bookmarkStart w:id="63" w:name="_07192d0a5b84444152dad58c5be53291d61b42c"/>
      <w:r>
        <w:rPr>
          <w:rStyle w:val="SectionNumber"/>
        </w:rPr>
        <w:t xml:space="preserve">6.1</w:t>
      </w:r>
      <w:r>
        <w:tab/>
      </w:r>
      <w:r>
        <w:t xml:space="preserve">Planned versus flown</w:t>
      </w:r>
      <w:bookmarkEnd w:id="63"/>
    </w:p>
    <w:p>
      <w:pPr>
        <w:pStyle w:val="FirstParagraph"/>
      </w:pPr>
      <w:r>
        <w:t xml:space="preserve">The check aligns the flown track with the plan’s legs in flying order over the whole flight and reports stretches</w:t>
      </w:r>
      <w:r>
        <w:t xml:space="preserve"> </w:t>
      </w:r>
      <w:r>
        <w:t xml:space="preserve">beyond the fleet’s sideways and height tolerances (defaults 30 m and 15 m for at least 3 s). To test it, plans were</w:t>
      </w:r>
      <w:r>
        <w:t xml:space="preserve"> </w:t>
      </w:r>
      <w:r>
        <w:t xml:space="preserve">built from 40 real multirotor flights in the archive (a waypoint every 10 s of track), so that the unmodified</w:t>
      </w:r>
      <w:r>
        <w:t xml:space="preserve"> </w:t>
      </w:r>
      <w:r>
        <w:t xml:space="preserve">flight conformed by construction, and a known deviation was injected for 30 s. Sideways shifts of 35 m or more were</w:t>
      </w:r>
      <w:r>
        <w:t xml:space="preserve"> </w:t>
      </w:r>
      <w:r>
        <w:t xml:space="preserve">found in 90–98% of flights and upward shifts of 20 m or more in 92–98%, while shifts below the tolerances were</w:t>
      </w:r>
      <w:r>
        <w:t xml:space="preserve"> </w:t>
      </w:r>
      <w:r>
        <w:t xml:space="preserve">mostly not reported, as specified. The first version of the check, which matched each position to the nearest leg</w:t>
      </w:r>
      <w:r>
        <w:t xml:space="preserve"> </w:t>
      </w:r>
      <w:r>
        <w:t xml:space="preserve">anywhere, raised false alarms on 16 of 40 unmodified flights and detected only half of the 35 m shifts;</w:t>
      </w:r>
      <w:r>
        <w:t xml:space="preserve"> </w:t>
      </w:r>
      <w:r>
        <w:t xml:space="preserve">it was replaced. The current version raised false alarms on 9 of 40 (22%, 95% CI 12–38%), all on fast flights</w:t>
      </w:r>
      <w:r>
        <w:t xml:space="preserve"> </w:t>
      </w:r>
      <w:r>
        <w:t xml:space="preserve">cutting the corners of long legs built from the track; with a waypoint every 5 s (a post-hoc check) there were none.</w:t>
      </w:r>
      <w:r>
        <w:t xml:space="preserve"> </w:t>
      </w:r>
      <w:r>
        <w:t xml:space="preserve">A declared check on the archive logs that record the mission they flew found</w:t>
      </w:r>
      <w:r>
        <w:t xml:space="preserve"> </w:t>
      </w:r>
      <w:r>
        <w:t xml:space="preserve">only six distinct missions; the check reported no deviation while any of them flew in mission mode, and the two</w:t>
      </w:r>
      <w:r>
        <w:t xml:space="preserve"> </w:t>
      </w:r>
      <w:r>
        <w:t xml:space="preserve">deviations it did report were stretches in which the vehicle had left mission mode (return-to-launch, or the pilot</w:t>
      </w:r>
      <w:r>
        <w:t xml:space="preserve"> </w:t>
      </w:r>
      <w:r>
        <w:t xml:space="preserve">taking over). Six missions are too few for a rate (95% upper bound 39%), so the false-alarm rate on real plans</w:t>
      </w:r>
      <w:r>
        <w:t xml:space="preserve"> </w:t>
      </w:r>
      <w:r>
        <w:t xml:space="preserve">remains unmeasured and a reported deviation is a reason to look at the replay rather than a finding.</w:t>
      </w:r>
    </w:p>
    <w:p>
      <w:pPr>
        <w:pStyle w:val="Heading2"/>
      </w:pPr>
      <w:bookmarkStart w:id="64" w:name="_42a41c74eaf94f7698b6751c29519348e3bf1ef"/>
      <w:r>
        <w:rPr>
          <w:rStyle w:val="SectionNumber"/>
        </w:rPr>
        <w:t xml:space="preserve">6.2</w:t>
      </w:r>
      <w:r>
        <w:tab/>
      </w:r>
      <w:r>
        <w:t xml:space="preserve">Searching past diagnoses</w:t>
      </w:r>
      <w:bookmarkEnd w:id="64"/>
    </w:p>
    <w:p>
      <w:pPr>
        <w:pStyle w:val="FirstParagraph"/>
      </w:pPr>
      <w:r>
        <w:t xml:space="preserve">An operator can describe a problem in words. The description is matched (BM25, no model) against the expert-labelled</w:t>
      </w:r>
      <w:r>
        <w:t xml:space="preserve"> </w:t>
      </w:r>
      <w:r>
        <w:t xml:space="preserve">forum threads, represented by their titles and up to 30 descriptive terms from the opening post, and against a short</w:t>
      </w:r>
      <w:r>
        <w:t xml:space="preserve"> </w:t>
      </w:r>
      <w:r>
        <w:t xml:space="preserve">list of symptom words for each cause. After a first release we declared and ran a test, holding out each of the 96 threads in</w:t>
      </w:r>
      <w:r>
        <w:t xml:space="preserve"> </w:t>
      </w:r>
      <w:r>
        <w:t xml:space="preserve">which the expert blamed the aircraft and named a cause and querying with the rest. The cause the words matched best</w:t>
      </w:r>
      <w:r>
        <w:t xml:space="preserve"> </w:t>
      </w:r>
      <w:r>
        <w:t xml:space="preserve">was the expert’s cause in 19 of 96 cases with the title alone (20%) and 21 of 96 with the title and opening-post</w:t>
      </w:r>
      <w:r>
        <w:t xml:space="preserve"> </w:t>
      </w:r>
      <w:r>
        <w:t xml:space="preserve">terms (22%, 95% CI 15–31%), below the 26 of 96 (27%) of always answering the most frequent cause; among the first</w:t>
      </w:r>
      <w:r>
        <w:t xml:space="preserve"> </w:t>
      </w:r>
      <w:r>
        <w:t xml:space="preserve">three it was 54% against 62%. The declared criterion (10 points above the base rate) was not met, as it was not with</w:t>
      </w:r>
      <w:r>
        <w:t xml:space="preserve"> </w:t>
      </w:r>
      <w:r>
        <w:t xml:space="preserve">the first recording (20% against 32%). A written</w:t>
      </w:r>
      <w:r>
        <w:t xml:space="preserve"> </w:t>
      </w:r>
      <w:r>
        <w:t xml:space="preserve">description, like the log, did not reveal the cause. The tool therefore orders its checklist by how often experts</w:t>
      </w:r>
      <w:r>
        <w:t xml:space="preserve"> </w:t>
      </w:r>
      <w:r>
        <w:t xml:space="preserve">found each cause, marks the causes the description mentions, and offers the most similar threads only as reading,</w:t>
      </w:r>
      <w:r>
        <w:t xml:space="preserve"> </w:t>
      </w:r>
      <w:r>
        <w:t xml:space="preserve">with the measured accuracy shown beside the answer.</w:t>
      </w:r>
    </w:p>
    <w:p>
      <w:pPr>
        <w:pStyle w:val="Heading2"/>
      </w:pPr>
      <w:bookmarkStart w:id="65" w:name="_5406e17068d6e62a09a9bc1416192d6e20168d5"/>
      <w:r>
        <w:rPr>
          <w:rStyle w:val="SectionNumber"/>
        </w:rPr>
        <w:t xml:space="preserve">6.3</w:t>
      </w:r>
      <w:r>
        <w:tab/>
      </w:r>
      <w:r>
        <w:t xml:space="preserve">Three-dimensional replay and rehearsal</w:t>
      </w:r>
      <w:bookmarkEnd w:id="65"/>
    </w:p>
    <w:p>
      <w:pPr>
        <w:pStyle w:val="FirstParagraph"/>
      </w:pPr>
      <w:r>
        <w:t xml:space="preserve">To make spatial deviations and separation visible, the tool draws flights on a virtual tabletop in WebXR</w:t>
      </w:r>
      <w:r>
        <w:t xml:space="preserve"> </w:t>
      </w:r>
      <w:r>
        <w:t xml:space="preserve">[</w:t>
      </w:r>
      <w:hyperlink w:anchor="_587a2a13103f5a9c7c9f5fbc8ef0c5dfd686e3c">
        <w:r>
          <w:rPr>
            <w:rStyle w:val="Hyperlink"/>
          </w:rPr>
          <w:t xml:space="preserve">32</w:t>
        </w:r>
      </w:hyperlink>
      <w:r>
        <w:t xml:space="preserve">]</w:t>
      </w:r>
      <w:r>
        <w:t xml:space="preserve">. A</w:t>
      </w:r>
      <w:r>
        <w:t xml:space="preserve"> </w:t>
      </w:r>
      <w:r>
        <w:rPr>
          <w:i/>
          <w:iCs/>
        </w:rPr>
        <w:t xml:space="preserve">flight replay</w:t>
      </w:r>
      <w:r>
        <w:t xml:space="preserve"> </w:t>
      </w:r>
      <w:r>
        <w:t xml:space="preserve">shows a reviewed flight with its planned corridor, flown track,</w:t>
      </w:r>
      <w:r>
        <w:t xml:space="preserve"> </w:t>
      </w:r>
      <w:r>
        <w:t xml:space="preserve">deviations and log events pinned in three dimensions; a</w:t>
      </w:r>
      <w:r>
        <w:t xml:space="preserve"> </w:t>
      </w:r>
      <w:r>
        <w:rPr>
          <w:i/>
          <w:iCs/>
        </w:rPr>
        <w:t xml:space="preserve">mission rehearsal</w:t>
      </w:r>
      <w:r>
        <w:t xml:space="preserve"> </w:t>
      </w:r>
      <w:r>
        <w:t xml:space="preserve">animates planned missions on a common</w:t>
      </w:r>
      <w:r>
        <w:t xml:space="preserve"> </w:t>
      </w:r>
      <w:r>
        <w:t xml:space="preserve">clock to inspect losses of separation before and after deconfliction. The rehearsal is kinematic (straight legs at</w:t>
      </w:r>
      <w:r>
        <w:t xml:space="preserve"> </w:t>
      </w:r>
      <w:r>
        <w:t xml:space="preserve">planned speeds, with no wind, vehicle dynamics or sensor noise). Both features were checked functionally on desktop,</w:t>
      </w:r>
      <w:r>
        <w:t xml:space="preserve"> </w:t>
      </w:r>
      <w:r>
        <w:t xml:space="preserve">but the paired standalone headset application has not been run on a headset and no user study has been conducted;</w:t>
      </w:r>
      <w:r>
        <w:t xml:space="preserve"> </w:t>
      </w:r>
      <w:r>
        <w:t xml:space="preserve">these checks confirm software function rather than evidence of improved operational safety (the full view and</w:t>
      </w:r>
      <w:r>
        <w:t xml:space="preserve"> </w:t>
      </w:r>
      <w:r>
        <w:t xml:space="preserve">Figure A.7 are in Appendix A).</w:t>
      </w:r>
    </w:p>
    <w:p>
      <w:pPr>
        <w:pStyle w:val="Heading1"/>
      </w:pPr>
      <w:bookmarkStart w:id="66" w:name="_074802e0e16f6322e726b21f081c01c392e8fbd"/>
      <w:r>
        <w:rPr>
          <w:rStyle w:val="SectionNumber"/>
        </w:rPr>
        <w:t xml:space="preserve">7</w:t>
      </w:r>
      <w:r>
        <w:tab/>
      </w:r>
      <w:r>
        <w:t xml:space="preserve">Discussion</w:t>
      </w:r>
      <w:bookmarkEnd w:id="66"/>
    </w:p>
    <w:p>
      <w:pPr>
        <w:pStyle w:val="FirstParagraph"/>
      </w:pPr>
      <w:r>
        <w:rPr>
          <w:b/>
          <w:bCs/>
        </w:rPr>
        <w:t xml:space="preserve">Attribution.</w:t>
      </w:r>
      <w:r>
        <w:t xml:space="preserve"> </w:t>
      </w:r>
      <w:r>
        <w:t xml:space="preserve">A declared rule, its held-out replication and a cross-validated model all found no usable</w:t>
      </w:r>
      <w:r>
        <w:t xml:space="preserve"> </w:t>
      </w:r>
      <w:r>
        <w:t xml:space="preserve">separation between pilot- and aircraft-caused crashes. Uploader labels are noisy, but the expert threads suggest they</w:t>
      </w:r>
      <w:r>
        <w:t xml:space="preserve"> </w:t>
      </w:r>
      <w:r>
        <w:t xml:space="preserve">are not random: where an expert reached a verdict on an aircraft-rated crash, it agreed. A more likely explanation is</w:t>
      </w:r>
      <w:r>
        <w:t xml:space="preserve"> </w:t>
      </w:r>
      <w:r>
        <w:t xml:space="preserve">that a pilot error and an aircraft fault leave similar traces in the signals a log records, which is also suggested by</w:t>
      </w:r>
      <w:r>
        <w:t xml:space="preserve"> </w:t>
      </w:r>
      <w:r>
        <w:t xml:space="preserve">how often experts themselves remained unclear. Tools that issue automatic responsibility verdicts from logs should be</w:t>
      </w:r>
      <w:r>
        <w:t xml:space="preserve"> </w:t>
      </w:r>
      <w:r>
        <w:t xml:space="preserve">evaluated against independent labels before use in investigations or claims.</w:t>
      </w:r>
    </w:p>
    <w:p>
      <w:pPr>
        <w:pStyle w:val="BodyText"/>
      </w:pPr>
      <w:r>
        <w:rPr>
          <w:b/>
          <w:bCs/>
        </w:rPr>
        <w:t xml:space="preserve">Leakage.</w:t>
      </w:r>
      <w:r>
        <w:t xml:space="preserve"> </w:t>
      </w:r>
      <w:r>
        <w:t xml:space="preserve">The model-level leakage we expected was absent, yet single checks showed it clearly: a tuning check</w:t>
      </w:r>
      <w:r>
        <w:t xml:space="preserve"> </w:t>
      </w:r>
      <w:r>
        <w:t xml:space="preserve">looked accurate only because the crash was in its window. Evaluations of log-based diagnosis should report results with</w:t>
      </w:r>
      <w:r>
        <w:t xml:space="preserve"> </w:t>
      </w:r>
      <w:r>
        <w:t xml:space="preserve">the crash window removed, and should compare against the same aircraft’s history before claiming that a signal</w:t>
      </w:r>
      <w:r>
        <w:t xml:space="preserve"> </w:t>
      </w:r>
      <w:r>
        <w:t xml:space="preserve">anticipates a crash.</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and expert diagnoses most often named tuning, configuration and</w:t>
      </w:r>
      <w:r>
        <w:t xml:space="preserve"> </w:t>
      </w:r>
      <w:r>
        <w:t xml:space="preserve">propulsion problems, which raise vibration. This is consistent with a maintenance view of UAV reliability in which</w:t>
      </w:r>
      <w:r>
        <w:t xml:space="preserve"> </w:t>
      </w:r>
      <w:r>
        <w:t xml:space="preserve">degraded condition precedes failure</w:t>
      </w:r>
      <w:r>
        <w:t xml:space="preserve"> </w:t>
      </w:r>
      <w:r>
        <w:t xml:space="preserve">[</w:t>
      </w:r>
      <w:hyperlink w:anchor="_4f9a794a6a4ddf2789379e73f8e74e34b9538b4">
        <w:r>
          <w:rPr>
            <w:rStyle w:val="Hyperlink"/>
          </w:rPr>
          <w:t xml:space="preserve">23</w:t>
        </w:r>
      </w:hyperlink>
      <w:r>
        <w:t xml:space="preserve">]</w:t>
      </w:r>
      <w:r>
        <w:t xml:space="preserve">. It supports ranking a fleet’s drones by vibration</w:t>
      </w:r>
      <w:r>
        <w:t xml:space="preserve"> </w:t>
      </w:r>
      <w:r>
        <w:t xml:space="preserve">measured the same way and inspecting the roughest; it does not support a per-flight crash warning, the screening</w:t>
      </w:r>
      <w:r>
        <w:t xml:space="preserve"> </w:t>
      </w:r>
      <w:r>
        <w:t xml:space="preserve">gain is moderate, and the effect rests on the older vibration estimate: a replication on the newer metric was</w:t>
      </w:r>
      <w:r>
        <w:t xml:space="preserve"> </w:t>
      </w:r>
      <w:r>
        <w:t xml:space="preserve">inconclusive (</w:t>
      </w:r>
      <m:oMath>
        <m:r>
          <m:t>n</m:t>
        </m:r>
        <m:r>
          <m:rPr>
            <m:sty m:val="p"/>
          </m:rPr>
          <m:t>=</m:t>
        </m:r>
        <m:r>
          <m:t>19</m:t>
        </m:r>
      </m:oMath>
      <w:r>
        <w:t xml:space="preserve">,</w:t>
      </w:r>
      <w:r>
        <w:t xml:space="preserve"> </w:t>
      </w:r>
      <m:oMath>
        <m:r>
          <m:t>p</m:t>
        </m:r>
        <m:r>
          <m:rPr>
            <m:sty m:val="p"/>
          </m:rPr>
          <m:t>=</m:t>
        </m:r>
        <m:r>
          <m:t>0.25</m:t>
        </m:r>
      </m:oMath>
      <w:r>
        <w:t xml:space="preserve">), so this main positive result needs stronger replication in modern fleets.</w:t>
      </w:r>
    </w:p>
    <w:p>
      <w:pPr>
        <w:pStyle w:val="BodyText"/>
      </w:pPr>
      <w:r>
        <w:rPr>
          <w:b/>
          <w:bCs/>
        </w:rPr>
        <w:t xml:space="preserve">From findings to a tool.</w:t>
      </w:r>
      <w:r>
        <w:t xml:space="preserve"> </w:t>
      </w:r>
      <w:r>
        <w:t xml:space="preserve">Section 6 turns these results into design decisions for AeroFleet 2.0,</w:t>
      </w:r>
      <w:r>
        <w:t xml:space="preserve"> </w:t>
      </w:r>
      <w:r>
        <w:t xml:space="preserve">an operator’s ground-side assurance tool. The common thread is that the tool shows evidence and ranks drones, and does not name a cause.</w:t>
      </w:r>
    </w:p>
    <w:p>
      <w:pPr>
        <w:pStyle w:val="BodyText"/>
      </w:pPr>
      <w:r>
        <w:rPr>
          <w:b/>
          <w:bCs/>
        </w:rPr>
        <w:t xml:space="preserve">Language models.</w:t>
      </w:r>
      <w:r>
        <w:t xml:space="preserve"> </w:t>
      </w:r>
      <w:r>
        <w:t xml:space="preserve">On this task small local models added errors and an attack surface rather than accuracy.</w:t>
      </w:r>
      <w:r>
        <w:t xml:space="preserve"> </w:t>
      </w:r>
      <w:r>
        <w:t xml:space="preserve">A debate-style panel, related to multi-agent debate</w:t>
      </w:r>
      <w:r>
        <w:t xml:space="preserve"> </w:t>
      </w:r>
      <w:r>
        <w:t xml:space="preserve">[</w:t>
      </w:r>
      <w:hyperlink w:anchor="_06ffb55068ea9e0b3a7aa6e754cfcffab5f832f">
        <w:r>
          <w:rPr>
            <w:rStyle w:val="Hyperlink"/>
          </w:rPr>
          <w:t xml:space="preserve">26</w:t>
        </w:r>
      </w:hyperlink>
      <w:r>
        <w:t xml:space="preserve">]</w:t>
      </w:r>
      <w:r>
        <w:t xml:space="preserve">, did not help at this model size, and the adversarial result echoes concerns about</w:t>
      </w:r>
      <w:r>
        <w:t xml:space="preserve"> </w:t>
      </w:r>
      <w:r>
        <w:t xml:space="preserve">steering through injected content</w:t>
      </w:r>
      <w:r>
        <w:t xml:space="preserve"> </w:t>
      </w:r>
      <w:r>
        <w:t xml:space="preserve">[</w:t>
      </w:r>
      <w:hyperlink w:anchor="_8a3cc11b1319c0fe6bf6179f8196eab503a64d0">
        <w:r>
          <w:rPr>
            <w:rStyle w:val="Hyperlink"/>
          </w:rPr>
          <w:t xml:space="preserve">27</w:t>
        </w:r>
      </w:hyperlink>
      <w:r>
        <w:t xml:space="preserve">]</w:t>
      </w:r>
      <w:r>
        <w:t xml:space="preserve">. Larger models were not tested.</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7</w:t>
        </w:r>
      </w:hyperlink>
      <w:r>
        <w:t xml:space="preserve">,</w:t>
      </w:r>
      <w:hyperlink w:anchor="_446d2d8311e3f2ab8e5f2830e712f064a3280b9">
        <w:r>
          <w:rPr>
            <w:rStyle w:val="Hyperlink"/>
          </w:rPr>
          <w:t xml:space="preserve">8</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9</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w:t>
      </w:r>
      <w:r>
        <w:t xml:space="preserve"> </w:t>
      </w:r>
      <w:r>
        <w:t xml:space="preserve">ranking of AeroFleet 2.0 is written to the signed record before outcomes occur and crashes, unplanned repairs and defects</w:t>
      </w:r>
      <w:r>
        <w:t xml:space="preserve"> </w:t>
      </w:r>
      <w:r>
        <w:t xml:space="preserve">found at inspection are compared between flagged and unflagged drones over six months; and a within-subjects user study</w:t>
      </w:r>
      <w:r>
        <w:t xml:space="preserve"> </w:t>
      </w:r>
      <w:r>
        <w:t xml:space="preserve">comparing the three-dimensional views with a two-dimensional map on tasks with known answers.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w:t>
      </w:r>
      <w:r>
        <w:t xml:space="preserve"> </w:t>
      </w:r>
      <w:r>
        <w:t xml:space="preserve">evidence.</w:t>
      </w:r>
    </w:p>
    <w:p>
      <w:pPr>
        <w:pStyle w:val="Heading1"/>
      </w:pPr>
      <w:bookmarkStart w:id="67" w:name="_82b82981e21bad8167d56d1f0b74a832e215810"/>
      <w:r>
        <w:rPr>
          <w:rStyle w:val="SectionNumber"/>
        </w:rPr>
        <w:t xml:space="preserve">8</w:t>
      </w:r>
      <w:r>
        <w:tab/>
      </w:r>
      <w:r>
        <w:t xml:space="preserve">Threats to validity</w:t>
      </w:r>
      <w:bookmarkEnd w:id="67"/>
    </w:p>
    <w:p>
      <w:pPr>
        <w:pStyle w:val="FirstParagraph"/>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The expert-diagnosed sample is useful, but many logs</w:t>
      </w:r>
      <w:r>
        <w:t xml:space="preserve"> </w:t>
      </w:r>
      <w:r>
        <w:t xml:space="preserve">are no longer available (only 37 of 73 could still be downloaded). Controls without a crash-rated log may have crashed</w:t>
      </w:r>
      <w:r>
        <w:t xml:space="preserve"> </w:t>
      </w:r>
      <w:r>
        <w:t xml:space="preserve">without a rating; this misclassification biases the between-drone test towards no difference, so the observed effect is,</w:t>
      </w:r>
      <w:r>
        <w:t xml:space="preserve"> </w:t>
      </w:r>
      <w:r>
        <w:t xml:space="preserve">if anything, conservative. Forum diagnoses were first recorded with AI assistance and verified by quotation; a blind</w:t>
      </w:r>
      <w:r>
        <w:t xml:space="preserve"> </w:t>
      </w:r>
      <w:r>
        <w:t xml:space="preserve">second coding agreed well (kappa 0.81 for the conclusion, 0.73 for the cause) but not perfectly.</w:t>
      </w:r>
    </w:p>
    <w:p>
      <w:pPr>
        <w:pStyle w:val="BodyText"/>
      </w:pPr>
      <w:r>
        <w:rPr>
          <w:b/>
          <w:bCs/>
        </w:rPr>
        <w:t xml:space="preserve">Selection.</w:t>
      </w:r>
      <w:r>
        <w:t xml:space="preserve"> </w:t>
      </w:r>
      <w:r>
        <w:t xml:space="preserve">The archive is self-selected, PX4-only and rich in development and test flights, and crash-rated</w:t>
      </w:r>
      <w:r>
        <w:t xml:space="preserve"> </w:t>
      </w:r>
      <w:r>
        <w:t xml:space="preserve">logs differ from well-rated ones in duration and firmware era (Table 2). Results may not transfer to</w:t>
      </w:r>
      <w:r>
        <w:t xml:space="preserve"> </w:t>
      </w:r>
      <w:r>
        <w:t xml:space="preserve">commercial ArduPilot fleets or to proprietary autopilots.</w:t>
      </w:r>
    </w:p>
    <w:p>
      <w:pPr>
        <w:pStyle w:val="BodyText"/>
      </w:pPr>
      <w:r>
        <w:rPr>
          <w:b/>
          <w:bCs/>
        </w:rPr>
        <w:t xml:space="preserve">Measurement.</w:t>
      </w:r>
      <w:r>
        <w:t xml:space="preserve"> </w:t>
      </w:r>
      <w:r>
        <w:t xml:space="preserve">The crash moment is estimated; the within-drone result did not depend on the threshold.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r>
        <w:t xml:space="preserve"> </w:t>
      </w:r>
      <w:r>
        <w:t xml:space="preserve">and matching used hardware, firmware, vehicle type and, in a sensitivity analysis, airframe, but not propellers, payloads</w:t>
      </w:r>
      <w:r>
        <w:t xml:space="preserve"> </w:t>
      </w:r>
      <w:r>
        <w:t xml:space="preserve">or missions.</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Only 37 of the 73 logs behind expert aircraft diagnoses with a checkable cause could still be</w:t>
      </w:r>
      <w:r>
        <w:t xml:space="preserve"> </w:t>
      </w:r>
      <w:r>
        <w:t xml:space="preserve">downloaded, so several diagnostic comparisons in Table 7 have very small sample sizes (</w:t>
      </w:r>
      <m:oMath>
        <m:r>
          <m:t>n</m:t>
        </m:r>
        <m:r>
          <m:rPr>
            <m:sty m:val="p"/>
          </m:rPr>
          <m:t>=</m:t>
        </m:r>
        <m:r>
          <m:t>2</m:t>
        </m:r>
      </m:oMath>
      <w:r>
        <w:t xml:space="preserve"> </w:t>
      </w:r>
      <w:r>
        <w:t xml:space="preserve">to</w:t>
      </w:r>
      <w:r>
        <w:t xml:space="preserve"> </w:t>
      </w:r>
      <m:oMath>
        <m:r>
          <m:t>9</m:t>
        </m:r>
      </m:oMath>
      <w:r>
        <w:t xml:space="preserve">);</w:t>
      </w:r>
      <w:r>
        <w:t xml:space="preserve"> </w:t>
      </w:r>
      <w:r>
        <w:t xml:space="preserve">its results are indicative rather than definitive.</w:t>
      </w:r>
    </w:p>
    <w:p>
      <w:pPr>
        <w:pStyle w:val="BodyText"/>
      </w:pPr>
      <w:r>
        <w:rPr>
          <w:b/>
          <w:bCs/>
        </w:rPr>
        <w:t xml:space="preserve">Power.</w:t>
      </w:r>
      <w:r>
        <w:t xml:space="preserve"> </w:t>
      </w:r>
      <w:r>
        <w:t xml:space="preserve">Some comparisons are small (14 pilot-caused matched sets, 12 sets with the newer vibration metric,</w:t>
      </w:r>
      <w:r>
        <w:t xml:space="preserve"> </w:t>
      </w:r>
      <w:r>
        <w:t xml:space="preserve">three vibration-diagnosed logs). Null results there are not evidence of no effect.</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manuscript itself acknowledges that the fixed rule’s performance</w:t>
      </w:r>
      <w:r>
        <w:t xml:space="preserve"> </w:t>
      </w:r>
      <w:r>
        <w:t xml:space="preserve">may be optimistic on cases created by the same authors who designed the rule (0 wrong answers is close to a training score);</w:t>
      </w:r>
      <w:r>
        <w:t xml:space="preserve"> </w:t>
      </w:r>
      <w:r>
        <w:t xml:space="preserve">a blind set of cases written by someone who has not seen the rule is in preparation. Larger models or alternative prompt</w:t>
      </w:r>
      <w:r>
        <w:t xml:space="preserve"> </w:t>
      </w:r>
      <w:r>
        <w:t xml:space="preserve">architectures were not tested.</w:t>
      </w:r>
    </w:p>
    <w:p>
      <w:pPr>
        <w:pStyle w:val="BodyText"/>
      </w:pPr>
      <w:r>
        <w:rPr>
          <w:b/>
          <w:bCs/>
        </w:rPr>
        <w:t xml:space="preserve">The tool.</w:t>
      </w:r>
      <w:r>
        <w:t xml:space="preserve"> </w:t>
      </w:r>
      <w:r>
        <w:t xml:space="preserve">AeroFleet 2.0’s checks are primarily engineering tests on archive data and synthetic fault injections,</w:t>
      </w:r>
      <w:r>
        <w:t xml:space="preserve"> </w:t>
      </w:r>
      <w:r>
        <w:t xml:space="preserve">not evidence of improved operational safety. Plans in the injection test were built from the flights themselves; the</w:t>
      </w:r>
      <w:r>
        <w:t xml:space="preserve"> </w:t>
      </w:r>
      <w:r>
        <w:t xml:space="preserve">description search was tested on forum titles, which are shorter and more varied than an operator’s report, and its symptom</w:t>
      </w:r>
      <w:r>
        <w:t xml:space="preserve"> </w:t>
      </w:r>
      <w:r>
        <w:t xml:space="preserve">lists were written by the authors; prospective fleet evaluation of the vibration ranking and user studies of the</w:t>
      </w:r>
      <w:r>
        <w:t xml:space="preserve"> </w:t>
      </w:r>
      <w:r>
        <w:t xml:space="preserve">three-dimensional views remain future work (pages 20–25).</w:t>
      </w:r>
    </w:p>
    <w:p>
      <w:pPr>
        <w:pStyle w:val="Heading1"/>
      </w:pPr>
      <w:bookmarkStart w:id="68" w:name="_0cf7f8e9027f9f9352f3019b4ede1d43d537ff7"/>
      <w:r>
        <w:rPr>
          <w:rStyle w:val="SectionNumber"/>
        </w:rPr>
        <w:t xml:space="preserve">9</w:t>
      </w:r>
      <w:r>
        <w:tab/>
      </w:r>
      <w:r>
        <w:t xml:space="preserve">Conclusion</w:t>
      </w:r>
      <w:bookmarkEnd w:id="68"/>
    </w:p>
    <w:p>
      <w:pPr>
        <w:pStyle w:val="FirstParagraph"/>
      </w:pPr>
      <w:r>
        <w:t xml:space="preserve">On real, public crash logs, configuration settings did not distinguish crashes, neither rules nor a model could tell</w:t>
      </w:r>
      <w:r>
        <w:t xml:space="preserve"> </w:t>
      </w:r>
      <w:r>
        <w:t xml:space="preserve">whether the pilot or the aircraft was responsible, and the flight that crashed looked like the same drone’s earlier</w:t>
      </w:r>
      <w:r>
        <w:t xml:space="preserve"> </w:t>
      </w:r>
      <w:r>
        <w:t xml:space="preserve">flights. What the logs did reveal, on the older vibration estimate, was which drones were rougher than their peers;</w:t>
      </w:r>
      <w:r>
        <w:t xml:space="preserve"> </w:t>
      </w:r>
      <w:r>
        <w:t xml:space="preserve">whether the newer metric shows the same remains open. Log analysis for operators is better</w:t>
      </w:r>
      <w:r>
        <w:t xml:space="preserve"> </w:t>
      </w:r>
      <w:r>
        <w:t xml:space="preserve">aimed at fleet-level inspection ranking and at presenting evidence to a human investigator, and claims of automatic</w:t>
      </w:r>
      <w:r>
        <w:t xml:space="preserve"> </w:t>
      </w:r>
      <w:r>
        <w:t xml:space="preserve">crash attribution should be tested with the crash window removed and against each aircraft’s own history. A tool</w:t>
      </w:r>
      <w:r>
        <w:t xml:space="preserve"> </w:t>
      </w:r>
      <w:r>
        <w:t xml:space="preserve">built on these results can be useful without naming causes: it can order the evidence, rank the drones that deserve</w:t>
      </w:r>
      <w:r>
        <w:t xml:space="preserve"> </w:t>
      </w:r>
      <w:r>
        <w:t xml:space="preserve">inspection, keep a record that can be checked, and let a person see a flight or a plan in three dimensions.</w:t>
      </w:r>
    </w:p>
    <w:p>
      <w:pPr>
        <w:pStyle w:val="Heading1"/>
      </w:pPr>
      <w:bookmarkStart w:id="69" w:name="_84dc18e74b75db6057c8c16a8f70e097972540a"/>
      <w:r>
        <w:t xml:space="preserve">Declaration of competing interest</w:t>
      </w:r>
      <w:bookmarkEnd w:id="69"/>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0" w:name="_1f74eb43af444059c7518034463b6c89b1cacf4"/>
      <w:r>
        <w:t xml:space="preserve">Declaration of generative AI and AI-assisted technologies in the manuscript preparation process</w:t>
      </w:r>
      <w:bookmarkEnd w:id="70"/>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71" w:name="_ea5c66868f283220c19382d0fdd5a852ec570ca"/>
      <w:r>
        <w:t xml:space="preserve">Data availability</w:t>
      </w:r>
      <w:bookmarkEnd w:id="71"/>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2">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3" w:name="_funding"/>
      <w:r>
        <w:t xml:space="preserve">Funding</w:t>
      </w:r>
      <w:bookmarkEnd w:id="73"/>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74" w:name="_2fdde5e9aa4343cb9ee229a5abab9cb4de37fc8"/>
      <w:r>
        <w:rPr>
          <w:rStyle w:val="SectionNumber"/>
        </w:rPr>
        <w:t xml:space="preserve">10</w:t>
      </w:r>
      <w:r>
        <w:tab/>
      </w:r>
      <w:r>
        <w:t xml:space="preserve">Three-dimensional replay and mission rehearsal</w:t>
      </w:r>
      <w:bookmarkEnd w:id="74"/>
    </w:p>
    <w:p>
      <w:pPr>
        <w:pStyle w:val="FirstParagraph"/>
      </w:pPr>
      <w:r>
        <w:t xml:space="preserve">Deviations, heights and separation between drones are spatial, and a two-dimensional plot hides height. The tool</w:t>
      </w:r>
      <w:r>
        <w:t xml:space="preserve"> </w:t>
      </w:r>
      <w:r>
        <w:t xml:space="preserve">therefore draws flights on a virtual tabletop, a world in miniature</w:t>
      </w:r>
      <w:r>
        <w:t xml:space="preserve"> </w:t>
      </w:r>
      <w:r>
        <w:t xml:space="preserve">[</w:t>
      </w:r>
      <w:hyperlink w:anchor="_587a2a13103f5a9c7c9f5fbc8ef0c5dfd686e3c">
        <w:r>
          <w:rPr>
            <w:rStyle w:val="Hyperlink"/>
          </w:rPr>
          <w:t xml:space="preserve">32</w:t>
        </w:r>
      </w:hyperlink>
      <w:r>
        <w:t xml:space="preserve">]</w:t>
      </w:r>
      <w:r>
        <w:t xml:space="preserve">, that can be viewed in a</w:t>
      </w:r>
      <w:r>
        <w:t xml:space="preserve"> </w:t>
      </w:r>
      <w:r>
        <w:t xml:space="preserve">browser, in immersive virtual reality or, on a passthrough headset, in mixed reality on a real desk (WebXR).</w:t>
      </w:r>
    </w:p>
    <w:p>
      <w:pPr>
        <w:pStyle w:val="BodyText"/>
      </w:pPr>
      <w:r>
        <w:t xml:space="preserve">A</w:t>
      </w:r>
      <w:r>
        <w:t xml:space="preserve"> </w:t>
      </w:r>
      <w:r>
        <w:rPr>
          <w:i/>
          <w:iCs/>
        </w:rPr>
        <w:t xml:space="preserve">flight replay</w:t>
      </w:r>
      <w:r>
        <w:t xml:space="preserve"> </w:t>
      </w:r>
      <w:r>
        <w:t xml:space="preserve">shows a reviewed flight: the approved plan dashed, the flown track green within tolerance and</w:t>
      </w:r>
      <w:r>
        <w:t xml:space="preserve"> </w:t>
      </w:r>
      <w:r>
        <w:t xml:space="preserve">red during a deviation, the log’s events pinned where they happened, and a playhead that can be scrubbed or played at</w:t>
      </w:r>
      <w:r>
        <w:t xml:space="preserve"> </w:t>
      </w:r>
      <w:r>
        <w:t xml:space="preserve">ten times real speed.</w:t>
      </w:r>
    </w:p>
    <w:p>
      <w:pPr>
        <w:pStyle w:val="BodyText"/>
      </w:pPr>
      <w:r>
        <w:t xml:space="preserve">A</w:t>
      </w:r>
      <w:r>
        <w:t xml:space="preserve"> </w:t>
      </w:r>
      <w:r>
        <w:rPr>
          <w:i/>
          <w:iCs/>
        </w:rPr>
        <w:t xml:space="preserve">mission rehearsal</w:t>
      </w:r>
      <w:r>
        <w:t xml:space="preserve"> </w:t>
      </w:r>
      <w:r>
        <w:t xml:space="preserve">shows planned missions before anyone flies: the deconfliction check</w:t>
      </w:r>
      <w:r>
        <w:t xml:space="preserve"> </w:t>
      </w:r>
      <w:r>
        <w:t xml:space="preserve">turns each mission file into a position-over-time trajectory on a common clock (straight legs at stated climb, cruise</w:t>
      </w:r>
      <w:r>
        <w:t xml:space="preserve"> </w:t>
      </w:r>
      <w:r>
        <w:t xml:space="preserve">and descent speeds), finds every pair closer than the separation distance and resolves conflicts by a launch delay or,</w:t>
      </w:r>
      <w:r>
        <w:t xml:space="preserve"> </w:t>
      </w:r>
      <w:r>
        <w:t xml:space="preserve">where allowed, a different cruise height. The rehearsal flies all missions on that clock, as uploaded and as</w:t>
      </w:r>
      <w:r>
        <w:t xml:space="preserve"> </w:t>
      </w:r>
      <w:r>
        <w:t xml:space="preserve">rescheduled, with each loss of separation drawn where and when it occurs (Figure A.7). It is a kinematic rehearsal of the plan, not</w:t>
      </w:r>
      <w:r>
        <w:t xml:space="preserve"> </w:t>
      </w:r>
      <w:r>
        <w:t xml:space="preserve">a simulation of the aircraft: there is no wind, no vehicle dynamics and no sensor error, so it shows what the plan</w:t>
      </w:r>
      <w:r>
        <w:t xml:space="preserve"> </w:t>
      </w:r>
      <w:r>
        <w:t xml:space="preserve">implies if it is flown as written, which is the assumption the planned-versus-flown check then tests after the</w:t>
      </w:r>
      <w:r>
        <w:t xml:space="preserve"> </w:t>
      </w:r>
      <w:r>
        <w:t xml:space="preserve">flight.</w:t>
      </w:r>
    </w:p>
    <w:p>
      <w:pPr>
        <w:pStyle w:val="BodyText"/>
      </w:pPr>
      <w:r>
        <w:t xml:space="preserve">The replay and rehearsal have been checked functionally on desktop; a paired standalone headset application</w:t>
      </w:r>
      <w:r>
        <w:t xml:space="preserve"> </w:t>
      </w:r>
      <w:r>
        <w:t xml:space="preserve">compiles but has not been run on a headset, and no user study has been carried out, so we make no claim that the</w:t>
      </w:r>
      <w:r>
        <w:t xml:space="preserve"> </w:t>
      </w:r>
      <w:r>
        <w:t xml:space="preserve">three-dimensional view improves decisions.</w:t>
      </w:r>
    </w:p>
    <w:bookmarkStart w:id="78" w:name="_bf99149bad0dada6e2c9862d0554e4b7cad348e"/>
    <w:p>
      <w:pPr>
        <w:pStyle w:val="CaptionedFigure"/>
        <w:jc w:val="center"/>
      </w:pPr>
      <w:r>
        <w:drawing>
          <wp:inline>
            <wp:extent cx="5334000" cy="4488933"/>
            <wp:effectExtent b="0" l="0" r="0" t="0"/>
            <wp:docPr descr="" title="" id="76" name="Picture"/>
            <a:graphic>
              <a:graphicData uri="http://schemas.openxmlformats.org/drawingml/2006/picture">
                <pic:pic>
                  <pic:nvPicPr>
                    <pic:cNvPr descr="fig_rehearsal.png" id="77" name="Picture"/>
                    <pic:cNvPicPr>
                      <a:picLocks noChangeArrowheads="1" noChangeAspect="1"/>
                    </pic:cNvPicPr>
                  </pic:nvPicPr>
                  <pic:blipFill>
                    <a:blip r:embed="rId75"/>
                    <a:stretch>
                      <a:fillRect/>
                    </a:stretch>
                  </pic:blipFill>
                  <pic:spPr bwMode="auto">
                    <a:xfrm>
                      <a:off x="0" y="0"/>
                      <a:ext cx="5334000" cy="4488933"/>
                    </a:xfrm>
                    <a:prstGeom prst="rect">
                      <a:avLst/>
                    </a:prstGeom>
                    <a:noFill/>
                    <a:ln w="9525">
                      <a:noFill/>
                      <a:headEnd/>
                      <a:tailEnd/>
                    </a:ln>
                  </pic:spPr>
                </pic:pic>
              </a:graphicData>
            </a:graphic>
          </wp:inline>
        </w:drawing>
      </w:r>
    </w:p>
    <w:p>
      <w:pPr>
        <w:pStyle w:val="ImageCaption"/>
      </w:pPr>
      <w:r>
        <w:t xml:space="preserve">Figure A.7. Mission rehearsal in the tool’s tabletop view (desktop rendering; the same scene opens in a WebXR headset).</w:t>
      </w:r>
      <w:r>
        <w:t xml:space="preserve"> </w:t>
      </w:r>
      <w:r>
        <w:t xml:space="preserve">Five planned missions over a 2 km table, heights exaggerated four times, each mission in its own colour. (a) As</w:t>
      </w:r>
      <w:r>
        <w:t xml:space="preserve"> </w:t>
      </w:r>
      <w:r>
        <w:t xml:space="preserve">uploaded, 12 s after launch: three missions leaving one depot together occupy the same point (overlapping labels) and</w:t>
      </w:r>
      <w:r>
        <w:t xml:space="preserve"> </w:t>
      </w:r>
      <w:r>
        <w:t xml:space="preserve">the red sphere marks their loss of separation. (b) The schedule produced by the deconfliction check, 45 s after the</w:t>
      </w:r>
      <w:r>
        <w:t xml:space="preserve"> </w:t>
      </w:r>
      <w:r>
        <w:t xml:space="preserve">first launch: two launches are delayed and no pair comes within 15 m. Straight legs at planned speeds, no wind.</w:t>
      </w:r>
    </w:p>
    <w:bookmarkEnd w:id="78"/>
    <w:p>
      <w:pPr>
        <w:pStyle w:val="Heading1"/>
      </w:pPr>
      <w:bookmarkStart w:id="79" w:name="_bibliography"/>
      <w:r>
        <w:t xml:space="preserve">References</w:t>
      </w:r>
      <w:bookmarkEnd w:id="79"/>
    </w:p>
    <w:bookmarkStart w:id="141" w:name="_refs"/>
    <w:bookmarkStart w:id="80"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0"/>
    <w:bookmarkStart w:id="81"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1"/>
    <w:bookmarkStart w:id="82"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2"/>
    <w:bookmarkStart w:id="83"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3"/>
    <w:bookmarkStart w:id="85"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4">
        <w:r>
          <w:rPr>
            <w:rStyle w:val="Hyperlink"/>
          </w:rPr>
          <w:t xml:space="preserve">10.1109/ICSE55347.2025.00223</w:t>
        </w:r>
      </w:hyperlink>
      <w:r>
        <w:t xml:space="preserve">.</w:t>
      </w:r>
    </w:p>
    <w:bookmarkEnd w:id="85"/>
    <w:bookmarkStart w:id="87"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6">
        <w:r>
          <w:rPr>
            <w:rStyle w:val="Hyperlink"/>
          </w:rPr>
          <w:t xml:space="preserve">10.1016/j.fsidi.2026.302051</w:t>
        </w:r>
      </w:hyperlink>
      <w:r>
        <w:t xml:space="preserve">.</w:t>
      </w:r>
    </w:p>
    <w:bookmarkEnd w:id="87"/>
    <w:bookmarkStart w:id="89" w:name="_d75d7cf63098afa5d33e189bc1a163022e7ecdc"/>
    <w:p>
      <w:pPr>
        <w:pStyle w:val="Bibliography"/>
      </w:pPr>
      <w:r>
        <w:t xml:space="preserve">[7]</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88">
        <w:r>
          <w:rPr>
            <w:rStyle w:val="Hyperlink"/>
          </w:rPr>
          <w:t xml:space="preserve">10.1177/0278364920966642</w:t>
        </w:r>
      </w:hyperlink>
      <w:r>
        <w:t xml:space="preserve">.</w:t>
      </w:r>
    </w:p>
    <w:bookmarkEnd w:id="89"/>
    <w:bookmarkStart w:id="91" w:name="_446d2d8311e3f2ab8e5f2830e712f064a3280b9"/>
    <w:p>
      <w:pPr>
        <w:pStyle w:val="Bibliography"/>
      </w:pPr>
      <w:r>
        <w:t xml:space="preserve">[8]</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0">
        <w:r>
          <w:rPr>
            <w:rStyle w:val="Hyperlink"/>
          </w:rPr>
          <w:t xml:space="preserve">10.1177/02783649241305153</w:t>
        </w:r>
      </w:hyperlink>
      <w:r>
        <w:t xml:space="preserve">.</w:t>
      </w:r>
    </w:p>
    <w:bookmarkEnd w:id="91"/>
    <w:bookmarkStart w:id="92" w:name="_973650d78dc352a8b25ace59ab002a1d91cdfc9"/>
    <w:p>
      <w:pPr>
        <w:pStyle w:val="Bibliography"/>
      </w:pPr>
      <w:r>
        <w:t xml:space="preserve">[9]</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2"/>
    <w:bookmarkStart w:id="94" w:name="_42246838952b0ed0d35bd475d264714b9e743f7"/>
    <w:p>
      <w:pPr>
        <w:pStyle w:val="Bibliography"/>
      </w:pPr>
      <w:r>
        <w:t xml:space="preserve">[10]</w:t>
      </w:r>
      <w:r>
        <w:t xml:space="preserve"> </w:t>
      </w:r>
      <w:r>
        <w:t xml:space="preserve">	</w:t>
      </w:r>
      <w:r>
        <w:t xml:space="preserve">G. Wild, J. Murray, G. Baxter, Exploring civil drone accidents and incidents to help prevent potential air disasters, Aerospace 3 (2016) 22. https://doi.org/</w:t>
      </w:r>
      <w:hyperlink r:id="rId93">
        <w:r>
          <w:rPr>
            <w:rStyle w:val="Hyperlink"/>
          </w:rPr>
          <w:t xml:space="preserve">10.3390/aerospace3030022</w:t>
        </w:r>
      </w:hyperlink>
      <w:r>
        <w:t xml:space="preserve">.</w:t>
      </w:r>
    </w:p>
    <w:bookmarkEnd w:id="94"/>
    <w:bookmarkStart w:id="95" w:name="_b513b568a9a02649a1ddc461a1dd01e876732a2"/>
    <w:p>
      <w:pPr>
        <w:pStyle w:val="Bibliography"/>
      </w:pPr>
      <w:r>
        <w:t xml:space="preserve">[11]</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95"/>
    <w:bookmarkStart w:id="97" w:name="_3541019a36f31423dbace231a12fca4d5e5f1ad"/>
    <w:p>
      <w:pPr>
        <w:pStyle w:val="Bibliography"/>
      </w:pPr>
      <w:r>
        <w:t xml:space="preserve">[12]</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6">
        <w:r>
          <w:rPr>
            <w:rStyle w:val="Hyperlink"/>
          </w:rPr>
          <w:t xml:space="preserve">10.1145/2382577.2382579</w:t>
        </w:r>
      </w:hyperlink>
      <w:r>
        <w:t xml:space="preserve">.</w:t>
      </w:r>
    </w:p>
    <w:bookmarkEnd w:id="97"/>
    <w:bookmarkStart w:id="99" w:name="_77239db318a405bdd9ca0cc5db74d4c41b2a03f"/>
    <w:p>
      <w:pPr>
        <w:pStyle w:val="Bibliography"/>
      </w:pPr>
      <w:r>
        <w:t xml:space="preserve">[13]</w:t>
      </w:r>
      <w:r>
        <w:t xml:space="preserve"> </w:t>
      </w:r>
      <w:r>
        <w:t xml:space="preserve">	</w:t>
      </w:r>
      <w:r>
        <w:t xml:space="preserve">S. Kapoor, A. Narayanan, Leakage and the reproducibility crisis in machine-learning-based science, Patterns 4 (2023) 100804. https://doi.org/</w:t>
      </w:r>
      <w:hyperlink r:id="rId98">
        <w:r>
          <w:rPr>
            <w:rStyle w:val="Hyperlink"/>
          </w:rPr>
          <w:t xml:space="preserve">10.1016/j.patter.2023.100804</w:t>
        </w:r>
      </w:hyperlink>
      <w:r>
        <w:t xml:space="preserve">.</w:t>
      </w:r>
    </w:p>
    <w:bookmarkEnd w:id="99"/>
    <w:bookmarkStart w:id="101" w:name="_7bef8dc44b5ed9bb7ced7ca5f392a78a76d6601"/>
    <w:p>
      <w:pPr>
        <w:pStyle w:val="Bibliography"/>
      </w:pPr>
      <w:r>
        <w:t xml:space="preserve">[14]</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0">
        <w:r>
          <w:rPr>
            <w:rStyle w:val="Hyperlink"/>
          </w:rPr>
          <w:t xml:space="preserve">10.1109/ICRA.2015.7140074</w:t>
        </w:r>
      </w:hyperlink>
      <w:r>
        <w:t xml:space="preserve">.</w:t>
      </w:r>
    </w:p>
    <w:bookmarkEnd w:id="101"/>
    <w:bookmarkStart w:id="102" w:name="_d96f71c5379cbcad3bc75bfc7936eeacbaeb4ed"/>
    <w:p>
      <w:pPr>
        <w:pStyle w:val="Bibliography"/>
      </w:pPr>
      <w:r>
        <w:t xml:space="preserve">[15]</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2"/>
    <w:bookmarkStart w:id="104" w:name="_f6e66cea9a1ea78573b548bc5cf8461c81300ca"/>
    <w:p>
      <w:pPr>
        <w:pStyle w:val="Bibliography"/>
      </w:pPr>
      <w:r>
        <w:t xml:space="preserve">[16]</w:t>
      </w:r>
      <w:r>
        <w:t xml:space="preserve"> </w:t>
      </w:r>
      <w:r>
        <w:t xml:space="preserve">	</w:t>
      </w:r>
      <w:r>
        <w:t xml:space="preserve">B.A. Nosek, C.R. Ebersole, A.C. DeHaven, D.T. Mellor, The preregistration revolution, Proceedings of the National Academy of Sciences 115 (2018) 2600–2606. https://doi.org/</w:t>
      </w:r>
      <w:hyperlink r:id="rId103">
        <w:r>
          <w:rPr>
            <w:rStyle w:val="Hyperlink"/>
          </w:rPr>
          <w:t xml:space="preserve">10.1073/pnas.1708274114</w:t>
        </w:r>
      </w:hyperlink>
      <w:r>
        <w:t xml:space="preserve">.</w:t>
      </w:r>
    </w:p>
    <w:bookmarkEnd w:id="104"/>
    <w:bookmarkStart w:id="105"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5"/>
    <w:bookmarkStart w:id="107"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6">
        <w:r>
          <w:rPr>
            <w:rStyle w:val="Hyperlink"/>
          </w:rPr>
          <w:t xml:space="preserve">10.3390/s26103188</w:t>
        </w:r>
      </w:hyperlink>
      <w:r>
        <w:t xml:space="preserve">.</w:t>
      </w:r>
    </w:p>
    <w:bookmarkEnd w:id="107"/>
    <w:bookmarkStart w:id="109" w:name="_de2316363361acc29c6a15415cb3110e85473cd"/>
    <w:p>
      <w:pPr>
        <w:pStyle w:val="Bibliography"/>
      </w:pPr>
      <w:r>
        <w:t xml:space="preserve">[19]</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08">
        <w:r>
          <w:rPr>
            <w:rStyle w:val="Hyperlink"/>
          </w:rPr>
          <w:t xml:space="preserve">10.3390/drones6110330</w:t>
        </w:r>
      </w:hyperlink>
      <w:r>
        <w:t xml:space="preserve">.</w:t>
      </w:r>
    </w:p>
    <w:bookmarkEnd w:id="109"/>
    <w:bookmarkStart w:id="111" w:name="_1ece912d6a7cc2c7f97bdecc84d0912f3af390e"/>
    <w:p>
      <w:pPr>
        <w:pStyle w:val="Bibliography"/>
      </w:pPr>
      <w:r>
        <w:t xml:space="preserve">[20]</w:t>
      </w:r>
      <w:r>
        <w:t xml:space="preserve"> </w:t>
      </w:r>
      <w:r>
        <w:t xml:space="preserve">	</w:t>
      </w:r>
      <w:r>
        <w:t xml:space="preserve">E. Khalastchi, M. Kalech, On fault detection and diagnosis in robotic systems, ACM Computing Surveys 51 (2018) 9:1–9:24. https://doi.org/</w:t>
      </w:r>
      <w:hyperlink r:id="rId110">
        <w:r>
          <w:rPr>
            <w:rStyle w:val="Hyperlink"/>
          </w:rPr>
          <w:t xml:space="preserve">10.1145/3146389</w:t>
        </w:r>
      </w:hyperlink>
      <w:r>
        <w:t xml:space="preserve">.</w:t>
      </w:r>
    </w:p>
    <w:bookmarkEnd w:id="111"/>
    <w:bookmarkStart w:id="113" w:name="_200a90d3af15f3f5a64a3cb8afd6783e6bc5c1d"/>
    <w:p>
      <w:pPr>
        <w:pStyle w:val="Bibliography"/>
      </w:pPr>
      <w:r>
        <w:t xml:space="preserve">[21]</w:t>
      </w:r>
      <w:r>
        <w:t xml:space="preserve"> </w:t>
      </w:r>
      <w:r>
        <w:t xml:space="preserve">	</w:t>
      </w:r>
      <w:r>
        <w:t xml:space="preserve">E. Zibaei, R. Borth, Building causal models for finding actual causes of unmanned aerial vehicle failures, Frontiers in Robotics and AI 11 (2024) 1123762. https://doi.org/</w:t>
      </w:r>
      <w:hyperlink r:id="rId112">
        <w:r>
          <w:rPr>
            <w:rStyle w:val="Hyperlink"/>
          </w:rPr>
          <w:t xml:space="preserve">10.3389/frobt.2024.1123762</w:t>
        </w:r>
      </w:hyperlink>
      <w:r>
        <w:t xml:space="preserve">.</w:t>
      </w:r>
    </w:p>
    <w:bookmarkEnd w:id="113"/>
    <w:bookmarkStart w:id="115" w:name="_362e51e11e30eb0e0461101d9c36e4d21d357be"/>
    <w:p>
      <w:pPr>
        <w:pStyle w:val="Bibliography"/>
      </w:pPr>
      <w:r>
        <w:t xml:space="preserve">[22]</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4">
        <w:r>
          <w:rPr>
            <w:rStyle w:val="Hyperlink"/>
          </w:rPr>
          <w:t xml:space="preserve">10.1145/3468264.3468559</w:t>
        </w:r>
      </w:hyperlink>
      <w:r>
        <w:t xml:space="preserve">.</w:t>
      </w:r>
    </w:p>
    <w:bookmarkEnd w:id="115"/>
    <w:bookmarkStart w:id="117" w:name="_4f9a794a6a4ddf2789379e73f8e74e34b9538b4"/>
    <w:p>
      <w:pPr>
        <w:pStyle w:val="Bibliography"/>
      </w:pPr>
      <w:r>
        <w:t xml:space="preserve">[23]</w:t>
      </w:r>
      <w:r>
        <w:t xml:space="preserve"> </w:t>
      </w:r>
      <w:r>
        <w:t xml:space="preserve">	</w:t>
      </w:r>
      <w:r>
        <w:t xml:space="preserve">E. Petritoli, F. Leccese, L. Ciani, Reliability and maintenance analysis of unmanned aerial vehicles, Sensors 18 (2018) 3171. https://doi.org/</w:t>
      </w:r>
      <w:hyperlink r:id="rId116">
        <w:r>
          <w:rPr>
            <w:rStyle w:val="Hyperlink"/>
          </w:rPr>
          <w:t xml:space="preserve">10.3390/s18093171</w:t>
        </w:r>
      </w:hyperlink>
      <w:r>
        <w:t xml:space="preserve">.</w:t>
      </w:r>
    </w:p>
    <w:bookmarkEnd w:id="117"/>
    <w:bookmarkStart w:id="118" w:name="_006a7190097400c6c37363d97b6f3be0cdc0b48"/>
    <w:p>
      <w:pPr>
        <w:pStyle w:val="Bibliography"/>
      </w:pPr>
      <w:r>
        <w:t xml:space="preserve">[24]</w:t>
      </w:r>
      <w:r>
        <w:t xml:space="preserve"> </w:t>
      </w:r>
      <w:r>
        <w:t xml:space="preserve">	</w:t>
      </w:r>
      <w:r>
        <w:t xml:space="preserve">D.A. Wiegmann, S.A. Shappell, A human error approach to aviation accident analysis: The human factors analysis and classification system, Ashgate, Aldershot, 2003.</w:t>
      </w:r>
    </w:p>
    <w:bookmarkEnd w:id="118"/>
    <w:bookmarkStart w:id="119" w:name="_a0e369e89429aa426010697429f06415b068aab"/>
    <w:p>
      <w:pPr>
        <w:pStyle w:val="Bibliography"/>
      </w:pPr>
      <w:r>
        <w:t xml:space="preserve">[25]</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19"/>
    <w:bookmarkStart w:id="121" w:name="_06ffb55068ea9e0b3a7aa6e754cfcffab5f832f"/>
    <w:p>
      <w:pPr>
        <w:pStyle w:val="Bibliography"/>
      </w:pPr>
      <w:r>
        <w:t xml:space="preserve">[26]</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20">
        <w:r>
          <w:rPr>
            <w:rStyle w:val="Hyperlink"/>
          </w:rPr>
          <w:t xml:space="preserve">https://proceedings.mlr.press/v235/du24e.html</w:t>
        </w:r>
      </w:hyperlink>
      <w:r>
        <w:t xml:space="preserve">.</w:t>
      </w:r>
    </w:p>
    <w:bookmarkEnd w:id="121"/>
    <w:bookmarkStart w:id="123" w:name="_8a3cc11b1319c0fe6bf6179f8196eab503a64d0"/>
    <w:p>
      <w:pPr>
        <w:pStyle w:val="Bibliography"/>
      </w:pPr>
      <w:r>
        <w:t xml:space="preserve">[27]</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22">
        <w:r>
          <w:rPr>
            <w:rStyle w:val="Hyperlink"/>
          </w:rPr>
          <w:t xml:space="preserve">10.1145/3605764.3623985</w:t>
        </w:r>
      </w:hyperlink>
      <w:r>
        <w:t xml:space="preserve">.</w:t>
      </w:r>
    </w:p>
    <w:bookmarkEnd w:id="123"/>
    <w:bookmarkStart w:id="125" w:name="_ab8841c06958c924804c38799fc8ccd94ea102a"/>
    <w:p>
      <w:pPr>
        <w:pStyle w:val="Bibliography"/>
      </w:pPr>
      <w:r>
        <w:t xml:space="preserve">[28]</w:t>
      </w:r>
      <w:r>
        <w:t xml:space="preserve"> </w:t>
      </w:r>
      <w:r>
        <w:t xml:space="preserve">	</w:t>
      </w:r>
      <w:r>
        <w:t xml:space="preserve">B. Frénay, M. Verleysen, Classification in the presence of label noise: A survey, IEEE Transactions on Neural Networks and Learning Systems 25 (2014) 845–869. https://doi.org/</w:t>
      </w:r>
      <w:hyperlink r:id="rId124">
        <w:r>
          <w:rPr>
            <w:rStyle w:val="Hyperlink"/>
          </w:rPr>
          <w:t xml:space="preserve">10.1109/TNNLS.2013.2292894</w:t>
        </w:r>
      </w:hyperlink>
      <w:r>
        <w:t xml:space="preserve">.</w:t>
      </w:r>
    </w:p>
    <w:bookmarkEnd w:id="125"/>
    <w:bookmarkStart w:id="127" w:name="_90b58fdc380e5ffe19ed416545c54d06f184b09"/>
    <w:p>
      <w:pPr>
        <w:pStyle w:val="Bibliography"/>
      </w:pPr>
      <w:r>
        <w:t xml:space="preserve">[29]</w:t>
      </w:r>
      <w:r>
        <w:t xml:space="preserve"> </w:t>
      </w:r>
      <w:r>
        <w:t xml:space="preserve">	</w:t>
      </w:r>
      <w:r>
        <w:t xml:space="preserve">E.A. Stuart, Matching methods for causal inference: A review and a look forward, Statistical Science 25 (2010) 1–21. https://doi.org/</w:t>
      </w:r>
      <w:hyperlink r:id="rId126">
        <w:r>
          <w:rPr>
            <w:rStyle w:val="Hyperlink"/>
          </w:rPr>
          <w:t xml:space="preserve">10.1214/09-STS313</w:t>
        </w:r>
      </w:hyperlink>
      <w:r>
        <w:t xml:space="preserve">.</w:t>
      </w:r>
    </w:p>
    <w:bookmarkEnd w:id="127"/>
    <w:bookmarkStart w:id="129" w:name="_73ca53b3200da47e1a054effa9b6f4174075f9a"/>
    <w:p>
      <w:pPr>
        <w:pStyle w:val="Bibliography"/>
      </w:pPr>
      <w:r>
        <w:t xml:space="preserve">[30]</w:t>
      </w:r>
      <w:r>
        <w:t xml:space="preserve"> </w:t>
      </w:r>
      <w:r>
        <w:t xml:space="preserve">	</w:t>
      </w:r>
      <w:r>
        <w:t xml:space="preserve">A. Aamodt, E. Plaza, Case-based reasoning: Foundational issues, methodological variations, and system approaches, AI Communications 7 (1994) 39–59. https://doi.org/</w:t>
      </w:r>
      <w:hyperlink r:id="rId128">
        <w:r>
          <w:rPr>
            <w:rStyle w:val="Hyperlink"/>
          </w:rPr>
          <w:t xml:space="preserve">10.3233/AIC-1994-7104</w:t>
        </w:r>
      </w:hyperlink>
      <w:r>
        <w:t xml:space="preserve">.</w:t>
      </w:r>
    </w:p>
    <w:bookmarkEnd w:id="129"/>
    <w:bookmarkStart w:id="131" w:name="_aa8360ba2eb3daad7a46f1986f0c2c353067603"/>
    <w:p>
      <w:pPr>
        <w:pStyle w:val="Bibliography"/>
      </w:pPr>
      <w:r>
        <w:t xml:space="preserve">[31]</w:t>
      </w:r>
      <w:r>
        <w:t xml:space="preserve"> </w:t>
      </w:r>
      <w:r>
        <w:t xml:space="preserve">	</w:t>
      </w:r>
      <w:r>
        <w:t xml:space="preserve">S. Robertson, H. Zaragoza, The probabilistic relevance framework:</w:t>
      </w:r>
      <w:r>
        <w:t xml:space="preserve"> </w:t>
      </w:r>
      <w:r>
        <w:t xml:space="preserve">BM25</w:t>
      </w:r>
      <w:r>
        <w:t xml:space="preserve"> </w:t>
      </w:r>
      <w:r>
        <w:t xml:space="preserve">and beyond, Foundations and Trends in Information Retrieval 3 (2009) 333–389. https://doi.org/</w:t>
      </w:r>
      <w:hyperlink r:id="rId130">
        <w:r>
          <w:rPr>
            <w:rStyle w:val="Hyperlink"/>
          </w:rPr>
          <w:t xml:space="preserve">10.1561/1500000019</w:t>
        </w:r>
      </w:hyperlink>
      <w:r>
        <w:t xml:space="preserve">.</w:t>
      </w:r>
    </w:p>
    <w:bookmarkEnd w:id="131"/>
    <w:bookmarkStart w:id="133" w:name="_587a2a13103f5a9c7c9f5fbc8ef0c5dfd686e3c"/>
    <w:p>
      <w:pPr>
        <w:pStyle w:val="Bibliography"/>
      </w:pPr>
      <w:r>
        <w:t xml:space="preserve">[32]</w:t>
      </w:r>
      <w:r>
        <w:t xml:space="preserve"> </w:t>
      </w:r>
      <w:r>
        <w:t xml:space="preserve">	</w:t>
      </w:r>
      <w:r>
        <w:t xml:space="preserve">R. Stoakley, M.J. Conway, R. Pausch, Virtual reality on a</w:t>
      </w:r>
      <w:r>
        <w:t xml:space="preserve"> </w:t>
      </w:r>
      <w:r>
        <w:t xml:space="preserve">WIM</w:t>
      </w:r>
      <w:r>
        <w:t xml:space="preserve">: Interactive worlds in miniature, in: Proceedings of the SIGCHI Conference on Human Factors in Computing Systems (CHI ’95), 1995: pp. 265–272. https://doi.org/</w:t>
      </w:r>
      <w:hyperlink r:id="rId132">
        <w:r>
          <w:rPr>
            <w:rStyle w:val="Hyperlink"/>
          </w:rPr>
          <w:t xml:space="preserve">10.1145/223904.223938</w:t>
        </w:r>
      </w:hyperlink>
      <w:r>
        <w:t xml:space="preserve">.</w:t>
      </w:r>
    </w:p>
    <w:bookmarkEnd w:id="133"/>
    <w:bookmarkStart w:id="135" w:name="_ad8397d41f792404ea3ffa2c2145e851561e0cf"/>
    <w:p>
      <w:pPr>
        <w:pStyle w:val="Bibliography"/>
      </w:pPr>
      <w:r>
        <w:t xml:space="preserve">[33]</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34">
        <w:r>
          <w:rPr>
            <w:rStyle w:val="Hyperlink"/>
          </w:rPr>
          <w:t xml:space="preserve">10.1148/radiology.143.1.7063747</w:t>
        </w:r>
      </w:hyperlink>
      <w:r>
        <w:t xml:space="preserve">.</w:t>
      </w:r>
    </w:p>
    <w:bookmarkEnd w:id="135"/>
    <w:bookmarkStart w:id="137" w:name="_7ae2e06bcfe80442633569f5f6b1e21460598cb"/>
    <w:p>
      <w:pPr>
        <w:pStyle w:val="Bibliography"/>
      </w:pPr>
      <w:r>
        <w:t xml:space="preserve">[34]</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36">
        <w:r>
          <w:rPr>
            <w:rStyle w:val="Hyperlink"/>
          </w:rPr>
          <w:t xml:space="preserve">10.1214/aoms/1177730491</w:t>
        </w:r>
      </w:hyperlink>
      <w:r>
        <w:t xml:space="preserve">.</w:t>
      </w:r>
    </w:p>
    <w:bookmarkEnd w:id="137"/>
    <w:bookmarkStart w:id="138" w:name="_d0a9d29bfb3d63b968b17ba95db409a8b61dfda"/>
    <w:p>
      <w:pPr>
        <w:pStyle w:val="Bibliography"/>
      </w:pPr>
      <w:r>
        <w:t xml:space="preserve">[35]</w:t>
      </w:r>
      <w:r>
        <w:t xml:space="preserve"> </w:t>
      </w:r>
      <w:r>
        <w:t xml:space="preserve">	</w:t>
      </w:r>
      <w:r>
        <w:t xml:space="preserve">B. Efron, R.J. Tibshirani, An introduction to the bootstrap, Chapman &amp; Hall, New York, 1993.</w:t>
      </w:r>
    </w:p>
    <w:bookmarkEnd w:id="138"/>
    <w:bookmarkStart w:id="140" w:name="_89a013c1487ff07275d04a7e5b79d7551b6a9f6"/>
    <w:p>
      <w:pPr>
        <w:pStyle w:val="Bibliography"/>
      </w:pPr>
      <w:r>
        <w:t xml:space="preserve">[36]</w:t>
      </w:r>
      <w:r>
        <w:t xml:space="preserve"> </w:t>
      </w:r>
      <w:r>
        <w:t xml:space="preserve">	</w:t>
      </w:r>
      <w:r>
        <w:t xml:space="preserve">S. Holm, A simple sequentially rejective multiple test procedure, Scandinavian Journal of Statistics 6 (1979) 65–70.</w:t>
      </w:r>
      <w:r>
        <w:t xml:space="preserve"> </w:t>
      </w:r>
      <w:hyperlink r:id="rId139">
        <w:r>
          <w:rPr>
            <w:rStyle w:val="Hyperlink"/>
          </w:rPr>
          <w:t xml:space="preserve">https://www.jstor.org/stable/4615733</w:t>
        </w:r>
      </w:hyperlink>
      <w:r>
        <w:t xml:space="preserve">.</w:t>
      </w:r>
    </w:p>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png"/><Relationship Id="rId39" Type="http://schemas.openxmlformats.org/officeDocument/2006/relationships/image" Target="media/rId39.png"/><Relationship Id="rId75" Type="http://schemas.openxmlformats.org/officeDocument/2006/relationships/image" Target="media/rId75.png"/><Relationship Id="rId49" Type="http://schemas.openxmlformats.org/officeDocument/2006/relationships/image" Target="media/rId49.png"/><Relationship Id="rId32" Type="http://schemas.openxmlformats.org/officeDocument/2006/relationships/image" Target="media/rId32.png"/><Relationship Id="rId17" Type="http://schemas.openxmlformats.org/officeDocument/2006/relationships/image" Target="media/rId17.png"/><Relationship Id="rId44" Type="http://schemas.openxmlformats.org/officeDocument/2006/relationships/image" Target="media/rId44.png"/><Relationship Id="rId86" Type="http://schemas.openxmlformats.org/officeDocument/2006/relationships/hyperlink" Target="https://doi.org/10.1016/j.fsidi.2026.302051" TargetMode="External"/><Relationship Id="rId98" Type="http://schemas.openxmlformats.org/officeDocument/2006/relationships/hyperlink" Target="https://doi.org/10.1016/j.patter.2023.100804" TargetMode="External"/><Relationship Id="rId103" Type="http://schemas.openxmlformats.org/officeDocument/2006/relationships/hyperlink" Target="https://doi.org/10.1073/pnas.1708274114" TargetMode="External"/><Relationship Id="rId100" Type="http://schemas.openxmlformats.org/officeDocument/2006/relationships/hyperlink" Target="https://doi.org/10.1109/ICRA.2015.7140074" TargetMode="External"/><Relationship Id="rId84" Type="http://schemas.openxmlformats.org/officeDocument/2006/relationships/hyperlink" Target="https://doi.org/10.1109/ICSE55347.2025.00223" TargetMode="External"/><Relationship Id="rId124" Type="http://schemas.openxmlformats.org/officeDocument/2006/relationships/hyperlink" Target="https://doi.org/10.1109/TNNLS.2013.2292894" TargetMode="External"/><Relationship Id="rId132" Type="http://schemas.openxmlformats.org/officeDocument/2006/relationships/hyperlink" Target="https://doi.org/10.1145/223904.223938" TargetMode="External"/><Relationship Id="rId96" Type="http://schemas.openxmlformats.org/officeDocument/2006/relationships/hyperlink" Target="https://doi.org/10.1145/2382577.2382579" TargetMode="External"/><Relationship Id="rId110" Type="http://schemas.openxmlformats.org/officeDocument/2006/relationships/hyperlink" Target="https://doi.org/10.1145/3146389" TargetMode="External"/><Relationship Id="rId114" Type="http://schemas.openxmlformats.org/officeDocument/2006/relationships/hyperlink" Target="https://doi.org/10.1145/3468264.3468559" TargetMode="External"/><Relationship Id="rId122" Type="http://schemas.openxmlformats.org/officeDocument/2006/relationships/hyperlink" Target="https://doi.org/10.1145/3605764.3623985" TargetMode="External"/><Relationship Id="rId134" Type="http://schemas.openxmlformats.org/officeDocument/2006/relationships/hyperlink" Target="https://doi.org/10.1148/radiology.143.1.7063747" TargetMode="External"/><Relationship Id="rId88" Type="http://schemas.openxmlformats.org/officeDocument/2006/relationships/hyperlink" Target="https://doi.org/10.1177/0278364920966642" TargetMode="External"/><Relationship Id="rId90" Type="http://schemas.openxmlformats.org/officeDocument/2006/relationships/hyperlink" Target="https://doi.org/10.1177/02783649241305153" TargetMode="External"/><Relationship Id="rId126" Type="http://schemas.openxmlformats.org/officeDocument/2006/relationships/hyperlink" Target="https://doi.org/10.1214/09-STS313" TargetMode="External"/><Relationship Id="rId136" Type="http://schemas.openxmlformats.org/officeDocument/2006/relationships/hyperlink" Target="https://doi.org/10.1214/aoms/1177730491" TargetMode="External"/><Relationship Id="rId130" Type="http://schemas.openxmlformats.org/officeDocument/2006/relationships/hyperlink" Target="https://doi.org/10.1561/1500000019" TargetMode="External"/><Relationship Id="rId128" Type="http://schemas.openxmlformats.org/officeDocument/2006/relationships/hyperlink" Target="https://doi.org/10.3233/AIC-1994-7104" TargetMode="External"/><Relationship Id="rId112" Type="http://schemas.openxmlformats.org/officeDocument/2006/relationships/hyperlink" Target="https://doi.org/10.3389/frobt.2024.1123762" TargetMode="External"/><Relationship Id="rId93" Type="http://schemas.openxmlformats.org/officeDocument/2006/relationships/hyperlink" Target="https://doi.org/10.3390/aerospace3030022" TargetMode="External"/><Relationship Id="rId108" Type="http://schemas.openxmlformats.org/officeDocument/2006/relationships/hyperlink" Target="https://doi.org/10.3390/drones6110330" TargetMode="External"/><Relationship Id="rId116" Type="http://schemas.openxmlformats.org/officeDocument/2006/relationships/hyperlink" Target="https://doi.org/10.3390/s18093171" TargetMode="External"/><Relationship Id="rId106" Type="http://schemas.openxmlformats.org/officeDocument/2006/relationships/hyperlink" Target="https://doi.org/10.3390/s26103188" TargetMode="External"/><Relationship Id="rId72" Type="http://schemas.openxmlformats.org/officeDocument/2006/relationships/hyperlink" Target="https://github.com/AdityaPathare46/aerofleet" TargetMode="External"/><Relationship Id="rId120" Type="http://schemas.openxmlformats.org/officeDocument/2006/relationships/hyperlink" Target="https://proceedings.mlr.press/v235/du24e.html" TargetMode="External"/><Relationship Id="rId139"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6" Type="http://schemas.openxmlformats.org/officeDocument/2006/relationships/hyperlink" Target="https://doi.org/10.1016/j.fsidi.2026.302051" TargetMode="External"/><Relationship Id="rId98" Type="http://schemas.openxmlformats.org/officeDocument/2006/relationships/hyperlink" Target="https://doi.org/10.1016/j.patter.2023.100804" TargetMode="External"/><Relationship Id="rId103" Type="http://schemas.openxmlformats.org/officeDocument/2006/relationships/hyperlink" Target="https://doi.org/10.1073/pnas.1708274114" TargetMode="External"/><Relationship Id="rId100" Type="http://schemas.openxmlformats.org/officeDocument/2006/relationships/hyperlink" Target="https://doi.org/10.1109/ICRA.2015.7140074" TargetMode="External"/><Relationship Id="rId84" Type="http://schemas.openxmlformats.org/officeDocument/2006/relationships/hyperlink" Target="https://doi.org/10.1109/ICSE55347.2025.00223" TargetMode="External"/><Relationship Id="rId124" Type="http://schemas.openxmlformats.org/officeDocument/2006/relationships/hyperlink" Target="https://doi.org/10.1109/TNNLS.2013.2292894" TargetMode="External"/><Relationship Id="rId132" Type="http://schemas.openxmlformats.org/officeDocument/2006/relationships/hyperlink" Target="https://doi.org/10.1145/223904.223938" TargetMode="External"/><Relationship Id="rId96" Type="http://schemas.openxmlformats.org/officeDocument/2006/relationships/hyperlink" Target="https://doi.org/10.1145/2382577.2382579" TargetMode="External"/><Relationship Id="rId110" Type="http://schemas.openxmlformats.org/officeDocument/2006/relationships/hyperlink" Target="https://doi.org/10.1145/3146389" TargetMode="External"/><Relationship Id="rId114" Type="http://schemas.openxmlformats.org/officeDocument/2006/relationships/hyperlink" Target="https://doi.org/10.1145/3468264.3468559" TargetMode="External"/><Relationship Id="rId122" Type="http://schemas.openxmlformats.org/officeDocument/2006/relationships/hyperlink" Target="https://doi.org/10.1145/3605764.3623985" TargetMode="External"/><Relationship Id="rId134" Type="http://schemas.openxmlformats.org/officeDocument/2006/relationships/hyperlink" Target="https://doi.org/10.1148/radiology.143.1.7063747" TargetMode="External"/><Relationship Id="rId88" Type="http://schemas.openxmlformats.org/officeDocument/2006/relationships/hyperlink" Target="https://doi.org/10.1177/0278364920966642" TargetMode="External"/><Relationship Id="rId90" Type="http://schemas.openxmlformats.org/officeDocument/2006/relationships/hyperlink" Target="https://doi.org/10.1177/02783649241305153" TargetMode="External"/><Relationship Id="rId126" Type="http://schemas.openxmlformats.org/officeDocument/2006/relationships/hyperlink" Target="https://doi.org/10.1214/09-STS313" TargetMode="External"/><Relationship Id="rId136" Type="http://schemas.openxmlformats.org/officeDocument/2006/relationships/hyperlink" Target="https://doi.org/10.1214/aoms/1177730491" TargetMode="External"/><Relationship Id="rId130" Type="http://schemas.openxmlformats.org/officeDocument/2006/relationships/hyperlink" Target="https://doi.org/10.1561/1500000019" TargetMode="External"/><Relationship Id="rId128" Type="http://schemas.openxmlformats.org/officeDocument/2006/relationships/hyperlink" Target="https://doi.org/10.3233/AIC-1994-7104" TargetMode="External"/><Relationship Id="rId112" Type="http://schemas.openxmlformats.org/officeDocument/2006/relationships/hyperlink" Target="https://doi.org/10.3389/frobt.2024.1123762" TargetMode="External"/><Relationship Id="rId93" Type="http://schemas.openxmlformats.org/officeDocument/2006/relationships/hyperlink" Target="https://doi.org/10.3390/aerospace3030022" TargetMode="External"/><Relationship Id="rId108" Type="http://schemas.openxmlformats.org/officeDocument/2006/relationships/hyperlink" Target="https://doi.org/10.3390/drones6110330" TargetMode="External"/><Relationship Id="rId116" Type="http://schemas.openxmlformats.org/officeDocument/2006/relationships/hyperlink" Target="https://doi.org/10.3390/s18093171" TargetMode="External"/><Relationship Id="rId106" Type="http://schemas.openxmlformats.org/officeDocument/2006/relationships/hyperlink" Target="https://doi.org/10.3390/s26103188" TargetMode="External"/><Relationship Id="rId72" Type="http://schemas.openxmlformats.org/officeDocument/2006/relationships/hyperlink" Target="https://github.com/AdityaPathare46/aerofleet" TargetMode="External"/><Relationship Id="rId120" Type="http://schemas.openxmlformats.org/officeDocument/2006/relationships/hyperlink" Target="https://proceedings.mlr.press/v235/du24e.html" TargetMode="External"/><Relationship Id="rId139"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479,547 public PX4 flight logs can and cannot tell a drone fleet operator</dc:title>
  <dc:creator/>
  <cp:keywords/>
  <dcterms:created xsi:type="dcterms:W3CDTF">2026-10-25T07:49:52Z</dcterms:created>
  <dcterms:modified xsi:type="dcterms:W3CDTF">2026-10-25T07:49:52Z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