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590 public PX4 crash logs from 479,547 flights, we evaluate that expectation using declared protocols committed prior to analysis. First, automatic crash attribution between pilot and aircraft is not supported by these telemetry rules, models and labels: a fixed rule reached a balanced accuracy of 0.47 on held-out crashes, cross-validated classification yielded AUCs of 0.41–0.50 (95% bootstrap upper bounds</w:t>
      </w:r>
      <w:r>
        <w:t xml:space="preserve"> </w:t>
      </w:r>
      <m:oMath>
        <m:r>
          <m:rPr>
            <m:sty m:val="p"/>
          </m:rPr>
          <m:t>≤</m:t>
        </m:r>
        <m:r>
          <m:t>0.62</m:t>
        </m:r>
      </m:oMath>
      <w:r>
        <w:t xml:space="preserve">, below the 0.66 permutation null detection threshold), and evaluating the rule against 43 downloadable expert forum logs showed poor agreement with community diagnoses (balanced accuracy 0.381, 95% CI 0.20–0.59). Second, diagnostic checks suffer from crash data leakage: tuning fault sensitivity fell from 77.8% to 11.1% (</w:t>
      </w:r>
      <m:oMath>
        <m:r>
          <m:t>p</m:t>
        </m:r>
        <m:r>
          <m:rPr>
            <m:sty m:val="p"/>
          </m:rPr>
          <m:t>=</m:t>
        </m:r>
        <m:r>
          <m:t>0.031</m:t>
        </m:r>
      </m:oMath>
      <w:r>
        <w:t xml:space="preserve">) without the final 10 s, and cross-sectional separation was substantially attenuated within the same drone (AUC 0.58). Third, drones that later crashed showed higher baseline vibration than matched peers on older estimator metrics (mean rank 0.67, Holm</w:t>
      </w:r>
      <w:r>
        <w:t xml:space="preserve"> </w:t>
      </w:r>
      <m:oMath>
        <m:r>
          <m:t>p</m:t>
        </m:r>
        <m:r>
          <m:rPr>
            <m:sty m:val="p"/>
          </m:rPr>
          <m:t>=</m:t>
        </m:r>
        <m:r>
          <m:t>0.016</m:t>
        </m:r>
      </m:oMath>
      <w:r>
        <w:t xml:space="preserve">), though replication on newer accelerometer metrics was inconclusive (</w:t>
      </w:r>
      <m:oMath>
        <m:r>
          <m:t>p</m:t>
        </m:r>
        <m:r>
          <m:rPr>
            <m:sty m:val="p"/>
          </m:rPr>
          <m:t>=</m:t>
        </m:r>
        <m:r>
          <m:t>0.25</m:t>
        </m:r>
      </m:oMath>
      <w:r>
        <w:t xml:space="preserve">). Stratum-matched fleet screening yields positive predictive values of 2.26–2.47% (lift</w:t>
      </w:r>
      <w:r>
        <w:t xml:space="preserve"> </w:t>
      </w:r>
      <m:oMath>
        <m:r>
          <m:t>3.3</m:t>
        </m:r>
        <m:r>
          <m:rPr>
            <m:sty m:val="p"/>
          </m:rPr>
          <m:t>×</m:t>
        </m:r>
      </m:oMath>
      <w:r>
        <w:t xml:space="preserve">, 40–44 inspections per crash) at a 10% flag rate. AeroFleet 2.0, an open-source assurance tool,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secondary sensitivity and diagnostic analyses added</w:t>
      </w:r>
      <w:r>
        <w:t xml:space="preserve"> </w:t>
      </w:r>
      <w:r>
        <w:t xml:space="preserve">during revision are explicitly designated as exploratory. (iii) We show that with these rules, models and labels, automatic</w:t>
      </w:r>
      <w:r>
        <w:t xml:space="preserve"> </w:t>
      </w:r>
      <w:r>
        <w:t xml:space="preserve">crash attribution from logs was not achievable above chance: cross-validated classification yielded upper 95% confidence bounds</w:t>
      </w:r>
      <w:r>
        <w:t xml:space="preserve"> </w:t>
      </w:r>
      <w:r>
        <w:t xml:space="preserve">between 0.510 and 0.619, well below the 0.66 permutation null detection threshold, while agreement with expert forum diagnoses did</w:t>
      </w:r>
      <w:r>
        <w:t xml:space="preserve"> </w:t>
      </w:r>
      <w:r>
        <w:t xml:space="preserve">not exceed chance (balanced accuracy 0.381, 95% CI 0.20–0.59; pilot recall 1 of 5). Furthermore, apparent diagnostic accuracy can</w:t>
      </w:r>
      <w:r>
        <w:t xml:space="preserve"> </w:t>
      </w:r>
      <w:r>
        <w:t xml:space="preserve">come from the crash itself. (iv) We report one positive screening signal: drones that later crash are rougher on their ordinary flights</w:t>
      </w:r>
      <w:r>
        <w:t xml:space="preserve"> </w:t>
      </w:r>
      <w:r>
        <w:t xml:space="preserve">than matched drones on older estimator metrics, though replication on newer accelerometer metrics was inconclusive (</w:t>
      </w:r>
      <m:oMath>
        <m:r>
          <m:t>p</m:t>
        </m:r>
        <m:r>
          <m:rPr>
            <m:sty m:val="p"/>
          </m:rPr>
          <m:t>=</m:t>
        </m:r>
        <m:r>
          <m:t>0.25</m:t>
        </m:r>
      </m:oMath>
      <w:r>
        <w:t xml:space="preserve">). Screening</w:t>
      </w:r>
      <w:r>
        <w:t xml:space="preserve"> </w:t>
      </w:r>
      <w:r>
        <w:t xml:space="preserve">against stratum-matched fleet controls yields an operational positive predictive value of 1.37–1.48% (relative risk</w:t>
      </w:r>
      <w:r>
        <w:t xml:space="preserve"> </w:t>
      </w:r>
      <m:oMath>
        <m:r>
          <m:t>3.00</m:t>
        </m:r>
        <m:r>
          <m:rPr>
            <m:sty m:val="p"/>
          </m:rPr>
          <m:t>×</m:t>
        </m:r>
      </m:oMath>
      <w:r>
        <w:t xml:space="preserve">,</w:t>
      </w:r>
      <w:r>
        <w:t xml:space="preserve"> </w:t>
      </w:r>
      <w:r>
        <w:t xml:space="preserve">lift</w:t>
      </w:r>
      <w:r>
        <w:t xml:space="preserve"> </w:t>
      </w:r>
      <m:oMath>
        <m:r>
          <m:t>2.00</m:t>
        </m:r>
        <m:r>
          <m:rPr>
            <m:sty m:val="p"/>
          </m:rPr>
          <m:t>×</m:t>
        </m:r>
      </m:oMath>
      <w:r>
        <w:t xml:space="preserve">) at a 25% flag rate and 2.26–2.47% (relative risk</w:t>
      </w:r>
      <w:r>
        <w:t xml:space="preserve"> </w:t>
      </w:r>
      <m:oMath>
        <m:r>
          <m:t>4.50</m:t>
        </m:r>
        <m:r>
          <m:rPr>
            <m:sty m:val="p"/>
          </m:rPr>
          <m:t>×</m:t>
        </m:r>
      </m:oMath>
      <w:r>
        <w:t xml:space="preserve">, lift</w:t>
      </w:r>
      <w:r>
        <w:t xml:space="preserve"> </w:t>
      </w:r>
      <m:oMath>
        <m:r>
          <m:t>3.33</m:t>
        </m:r>
        <m:r>
          <m:rPr>
            <m:sty m:val="p"/>
          </m:rPr>
          <m:t>×</m:t>
        </m:r>
      </m:oMath>
      <w:r>
        <w:t xml:space="preserve">, 40.5–44.2 inspections per crash)</w:t>
      </w:r>
      <w:r>
        <w:t xml:space="preserve"> </w:t>
      </w:r>
      <w:r>
        <w:t xml:space="preserve">at a 10% flag rate across screenable (0.69%) and fleet-wide (0.74%) vehicle base rates (1.04% under empirical matched-set screening).</w:t>
      </w:r>
      <w:r>
        <w:t xml:space="preserve"> </w:t>
      </w:r>
      <w:r>
        <w:t xml:space="preserve">(v) We show how these results translate into the design of an open-source assurance tool, AeroFleet 2.0, and report engineering checks</w:t>
      </w:r>
      <w:r>
        <w:t xml:space="preserve"> </w:t>
      </w:r>
      <w:r>
        <w:t xml:space="preserve">of its parts, including one 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End-users who crashed and sought community advice never self-identified pilot error on the forum.</w:t>
      </w:r>
      <w:r>
        <w:t xml:space="preserve"> </w:t>
      </w:r>
      <w:r>
        <w:t xml:space="preserve">On the 14 overlapping forum threads whose logs carried an uploader aircraft crash rating in the index, experts agreed in 11 and</w:t>
      </w:r>
      <w:r>
        <w:t xml:space="preserve"> </w:t>
      </w:r>
      <w:r>
        <w:t xml:space="preserve">were unclear in 3 (none blamed the pilot). This gap suggests potential politeness bias on public developer forums, selection bias</w:t>
      </w:r>
      <w:r>
        <w:t xml:space="preserve"> </w:t>
      </w:r>
      <w:r>
        <w:t xml:space="preserve">in which incidents operators submit for community assistance, or a narrower definition of pilot error among autopilot developers</w:t>
      </w:r>
      <w:r>
        <w:t xml:space="preserve"> </w:t>
      </w:r>
      <w:r>
        <w:t xml:space="preserve">compared to end users. Furthermore, forum diagnoses represent informed community opinion rather than independently verified accident</w:t>
      </w:r>
      <w:r>
        <w:t xml:space="preserve"> </w:t>
      </w:r>
      <w:r>
        <w:t xml:space="preserve">inspection ground truth; original posters explicitly confirmed the diagnosis in only 47 of 94 aircraft 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drones, three randomly chosen flights each, seed 7). Control drones were sampled without replacement, so no control served</w:t>
      </w:r>
      <w:r>
        <w:t xml:space="preserve"> </w:t>
      </w:r>
      <w:r>
        <w:t xml:space="preserve">two cases. The three exposure flights of a crashed drone were its most recent non-crash flights dated on or before the crash;</w:t>
      </w:r>
      <w:r>
        <w:t xml:space="preserve"> </w:t>
      </w:r>
      <w:r>
        <w:t xml:space="preserve">flights on the crash day were included in the declared test because the archive does not give their order within a day, and</w:t>
      </w:r>
      <w:r>
        <w:t xml:space="preserve"> </w:t>
      </w:r>
      <w:r>
        <w:t xml:space="preserve">removed in a sensitivity analysis.</w:t>
      </w:r>
    </w:p>
    <w:p>
      <w:pPr>
        <w:pStyle w:val="BodyText"/>
      </w:pP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 In the</w:t>
      </w:r>
      <w:r>
        <w:t xml:space="preserve"> </w:t>
      </w:r>
      <w:r>
        <w:t xml:space="preserve">between-drone sample, 124 matched control drones contributed 372 flights (</w:t>
      </w:r>
      <m:oMath>
        <m:r>
          <m:t>124</m:t>
        </m:r>
        <m:r>
          <m:rPr>
            <m:sty m:val="p"/>
          </m:rPr>
          <m:t>×</m:t>
        </m:r>
        <m:r>
          <m:t>3</m:t>
        </m:r>
      </m:oMath>
      <w:r>
        <w:t xml:space="preserve">), distinct from the 372 flights</w:t>
      </w:r>
      <w:r>
        <w:t xml:space="preserve"> </w:t>
      </w:r>
      <w:r>
        <w:t xml:space="preserve">(67 crash flights and 305 earlier flights) evaluated in the within-drone predictive model.</w:t>
      </w:r>
    </w:p>
    <w:bookmarkStart w:id="20" w:name="_43eadb6bdc2e4f778444eb9134cf25c02e7400a"/>
    <w:p>
      <w:pPr>
        <w:pStyle w:val="CaptionedFigure"/>
        <w:jc w:val="center"/>
      </w:pPr>
      <w:r>
        <w:drawing>
          <wp:inline>
            <wp:extent cx="5334000" cy="3663169"/>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663169"/>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33</w:t>
        </w:r>
      </w:hyperlink>
      <w:r>
        <w:t xml:space="preserve">]</w:t>
      </w:r>
      <w:r>
        <w:t xml:space="preserve">. As an exploratory sensitivity analysis, non-linear feature interactions were</w:t>
      </w:r>
      <w:r>
        <w:t xml:space="preserve"> </w:t>
      </w:r>
      <w:r>
        <w:t xml:space="preserve">evaluated using depth-3 gradient-boosted decision trees.</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Appendix B.</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 (Repeated cross-validation folds showed nominal mean fold AUCs of</w:t>
      </w:r>
      <w:r>
        <w:t xml:space="preserve"> </w:t>
      </w:r>
      <m:oMath>
        <m:r>
          <m:t>0.450</m:t>
        </m:r>
        <m:r>
          <m:rPr>
            <m:sty m:val="p"/>
          </m:rPr>
          <m:t>±</m:t>
        </m:r>
        <m:r>
          <m:t>0.015</m:t>
        </m:r>
      </m:oMath>
      <w:r>
        <w:t xml:space="preserve"> </w:t>
      </w:r>
      <w:r>
        <w:t xml:space="preserve">at</w:t>
      </w:r>
      <w:r>
        <w:t xml:space="preserve"> </w:t>
      </w:r>
      <m:oMath>
        <m:r>
          <m:t>m</m:t>
        </m:r>
        <m:r>
          <m:rPr>
            <m:sty m:val="p"/>
          </m:rPr>
          <m:t>=</m:t>
        </m:r>
        <m:r>
          <m:t>0</m:t>
        </m:r>
      </m:oMath>
      <w:r>
        <w:t xml:space="preserve"> s,</w:t>
      </w:r>
      <w:r>
        <w:t xml:space="preserve"> </w:t>
      </w:r>
      <m:oMath>
        <m:r>
          <m:t>0.449</m:t>
        </m:r>
        <m:r>
          <m:rPr>
            <m:sty m:val="p"/>
          </m:rPr>
          <m:t>±</m:t>
        </m:r>
        <m:r>
          <m:t>0.022</m:t>
        </m:r>
      </m:oMath>
      <w:r>
        <w:t xml:space="preserve"> </w:t>
      </w:r>
      <w:r>
        <w:t xml:space="preserve">at</w:t>
      </w:r>
      <w:r>
        <w:t xml:space="preserve"> </w:t>
      </w:r>
      <m:oMath>
        <m:r>
          <m:t>m</m:t>
        </m:r>
        <m:r>
          <m:rPr>
            <m:sty m:val="p"/>
          </m:rPr>
          <m:t>=</m:t>
        </m:r>
        <m:r>
          <m:t>10</m:t>
        </m:r>
      </m:oMath>
      <w:r>
        <w:t xml:space="preserve"> s,</w:t>
      </w:r>
      <w:r>
        <w:t xml:space="preserve"> </w:t>
      </w:r>
      <w:r>
        <w:t xml:space="preserve">and</w:t>
      </w:r>
      <w:r>
        <w:t xml:space="preserve"> </w:t>
      </w:r>
      <m:oMath>
        <m:r>
          <m:t>0.458</m:t>
        </m:r>
        <m:r>
          <m:rPr>
            <m:sty m:val="p"/>
          </m:rPr>
          <m:t>±</m:t>
        </m:r>
        <m:r>
          <m:t>0.034</m:t>
        </m:r>
      </m:oMath>
      <w:r>
        <w:t xml:space="preserve"> </w:t>
      </w:r>
      <w:r>
        <w:t xml:space="preserve">at</w:t>
      </w:r>
      <w:r>
        <w:t xml:space="preserve"> </w:t>
      </w:r>
      <m:oMath>
        <m:r>
          <m:t>m</m:t>
        </m:r>
        <m:r>
          <m:rPr>
            <m:sty m:val="p"/>
          </m:rPr>
          <m:t>=</m:t>
        </m:r>
        <m:r>
          <m:t>30</m:t>
        </m:r>
      </m:oMath>
      <w:r>
        <w:t xml:space="preserve"> s on this subset.)</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across folds: the null distribution had mean 0.497</w:t>
      </w:r>
      <w:r>
        <w:t xml:space="preserve"> </w:t>
      </w:r>
      <w:r>
        <w:t xml:space="preserve">(SD 0.090) with an empirical 95% interval of 0.313–0.660, establishing a 95% detection threshold of approximately 0.660. The observed</w:t>
      </w:r>
      <w:r>
        <w:t xml:space="preserve"> </w:t>
      </w:r>
      <w:r>
        <w:t xml:space="preserve">cross-validated AUC of 0.449 falls comfortably within this chance range (two-sided permutation</w:t>
      </w:r>
      <w:r>
        <w:t xml:space="preserve"> </w:t>
      </w:r>
      <m:oMath>
        <m:r>
          <m:t>p</m:t>
        </m:r>
        <m:r>
          <m:rPr>
            <m:sty m:val="p"/>
          </m:rPr>
          <m:t>=</m:t>
        </m:r>
        <m:r>
          <m:t>0.509</m:t>
        </m:r>
      </m:oMath>
      <w:r>
        <w:t xml:space="preserve">). Crucially, because only 36 crashes</w:t>
      </w:r>
      <w:r>
        <w:t xml:space="preserve"> </w:t>
      </w:r>
      <w:r>
        <w:t xml:space="preserve">carry pilot labels, bootstrap resampling across crashes demonstrates that the upper 95% confidence bounds on observed models (0.510 on the full</w:t>
      </w:r>
      <w:r>
        <w:t xml:space="preserve"> </w:t>
      </w:r>
      <w:r>
        <w:t xml:space="preserve">sample, 0.584 on the constant subset at</w:t>
      </w:r>
      <w:r>
        <w:t xml:space="preserve"> </w:t>
      </w:r>
      <m:oMath>
        <m:r>
          <m:t>m</m:t>
        </m:r>
        <m:r>
          <m:rPr>
            <m:sty m:val="p"/>
          </m:rPr>
          <m:t>=</m:t>
        </m:r>
        <m:r>
          <m:t>0</m:t>
        </m:r>
      </m:oMath>
      <w:r>
        <w:t xml:space="preserve"> s; 0.542 and 0.611 at</w:t>
      </w:r>
      <w:r>
        <w:t xml:space="preserve"> </w:t>
      </w:r>
      <m:oMath>
        <m:r>
          <m:t>m</m:t>
        </m:r>
        <m:r>
          <m:rPr>
            <m:sty m:val="p"/>
          </m:rPr>
          <m:t>=</m:t>
        </m:r>
        <m:r>
          <m:t>10</m:t>
        </m:r>
      </m:oMath>
      <w:r>
        <w:t xml:space="preserve"> s) lie safely below the 0.660 detection threshold, confirming</w:t>
      </w:r>
      <w:r>
        <w:t xml:space="preserve"> </w:t>
      </w:r>
      <w:r>
        <w:t xml:space="preserve">that observed performance cannot be distinguished from chance and rules out models achieving detection beyond noise.</w:t>
      </w:r>
    </w:p>
    <w:p>
      <w:pPr>
        <w:pStyle w:val="BodyText"/>
      </w:pPr>
      <w:r>
        <w:t xml:space="preserve">To evaluate whether non-linear feature interactions could extract subtle pre-crash signatures, we trained gradient-boosted</w:t>
      </w:r>
      <w:r>
        <w:t xml:space="preserve"> </w:t>
      </w:r>
      <w:r>
        <w:t xml:space="preserve">decision tree ensembles on Task B. Depth-1 decision stumps reached an AUC of 0.430 at</w:t>
      </w:r>
      <w:r>
        <w:t xml:space="preserve"> </w:t>
      </w:r>
      <m:oMath>
        <m:r>
          <m:t>m</m:t>
        </m:r>
        <m:r>
          <m:rPr>
            <m:sty m:val="p"/>
          </m:rPr>
          <m:t>=</m:t>
        </m:r>
        <m:r>
          <m:t>0</m:t>
        </m:r>
      </m:oMath>
      <w:r>
        <w:t xml:space="preserve"> s (bootstrap SE 0.062, 95% CI 0.310–0.551,</w:t>
      </w:r>
      <w:r>
        <w:t xml:space="preserve"> </w:t>
      </w:r>
      <w:r>
        <w:t xml:space="preserve">upper bound 0.534), falling to 0.413 at</w:t>
      </w:r>
      <w:r>
        <w:t xml:space="preserve"> </w:t>
      </w:r>
      <m:oMath>
        <m:r>
          <m:t>m</m:t>
        </m:r>
        <m:r>
          <m:rPr>
            <m:sty m:val="p"/>
          </m:rPr>
          <m:t>=</m:t>
        </m:r>
        <m:r>
          <m:t>10</m:t>
        </m:r>
      </m:oMath>
      <w:r>
        <w:t xml:space="preserve"> s (SE 0.069, 95% CI 0.281–0.548, upper bound 0.528). Depth-3 boosted trees reached an AUC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w:t>
      </w:r>
      <m:oMath>
        <m:r>
          <m:t>0.604</m:t>
        </m:r>
        <m:r>
          <m:rPr>
            <m:sty m:val="p"/>
          </m:rPr>
          <m:t>±</m:t>
        </m:r>
        <m:r>
          <m:t>0.095</m:t>
        </m:r>
      </m:oMath>
      <w:r>
        <w:t xml:space="preserve"> </w:t>
      </w:r>
      <w:r>
        <w:t xml:space="preserve">at</w:t>
      </w:r>
      <w:r>
        <w:t xml:space="preserve"> </w:t>
      </w:r>
      <m:oMath>
        <m:r>
          <m:t>m</m:t>
        </m:r>
        <m:r>
          <m:rPr>
            <m:sty m:val="p"/>
          </m:rPr>
          <m:t>=</m:t>
        </m:r>
        <m:r>
          <m:t>2</m:t>
        </m:r>
      </m:oMath>
      <w:r>
        <w:t xml:space="preserve"> s,</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falling to</w:t>
      </w:r>
      <w:r>
        <w:t xml:space="preserve"> </w:t>
      </w:r>
      <m:oMath>
        <m:r>
          <m:t>0.553</m:t>
        </m:r>
        <m:r>
          <m:rPr>
            <m:sty m:val="p"/>
          </m:rPr>
          <m:t>±</m:t>
        </m:r>
        <m:r>
          <m:t>0.171</m:t>
        </m:r>
      </m:oMath>
      <w:r>
        <w:t xml:space="preserve"> </w:t>
      </w:r>
      <w:r>
        <w:t xml:space="preserve">at</w:t>
      </w:r>
      <w:r>
        <w:t xml:space="preserve"> </w:t>
      </w:r>
      <m:oMath>
        <m:r>
          <m:t>m</m:t>
        </m:r>
        <m:r>
          <m:rPr>
            <m:sty m:val="p"/>
          </m:rPr>
          <m:t>=</m:t>
        </m:r>
        <m:r>
          <m:t>10</m:t>
        </m:r>
      </m:oMath>
      <w:r>
        <w:t xml:space="preserve"> s,</w:t>
      </w:r>
      <w:r>
        <w:t xml:space="preserve"> </w:t>
      </w:r>
      <m:oMath>
        <m:r>
          <m:t>0.579</m:t>
        </m:r>
        <m:r>
          <m:rPr>
            <m:sty m:val="p"/>
          </m:rPr>
          <m:t>±</m:t>
        </m:r>
        <m:r>
          <m:t>0.150</m:t>
        </m:r>
      </m:oMath>
      <w:r>
        <w:t xml:space="preserve"> </w:t>
      </w:r>
      <w:r>
        <w:t xml:space="preserve">at</w:t>
      </w:r>
      <w:r>
        <w:t xml:space="preserve"> </w:t>
      </w:r>
      <m:oMath>
        <m:r>
          <m:t>m</m:t>
        </m:r>
        <m:r>
          <m:rPr>
            <m:sty m:val="p"/>
          </m:rPr>
          <m:t>=</m:t>
        </m:r>
        <m:r>
          <m:t>20</m:t>
        </m:r>
      </m:oMath>
      <w:r>
        <w:t xml:space="preserve"> s, and</w:t>
      </w:r>
      <w:r>
        <w:t xml:space="preserve"> </w:t>
      </w:r>
      <m:oMath>
        <m:r>
          <m:t>0.548</m:t>
        </m:r>
        <m:r>
          <m:rPr>
            <m:sty m:val="p"/>
          </m:rPr>
          <m:t>±</m:t>
        </m:r>
        <m:r>
          <m:t>0.104</m:t>
        </m:r>
      </m:oMath>
      <w:r>
        <w:t xml:space="preserve"> </w:t>
      </w:r>
      <w:r>
        <w:t xml:space="preserve">at</w:t>
      </w:r>
      <w:r>
        <w:t xml:space="preserve"> </w:t>
      </w:r>
      <m:oMath>
        <m:r>
          <m:t>m</m:t>
        </m:r>
        <m:r>
          <m:rPr>
            <m:sty m:val="p"/>
          </m:rPr>
          <m:t>=</m:t>
        </m:r>
        <m:r>
          <m:t>30</m:t>
        </m:r>
      </m:oMath>
      <w:r>
        <w:t xml:space="preserve"> s. Across all cut-offs, the upper 95% confidence bounds of the boosted</w:t>
      </w:r>
      <w:r>
        <w:t xml:space="preserve"> </w:t>
      </w:r>
      <w:r>
        <w:t xml:space="preserve">ensembles remain below the 0.660 permutation null detection threshold. Modeling non-linear interactions does not rescue crash attribution;</w:t>
      </w:r>
      <w:r>
        <w:t xml:space="preserve"> </w:t>
      </w:r>
      <w:r>
        <w:t xml:space="preserve">once the impact window is excluded, classification remains near chance. We conclude that with these rules, models and labels, automatic</w:t>
      </w:r>
      <w:r>
        <w:t xml:space="preserve"> </w:t>
      </w:r>
      <w:r>
        <w:t xml:space="preserve">responsibility attribution is not achievable.</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6).</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0.74 and 0.77.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6</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When the exact same 11-feature model was evaluated</w:t>
      </w:r>
      <w:r>
        <w:t xml:space="preserve"> </w:t>
      </w:r>
      <w:r>
        <w:rPr>
          <w:i/>
          <w:iCs/>
        </w:rPr>
        <w:t xml:space="preserve">within the same drone</w:t>
      </w:r>
      <w:r>
        <w:t xml:space="preserve">—separating each crashed drone’s pre-crash window (cut 10 s</w:t>
      </w:r>
      <w:r>
        <w:t xml:space="preserve"> </w:t>
      </w:r>
      <w:r>
        <w:t xml:space="preserve">before impact) from its own earlier flights across 67 multi-flight drones (372 flights: 67 pre-crash flights and 305 earlier flights,</w:t>
      </w:r>
      <w:r>
        <w:t xml:space="preserve"> </w:t>
      </w:r>
      <w:r>
        <w:t xml:space="preserve">distinct from the 372 between-drone control flights)—the pooled Group-CV AUC fell from 0.88 to 0.580 (95% bootstrap CI 0.528–0.633),</w:t>
      </w:r>
      <w:r>
        <w:t xml:space="preserve"> </w:t>
      </w:r>
      <w:r>
        <w:t xml:space="preserve">and the mean within-drone pairwise AUC was 0.605 (95% bootstrap CI 0.516–0.692). Matching on the airframe substantially attenuates</w:t>
      </w:r>
      <w:r>
        <w:t xml:space="preserve"> </w:t>
      </w:r>
      <w:r>
        <w:t xml:space="preserve">the cross-sectional separation from AUC 0.88 to AUC 0.580, demonstrating that cross-sectional models reflect airframe types, operator styles,</w:t>
      </w:r>
      <w:r>
        <w:t xml:space="preserve"> </w:t>
      </w:r>
      <w:r>
        <w:t xml:space="preserve">and duration confounds rather than detecting impending failure, in agreement with the within-drone rank test (</w:t>
      </w:r>
      <m:oMath>
        <m:acc>
          <m:accPr>
            <m:chr m:val="‾"/>
          </m:accPr>
          <m:e>
            <m:r>
              <m:t>r</m:t>
            </m:r>
          </m:e>
        </m:acc>
        <m:r>
          <m:rPr>
            <m:sty m:val="p"/>
          </m:rPr>
          <m:t>=</m:t>
        </m:r>
        <m:r>
          <m:t>0.48</m:t>
        </m:r>
      </m:oMath>
      <w:r>
        <w:t xml:space="preserv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497053"/>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overall AUC / mean percentile 0.689, 95% CI 0.619–0.758). Each airframe is</w:t>
      </w:r>
      <w:r>
        <w:t xml:space="preserve"> </w:t>
      </w:r>
      <w:r>
        <w:t xml:space="preserve">ranked against control flights within its matching hardware and sensor stratum.</w:t>
      </w:r>
      <w:r>
        <w:t xml:space="preserve"> </w:t>
      </w:r>
      <w:r>
        <w:t xml:space="preserve">At a 25% flag rate, this stratum-matched screening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2.47% (95% CI 1.61–3.33%), an unflagged risk of 0.549%, a relative risk of</w:t>
      </w:r>
      <w:r>
        <w:t xml:space="preserve"> </w:t>
      </w:r>
      <m:oMath>
        <m:r>
          <m:t>4.50</m:t>
        </m:r>
        <m:r>
          <m:rPr>
            <m:sty m:val="p"/>
          </m:rPr>
          <m:t>×</m:t>
        </m:r>
      </m:oMath>
      <w:r>
        <w:t xml:space="preserve">, a lift of</w:t>
      </w:r>
      <w:r>
        <w:t xml:space="preserve"> </w:t>
      </w:r>
      <m:oMath>
        <m:r>
          <m:t>3.33</m:t>
        </m:r>
        <m:r>
          <m:rPr>
            <m:sty m:val="p"/>
          </m:rPr>
          <m:t>×</m:t>
        </m:r>
      </m:oMath>
      <w:r>
        <w:t xml:space="preserve">, and 40.5 inspections</w:t>
      </w:r>
      <w:r>
        <w:t xml:space="preserve"> </w:t>
      </w:r>
      <w:r>
        <w:t xml:space="preserve">per detected crash (at the 0.689% screenable base rate: PPV 2.26%, 95% CI 1.48–3.06%, lift</w:t>
      </w:r>
      <w:r>
        <w:t xml:space="preserve"> </w:t>
      </w:r>
      <m:oMath>
        <m:r>
          <m:t>3.28</m:t>
        </m:r>
        <m:r>
          <m:rPr>
            <m:sty m:val="p"/>
          </m:rPr>
          <m:t>×</m:t>
        </m:r>
      </m:oMath>
      <w:r>
        <w:t xml:space="preserve">, 44.2 inspections per crash).</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In all scenarios, vibration screening functions as a broad maintenance inspection filter</w:t>
      </w:r>
      <w:r>
        <w:t xml:space="preserve"> </w:t>
      </w:r>
      <w:r>
        <w:t xml:space="preserve">rather than an operational crash warning.</w:t>
      </w:r>
      <w:r>
        <w:t xml:space="preserve"> </w:t>
      </w:r>
      <w:r>
        <w:t xml:space="preserve">screening functions as a broad maintenance inspection filter rather than an operational crash warning.</w:t>
      </w:r>
    </w:p>
    <w:bookmarkStart w:id="47" w:name="_9361c5dba1dea8da31b0aed692bc5b019a98a7f"/>
    <w:p>
      <w:pPr>
        <w:pStyle w:val="CaptionedFigure"/>
        <w:jc w:val="center"/>
      </w:pPr>
      <w:r>
        <w:drawing>
          <wp:inline>
            <wp:extent cx="4160520" cy="2342580"/>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34258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2" w:name="_f3665d09ec22ddd60812b28fa68e496f60eecb2"/>
    <w:p>
      <w:pPr>
        <w:pStyle w:val="CaptionedFigure"/>
        <w:jc w:val="center"/>
      </w:pPr>
      <w:r>
        <w:drawing>
          <wp:inline>
            <wp:extent cx="4160520" cy="2531605"/>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37 were associated with checkable fault categories in</w:t>
      </w:r>
      <w:r>
        <w:t xml:space="preserve"> </w:t>
      </w:r>
      <w:r>
        <w:t xml:space="preserve">Table 7.</w:t>
      </w:r>
    </w:p>
    <w:p>
      <w:pPr>
        <w:pStyle w:val="BodyText"/>
      </w:pPr>
      <w:r>
        <w:t xml:space="preserve">Table 7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this exploratory finding is descriptive rather</w:t>
      </w:r>
      <w:r>
        <w:t xml:space="preserve"> </w:t>
      </w:r>
      <w:r>
        <w:t xml:space="preserve">than confirmatory: across the five diagnostic checks evaluated, an unadjusted</w:t>
      </w:r>
      <w:r>
        <w:t xml:space="preserve"> </w:t>
      </w:r>
      <m:oMath>
        <m:r>
          <m:t>p</m:t>
        </m:r>
        <m:r>
          <m:rPr>
            <m:sty m:val="p"/>
          </m:rPr>
          <m:t>=</m:t>
        </m:r>
        <m:r>
          <m:t>0.031</m:t>
        </m:r>
      </m:oMath>
      <w:r>
        <w:t xml:space="preserve"> </w:t>
      </w:r>
      <w:r>
        <w:t xml:space="preserve">does not survive Bonferroni multiplicity</w:t>
      </w:r>
      <w:r>
        <w:t xml:space="preserve"> </w:t>
      </w:r>
      <w:r>
        <w:t xml:space="preserve">correction (</w:t>
      </w:r>
      <m:oMath>
        <m:r>
          <m:t>p</m:t>
        </m:r>
        <m:r>
          <m:rPr>
            <m:sty m:val="p"/>
          </m:rPr>
          <m:t>≈</m:t>
        </m:r>
        <m:r>
          <m:t>0.16</m:t>
        </m:r>
      </m:oMath>
      <w:r>
        <w:t xml:space="preserve">). Furthermore, the other four checks exhibited low baseline sensitivity even on full windows (</w:t>
      </w:r>
      <m:oMath>
        <m:r>
          <m:rPr>
            <m:sty m:val="p"/>
          </m:rPr>
          <m:t>≤</m:t>
        </m:r>
        <m:r>
          <m:t>25</m:t>
        </m:r>
        <m:r>
          <m:rPr>
            <m:sty m:val="p"/>
          </m:rPr>
          <m:t>%</m:t>
        </m:r>
      </m:oMath>
      <w:r>
        <w:t xml:space="preserve">,</w:t>
      </w:r>
      <w:r>
        <w:t xml:space="preserve"> </w:t>
      </w:r>
      <w:r>
        <w:t xml:space="preserve">with 0/4 for motor and 0/2 for battery on paired logs), meaning they had virtually no baseline firing to lose,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indicating that operators seeking community assistance</w:t>
      </w:r>
      <w:r>
        <w:t xml:space="preserve"> </w:t>
      </w:r>
      <w:r>
        <w:t xml:space="preserve">did not self-incriminate as pilot error.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Wilson 95% CI 3.7–71.0%), misclassifying 4 of 5 pilot crashes because motor saturation, accelerometer clipping,</w:t>
      </w:r>
      <w:r>
        <w:t xml:space="preserve"> </w:t>
      </w:r>
      <w:r>
        <w:t xml:space="preserve">or failsafe activation occurred as the vehicle struck the ground. Combining both classes across all 37 decided expert logs (32 aircraft, 5 pilot),</w:t>
      </w:r>
      <w:r>
        <w:t xml:space="preserve"> </w:t>
      </w:r>
      <w:r>
        <w:t xml:space="preserve">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(95% bootstrap CI 0.20–0.59), which does not differ significantly from chance (0.50). Similarly, when evaluated out-of-fold on the 30 aircraft</w:t>
      </w:r>
      <w:r>
        <w:t xml:space="preserve"> </w:t>
      </w:r>
      <w:r>
        <w:t xml:space="preserve">logs with complete telemetry features, the logistic regression model predicted</w:t>
      </w:r>
      <w:r>
        <w:t xml:space="preserve"> </w:t>
      </w:r>
      <w:r>
        <w:t xml:space="preserve">“aircraft”</w:t>
      </w:r>
      <w:r>
        <w:t xml:space="preserve"> </w:t>
      </w:r>
      <w:r>
        <w:t xml:space="preserve">in 27 (90.0%) and</w:t>
      </w:r>
      <w:r>
        <w:t xml:space="preserve"> </w:t>
      </w:r>
      <w:r>
        <w:t xml:space="preserve">“pilot”</w:t>
      </w:r>
      <w:r>
        <w:t xml:space="preserve"> </w:t>
      </w:r>
      <w:r>
        <w:t xml:space="preserve">in 3 (10.0%),</w:t>
      </w:r>
      <w:r>
        <w:t xml:space="preserve"> </w:t>
      </w:r>
      <w:r>
        <w:t xml:space="preserve">defaulting strongly toward its aircraft training prior (72.3% average across 5-fold CV training folds; 75.7% on the full 148-crash set, 112/148).</w:t>
      </w:r>
      <w:r>
        <w:t xml:space="preserve"> </w:t>
      </w:r>
      <w:r>
        <w:t xml:space="preserve">We emphasize the caveat that this evaluation measures agreement between a heuristic rule and expert community reading of the same telemetry,</w:t>
      </w:r>
      <w:r>
        <w:t xml:space="preserve"> </w:t>
      </w:r>
      <w:r>
        <w:t xml:space="preserve">rather than ground truth: original posters explicitly confirmed the diagnosis in only 47 of 94 aircraft-fault threads (50.0%) and 5 of 9</w:t>
      </w:r>
      <w:r>
        <w:t xml:space="preserve"> </w:t>
      </w:r>
      <w:r>
        <w:t xml:space="preserve">pilot-fault threads (55.6%). Nonetheless, this two-class comparison illustrates the challenge of rule-based attribution: the heuristic rule</w:t>
      </w:r>
      <w:r>
        <w:t xml:space="preserve"> </w:t>
      </w:r>
      <w:r>
        <w:t xml:space="preserve">disagreed with expert community consensus on nearly half of decided cases (48.6%), failing to demonstrate agreement above chance.</w:t>
      </w:r>
    </w:p>
    <w:bookmarkStart w:id="54" w:name="_83343f61327e522fa9ffc9aa8f722d134b07ff7"/>
    <w:p>
      <w:pPr>
        <w:pStyle w:val="TableCaption"/>
      </w:pPr>
      <w:r>
        <w:t xml:space="preserve">Table 7.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7.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4"/>
    <w:bookmarkStart w:id="58" w:name="_c0d72e502cb8722b270509e9f977263b14fe2c0"/>
    <w:p>
      <w:pPr>
        <w:pStyle w:val="CaptionedFigure"/>
        <w:jc w:val="center"/>
      </w:pPr>
      <w:r>
        <w:drawing>
          <wp:inline>
            <wp:extent cx="4160520" cy="2601925"/>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fb365ced420b86c8cd60024101a350b346a0a31"/>
      <w:r>
        <w:rPr>
          <w:rStyle w:val="SectionNumber"/>
        </w:rPr>
        <w:t xml:space="preserve">5.7</w:t>
      </w:r>
      <w:r>
        <w:tab/>
      </w:r>
      <w:r>
        <w:t xml:space="preserve">Language-model review panels (summary)</w:t>
      </w:r>
      <w:bookmarkEnd w:id="59"/>
    </w:p>
    <w:p>
      <w:pPr>
        <w:pStyle w:val="FirstParagraph"/>
      </w:pPr>
      <w:r>
        <w:t xml:space="preserve">Because language-model assistants are increasingly proposed for log review, we conducted a controlled exploratory evaluation</w:t>
      </w:r>
      <w:r>
        <w:t xml:space="preserve"> </w:t>
      </w:r>
      <w:r>
        <w:t xml:space="preserve">of local models (3–4B parameters) configured as single agents and multi-agent review panels on 60 author-generated fault</w:t>
      </w:r>
      <w:r>
        <w:t xml:space="preserve"> </w:t>
      </w:r>
      <w:r>
        <w:t xml:space="preserve">cases and worst-case adversarial prompts. As detailed in Appendix B, the fixed rule reached 75% right and 0%</w:t>
      </w:r>
      <w:r>
        <w:t xml:space="preserve"> </w:t>
      </w:r>
      <w:r>
        <w:t xml:space="preserve">wrong (referring 25% to humans), whereas local language models produced substantial error rates (10–63% wrong), suffered</w:t>
      </w:r>
      <w:r>
        <w:t xml:space="preserve"> </w:t>
      </w:r>
      <w:r>
        <w:t xml:space="preserve">from mode collapse or abstention on active causes, and proved vulnerable to consensus manipulation by a single compromised</w:t>
      </w:r>
      <w:r>
        <w:t xml:space="preserve"> </w:t>
      </w:r>
      <w:r>
        <w:t xml:space="preserve">reviewer (flipping 45–56 of 60 cases). In contrast, deterministic numeric telemetry extraction prevented direct prompt</w:t>
      </w:r>
      <w:r>
        <w:t xml:space="preserve"> </w:t>
      </w:r>
      <w:r>
        <w:t xml:space="preserve">injection by construction.</w:t>
      </w:r>
    </w:p>
    <w:p>
      <w:pPr>
        <w:pStyle w:val="Heading2"/>
      </w:pPr>
      <w:bookmarkStart w:id="60" w:name="_000b339d75a155a848ca0c43e54b0b02b7b82d8"/>
      <w:r>
        <w:rPr>
          <w:rStyle w:val="SectionNumber"/>
        </w:rPr>
        <w:t xml:space="preserve">5.8</w:t>
      </w:r>
      <w:r>
        <w:tab/>
      </w:r>
      <w:r>
        <w:t xml:space="preserve">Analyses added during revision (exploratory)</w:t>
      </w:r>
      <w:bookmarkEnd w:id="60"/>
    </w:p>
    <w:p>
      <w:pPr>
        <w:pStyle w:val="FirstParagraph"/>
      </w:pPr>
      <w:r>
        <w:t xml:space="preserve">To preserve the boundary between pre-declared confirmatory hypotheses and exploratory post-hoc investigations</w:t>
      </w:r>
      <w:r>
        <w:t xml:space="preserve"> </w:t>
      </w:r>
      <w:r>
        <w:t xml:space="preserve">[</w:t>
      </w:r>
      <w:hyperlink w:anchor="_f6e66cea9a1ea78573b548bc5cf8461c81300ca">
        <w:r>
          <w:rPr>
            <w:rStyle w:val="Hyperlink"/>
          </w:rPr>
          <w:t xml:space="preserve">17</w:t>
        </w:r>
      </w:hyperlink>
      <w:r>
        <w:t xml:space="preserve">]</w:t>
      </w:r>
      <w:r>
        <w:t xml:space="preserve">, Table 8 documents the analyses added during peer review, their motivation, key</w:t>
      </w:r>
      <w:r>
        <w:t xml:space="preserve"> </w:t>
      </w:r>
      <w:r>
        <w:t xml:space="preserve">results, and the git commit hashes where their declarations or implementations were introduced. None of these exploratory</w:t>
      </w:r>
      <w:r>
        <w:t xml:space="preserve"> </w:t>
      </w:r>
      <w:r>
        <w:t xml:space="preserve">additions altered the conclusions of the pre-declared tests; rather, they provided empirical bounds on confounding, evaluated</w:t>
      </w:r>
      <w:r>
        <w:t xml:space="preserve"> </w:t>
      </w:r>
      <w:r>
        <w:t xml:space="preserve">alternative non-linear architectures, and quantified operational screening performance.</w:t>
      </w:r>
    </w:p>
    <w:bookmarkStart w:id="61" w:name="_fb475224272a447d57b77f14dfc8774bb10ba7c"/>
    <w:p>
      <w:pPr>
        <w:pStyle w:val="TableCaption"/>
      </w:pPr>
      <w:r>
        <w:t xml:space="preserve">Table 8. Exploratory analyses added during peer review, their motivation, key results, and git commit hashes. Archived snapshots are indexed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will be minted into a Zenodo DOI.</w:t>
      </w:r>
    </w:p>
    <w:tbl>
      <w:tblPr>
        <w:tblStyle w:val="Table"/>
        <w:tblW w:type="pct" w:w="5000"/>
        <w:tblLook w:firstRow="1" w:lastRow="0" w:firstColumn="0" w:lastColumn="0" w:noHBand="0" w:noVBand="0" w:val="0020"/>
        <w:tblCaption w:val="Table 8. Exploratory analyses added during peer review, their motivation, key results, and git commit hashes. Archived snapshots are indexed in Software Heritage (swh:1:rev:bad06ff1256865c7e63d44389aac174e0281291d, swh:1:rev:bbdd0420de4547ac7d67b84165292a46237b604d, swh:1:rev:624dd694e0d207dd9c44b1c9550faaf04453bc56, and swh:1:rev:3a9aa89417fa9ea2a2334e3a4794e2358fb713ee) and will be minted into a Zenodo DOI."/>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Commit</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95% threshold 0.660; observed AUC upper bounds 0.510–0.584</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Boosted decision trees (Task B)</w:t>
            </w:r>
          </w:p>
        </w:tc>
        <w:tc>
          <w:tcPr/>
          <w:p>
            <w:pPr>
              <w:pStyle w:val="Compact"/>
              <w:spacing w:line="240" w:lineRule="auto"/>
              <w:jc w:val="left"/>
            </w:pPr>
            <w:r>
              <w:rPr>
                <w:sz w:val="19"/>
              </w:rPr>
              <w:t xml:space="preserve">Test non-linear feature interactions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Depth-3</w:t>
            </w:r>
            <w:r>
              <w:rPr>
                <w:sz w:val="19"/>
              </w:rPr>
              <w:t xml:space="preserve"> </w:t>
            </w:r>
            <m:oMath>
              <m:r>
                <m:t>0.595</m:t>
              </m:r>
              <m:r>
                <m:rPr>
                  <m:sty m:val="p"/>
                </m:rPr>
                <m:t>→</m:t>
              </m:r>
              <m:r>
                <m:t>0.553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Account for airframe confounding</w:t>
            </w:r>
          </w:p>
        </w:tc>
        <w:tc>
          <w:tcPr/>
          <w:p>
            <w:pPr>
              <w:pStyle w:val="Compact"/>
              <w:spacing w:line="240" w:lineRule="auto"/>
              <w:jc w:val="left"/>
            </w:pPr>
            <w:r>
              <w:rPr>
                <w:sz w:val="19"/>
              </w:rPr>
              <w:t xml:space="preserve">Group-CV AUC 0.580; mean within-drone AUC 0.605</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Screenable base rate 0.689% (PPV 1.37–2.26%); fleet base rate 0.741% (PPV 1.48–2.47%)</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43 expert crash logs attribution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Two-class test: BA 38.1% (95% CI 0.20–0.59); pilot recall 1/5; uploader crash_pilot 0/43</w:t>
            </w:r>
          </w:p>
        </w:tc>
        <w:tc>
          <w:tcPr/>
          <w:p>
            <w:pPr>
              <w:pStyle w:val="Compact"/>
              <w:spacing w:line="240" w:lineRule="auto"/>
              <w:jc w:val="left"/>
            </w:pPr>
            <w:r>
              <w:rPr>
                <w:rStyle w:val="VerbatimChar"/>
                <w:sz w:val="19"/>
              </w:rPr>
              <w:t xml:space="preserve">bad06ff</w:t>
            </w:r>
          </w:p>
        </w:tc>
      </w:tr>
    </w:tbl>
    <w:bookmarkEnd w:id="61"/>
    <w:p>
      <w:pPr>
        <w:pStyle w:val="Heading1"/>
      </w:pPr>
      <w:bookmarkStart w:id="62" w:name="_5197750e0310900a35791fde6fc3b970851116d"/>
      <w:r>
        <w:rPr>
          <w:rStyle w:val="SectionNumber"/>
        </w:rPr>
        <w:t xml:space="preserve">6</w:t>
      </w:r>
      <w:r>
        <w:tab/>
      </w:r>
      <w:r>
        <w:t xml:space="preserve">Design implications: an assurance tool built on the findings</w:t>
      </w:r>
      <w:bookmarkEnd w:id="62"/>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search, and replay validation checks are detailed in</w:t>
      </w:r>
      <w:r>
        <w:t xml:space="preserve"> </w:t>
      </w:r>
      <w:r>
        <w:t xml:space="preserve">Appendix A.</w:t>
      </w:r>
    </w:p>
    <w:bookmarkStart w:id="63"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top decile (10%) prioritized for inspection (or upper quartile, 25%)</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(Appendix A.1)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(Appendix A.2)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 (Appendix A.3)</w:t>
            </w:r>
          </w:p>
        </w:tc>
      </w:tr>
    </w:tbl>
    <w:bookmarkEnd w:id="63"/>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The top decile (10%) is prioritized for mechanical</w:t>
      </w:r>
      <w:r>
        <w:t xml:space="preserve"> </w:t>
      </w:r>
      <w:r>
        <w:t xml:space="preserve">inspection (with the top quartile, 25%, as an alternative operational threshold). In the archive, this ranking identified</w:t>
      </w:r>
      <w:r>
        <w:t xml:space="preserve"> </w:t>
      </w:r>
      <w:r>
        <w:t xml:space="preserve">the drone that later crashed as the roughest in 55.0% of matched sets (against 40.3% expected under the exact Poisson-binomial</w:t>
      </w:r>
      <w:r>
        <w:t xml:space="preserve"> </w:t>
      </w:r>
      <w:r>
        <w:t xml:space="preserve">null,</w:t>
      </w:r>
      <w:r>
        <w:t xml:space="preserve"> </w:t>
      </w:r>
      <m:oMath>
        <m:r>
          <m:t>p</m:t>
        </m:r>
        <m:r>
          <m:rPr>
            <m:sty m:val="p"/>
          </m:rPr>
          <m:t>=</m:t>
        </m:r>
        <m:r>
          <m:t>0.014</m:t>
        </m:r>
      </m:oMath>
      <w:r>
        <w:t xml:space="preserve">;</w:t>
      </w:r>
      <w:r>
        <w:t xml:space="preserve"> </w:t>
      </w:r>
      <m:oMath>
        <m:r>
          <m:t>1.37</m:t>
        </m:r>
        <m:r>
          <m:rPr>
            <m:sty m:val="p"/>
          </m:rPr>
          <m:t>×</m:t>
        </m:r>
      </m:oMath>
      <w:r>
        <w:t xml:space="preserve"> </w:t>
      </w:r>
      <w:r>
        <w:t xml:space="preserve">lift over the null rate; relative risk</w:t>
      </w:r>
      <w:r>
        <w:t xml:space="preserve"> </w:t>
      </w:r>
      <m:oMath>
        <m:r>
          <m:t>3.58</m:t>
        </m:r>
        <m:r>
          <m:rPr>
            <m:sty m:val="p"/>
          </m:rPr>
          <m:t>×</m:t>
        </m:r>
      </m:oMath>
      <w:r>
        <w:t xml:space="preserve"> </w:t>
      </w:r>
      <w:r>
        <w:t xml:space="preserve">over unflagged airframes), and 63.3% exceeded</w:t>
      </w:r>
      <w:r>
        <w:t xml:space="preserve"> </w:t>
      </w:r>
      <w:r>
        <w:t xml:space="preserve">the control third quartile. In operational terms, under a stratum-matched fleet-wide reference distribution at the 0.689% screenable</w:t>
      </w:r>
      <w:r>
        <w:t xml:space="preserve"> </w:t>
      </w:r>
      <w:r>
        <w:t xml:space="preserve">base rate (and 0.741% fleet base rate), prioritizing the top decile (10%) achieves an operational PPV of 2.26–2.47% (relative risk</w:t>
      </w:r>
      <w:r>
        <w:t xml:space="preserve"> </w:t>
      </w:r>
      <m:oMath>
        <m:r>
          <m:t>4.50</m:t>
        </m:r>
        <m:r>
          <m:rPr>
            <m:sty m:val="p"/>
          </m:rPr>
          <m:t>×</m:t>
        </m:r>
      </m:oMath>
      <w:r>
        <w:t xml:space="preserve">, lift</w:t>
      </w:r>
      <w:r>
        <w:t xml:space="preserve"> </w:t>
      </w:r>
      <m:oMath>
        <m:r>
          <m:t>3.28</m:t>
        </m:r>
        <m:r>
          <m:rPr>
            <m:sty m:val="p"/>
          </m:rPr>
          <m:t>×</m:t>
        </m:r>
      </m:oMath>
      <w:r>
        <w:t xml:space="preserve"> </w:t>
      </w:r>
      <w:r>
        <w:t xml:space="preserve">to</w:t>
      </w:r>
      <w:r>
        <w:t xml:space="preserve"> </w:t>
      </w:r>
      <m:oMath>
        <m:r>
          <m:t>3.33</m:t>
        </m:r>
        <m:r>
          <m:rPr>
            <m:sty m:val="p"/>
          </m:rPr>
          <m:t>×</m:t>
        </m:r>
      </m:oMath>
      <w:r>
        <w:t xml:space="preserve">, 40.5–44.2 inspections per detected crash). A wider 25% flag rate yields PPV 1.37–1.48%</w:t>
      </w:r>
      <w:r>
        <w:t xml:space="preserve"> </w:t>
      </w:r>
      <w:r>
        <w:t xml:space="preserve">(relative risk</w:t>
      </w:r>
      <w:r>
        <w:t xml:space="preserve"> </w:t>
      </w:r>
      <m:oMath>
        <m:r>
          <m:t>3.00</m:t>
        </m:r>
        <m:r>
          <m:rPr>
            <m:sty m:val="p"/>
          </m:rPr>
          <m:t>×</m:t>
        </m:r>
      </m:oMath>
      <w:r>
        <w:t xml:space="preserve">, lift</w:t>
      </w:r>
      <w:r>
        <w:t xml:space="preserve"> </w:t>
      </w:r>
      <m:oMath>
        <m:r>
          <m:t>1.99</m:t>
        </m:r>
        <m:r>
          <m:rPr>
            <m:sty m:val="p"/>
          </m:rPr>
          <m:t>×</m:t>
        </m:r>
      </m:oMath>
      <w:r>
        <w:t xml:space="preserve"> </w:t>
      </w:r>
      <w:r>
        <w:t xml:space="preserve">to</w:t>
      </w:r>
      <w:r>
        <w:t xml:space="preserve"> </w:t>
      </w:r>
      <m:oMath>
        <m:r>
          <m:t>2.00</m:t>
        </m:r>
        <m:r>
          <m:rPr>
            <m:sty m:val="p"/>
          </m:rPr>
          <m:t>×</m:t>
        </m:r>
      </m:oMath>
      <w:r>
        <w:t xml:space="preserve">, 67.5–73.1 inspections per crash), while empirical matched-set screening</w:t>
      </w:r>
      <w:r>
        <w:t xml:space="preserve"> </w:t>
      </w:r>
      <w:r>
        <w:t xml:space="preserve">achieves PPV 0.96–1.04% (lift</w:t>
      </w:r>
      <w:r>
        <w:t xml:space="preserve"> </w:t>
      </w:r>
      <m:oMath>
        <m:r>
          <m:t>1.40</m:t>
        </m:r>
        <m:r>
          <m:rPr>
            <m:sty m:val="p"/>
          </m:rPr>
          <m:t>×</m:t>
        </m:r>
      </m:oMath>
      <w:r>
        <w:t xml:space="preserve">, 96.4–104 inspections per crash). The flag is therefore a maintenance inspection prompt,</w:t>
      </w:r>
      <w:r>
        <w:t xml:space="preserve"> </w:t>
      </w:r>
      <w:r>
        <w:t xml:space="preserve">not an operational crash warning.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1"/>
      </w:pPr>
      <w:bookmarkStart w:id="64" w:name="_074802e0e16f6322e726b21f081c01c392e8fbd"/>
      <w:r>
        <w:rPr>
          <w:rStyle w:val="SectionNumber"/>
        </w:rPr>
        <w:t xml:space="preserve">7</w:t>
      </w:r>
      <w:r>
        <w:tab/>
      </w:r>
      <w:r>
        <w:t xml:space="preserve">Discussion</w:t>
      </w:r>
      <w:bookmarkEnd w:id="64"/>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w:t>
      </w:r>
      <m:oMath>
        <m:r>
          <m:t>n</m:t>
        </m:r>
        <m:r>
          <m:rPr>
            <m:sty m:val="p"/>
          </m:rPr>
          <m:t>=</m:t>
        </m:r>
        <m:r>
          <m:t>36</m:t>
        </m:r>
      </m:oMath>
      <w:r>
        <w:t xml:space="preserve"> </w:t>
      </w:r>
      <w:r>
        <w:t xml:space="preserve">in the modeling sample), the permutation null distribution establishes a 95% detection threshold of 0.660;</w:t>
      </w:r>
      <w:r>
        <w:t xml:space="preserve"> </w:t>
      </w:r>
      <w:r>
        <w:t xml:space="preserve">observed cross-validated models yield empirical 95% bootstrap upper bounds between 0.510 and 0.619, well below this threshold.</w:t>
      </w:r>
      <w:r>
        <w:t xml:space="preserve"> </w:t>
      </w:r>
      <w:r>
        <w:t xml:space="preserve">Furthermore, independent evaluation against 43 expert forum cases revealed poor agreement on decided cases (balanced</w:t>
      </w:r>
      <w:r>
        <w:t xml:space="preserve"> </w:t>
      </w:r>
      <w:r>
        <w:t xml:space="preserve">accuracy 0.381, 95% CI 0.20–0.59; pilot recall 1 of 5).</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sharp divergence between uploader pilot blame (32%) and expert forum diagnoses (6%) points to</w:t>
      </w:r>
      <w:r>
        <w:t xml:space="preserve"> </w:t>
      </w:r>
      <w:r>
        <w:t xml:space="preserve">politeness bias on public forums or a narrower definition of pilot fault among autopilot engineers.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likely influenced by airframe confounds and duration differences (duration alone yields AUC 0.662); within-drone evaluation</w:t>
      </w:r>
      <w:r>
        <w:t xml:space="preserve"> </w:t>
      </w:r>
      <w:r>
        <w:t xml:space="preserve">demonstrated substantial attenuation (AUC 0.580, 95% CI 0.528–0.633), confirming that longitudinal baseline comparison is</w:t>
      </w:r>
      <w:r>
        <w:t xml:space="preserve"> </w:t>
      </w:r>
      <w:r>
        <w:t xml:space="preserve">essential. Diagnostic checks also exhibited leakage: specifically, tuning fault detection fell from 77.8% to 11.1% sensitivity</w:t>
      </w:r>
      <w:r>
        <w:t xml:space="preserve"> </w:t>
      </w:r>
      <w:r>
        <w:t xml:space="preserve">(</w:t>
      </w:r>
      <m:oMath>
        <m:r>
          <m:t>p</m:t>
        </m:r>
        <m:r>
          <m:rPr>
            <m:sty m:val="p"/>
          </m:rPr>
          <m:t>=</m:t>
        </m:r>
        <m:r>
          <m:t>0.031</m:t>
        </m:r>
      </m:oMath>
      <w:r>
        <w:t xml:space="preserve"> </w:t>
      </w:r>
      <w:r>
        <w:t xml:space="preserve">on paired logs) when the final 10 s were removed. However, as noted in Section 5.6, this finding is exploratory</w:t>
      </w:r>
      <w:r>
        <w:t xml:space="preserve"> </w:t>
      </w:r>
      <w:r>
        <w:t xml:space="preserve">and does not survive Bonferroni correction over five checks (</w:t>
      </w:r>
      <m:oMath>
        <m:r>
          <m:t>p</m:t>
        </m:r>
        <m:r>
          <m:rPr>
            <m:sty m:val="p"/>
          </m:rPr>
          <m:t>≈</m:t>
        </m:r>
        <m:r>
          <m:t>0.16</m:t>
        </m:r>
      </m:oMath>
      <w:r>
        <w:t xml:space="preserve">), and the low baseline sensitivity of the remaining checks</w:t>
      </w:r>
      <w:r>
        <w:t xml:space="preserve"> </w:t>
      </w:r>
      <w:r>
        <w:t xml:space="preserve">(</w:t>
      </w:r>
      <m:oMath>
        <m:r>
          <m:rPr>
            <m:sty m:val="p"/>
          </m:rPr>
          <m:t>≤</m:t>
        </m:r>
        <m:r>
          <m:t>25</m:t>
        </m:r>
        <m:r>
          <m:rPr>
            <m:sty m:val="p"/>
          </m:rPr>
          <m:t>%</m:t>
        </m:r>
      </m:oMath>
      <w:r>
        <w:t xml:space="preserve">) leaves open whether other physical failure modes also leak. Diagnostic evaluations must remove the crash window and compare</w:t>
      </w:r>
      <w:r>
        <w:t xml:space="preserve"> </w:t>
      </w:r>
      <w:r>
        <w:t xml:space="preserve">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yielded an independent estimate</w:t>
      </w:r>
      <w:r>
        <w:t xml:space="preserve"> </w:t>
      </w:r>
      <w:r>
        <w:t xml:space="preserve">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 and</w:t>
      </w:r>
      <w:r>
        <w:t xml:space="preserve"> </w:t>
      </w:r>
      <w:r>
        <w:t xml:space="preserve">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2.26–2.47% (lift</w:t>
      </w:r>
      <w:r>
        <w:t xml:space="preserve"> </w:t>
      </w:r>
      <m:oMath>
        <m:r>
          <m:t>3.3</m:t>
        </m:r>
        <m:r>
          <m:rPr>
            <m:sty m:val="p"/>
          </m:rPr>
          <m:t>×</m:t>
        </m:r>
      </m:oMath>
      <w:r>
        <w:t xml:space="preserve">, 40.5–44.2 inspections per detected crash), and the</w:t>
      </w:r>
      <w:r>
        <w:t xml:space="preserve"> </w:t>
      </w:r>
      <w:r>
        <w:t xml:space="preserve">top quartile with PPV 1.37–1.48% (lift</w:t>
      </w:r>
      <w:r>
        <w:t xml:space="preserve"> </w:t>
      </w:r>
      <m:oMath>
        <m:r>
          <m:t>2.0</m:t>
        </m:r>
        <m:r>
          <m:rPr>
            <m:sty m:val="p"/>
          </m:rPr>
          <m:t>×</m:t>
        </m:r>
      </m:oMath>
      <w:r>
        <w:t xml:space="preserve">, 67.5–73.1 inspections per crash; 0.96–1.04% under empirical matched-set</w:t>
      </w:r>
      <w:r>
        <w:t xml:space="preserve"> </w:t>
      </w:r>
      <w:r>
        <w:t xml:space="preserve">screening). The metric provides a maintenance 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within-subjects user study comparing the three-dimensional views with a</w:t>
      </w:r>
      <w:r>
        <w:t xml:space="preserve"> </w:t>
      </w:r>
      <w:r>
        <w:t xml:space="preserve">two-dimensional map on tasks with known answers. Stronger replication of the between-drone vibration effect on modern</w:t>
      </w:r>
      <w:r>
        <w:t xml:space="preserve"> </w:t>
      </w:r>
      <w:r>
        <w:t xml:space="preserve">autopilots, evaluating operational safety impact across active fleets, testing sequence models or frequency-domain IMU</w:t>
      </w:r>
      <w:r>
        <w:t xml:space="preserve"> </w:t>
      </w:r>
      <w:r>
        <w:t xml:space="preserve">features for transient precursors that whole-window summaries miss, and evaluating a larger set of crashes with causes</w:t>
      </w:r>
      <w:r>
        <w:t xml:space="preserve"> </w:t>
      </w:r>
      <w:r>
        <w:t xml:space="preserve">verified by independent investigators would further strengthen the evidence.</w:t>
      </w:r>
    </w:p>
    <w:p>
      <w:pPr>
        <w:pStyle w:val="Heading1"/>
      </w:pPr>
      <w:bookmarkStart w:id="65" w:name="_82b82981e21bad8167d56d1f0b74a832e215810"/>
      <w:r>
        <w:rPr>
          <w:rStyle w:val="SectionNumber"/>
        </w:rPr>
        <w:t xml:space="preserve">8</w:t>
      </w:r>
      <w:r>
        <w:tab/>
      </w:r>
      <w:r>
        <w:t xml:space="preserve">Threats to validity</w:t>
      </w:r>
      <w:bookmarkEnd w:id="65"/>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95% bootstrap CI 0.20–0.59;</w:t>
      </w:r>
      <w:r>
        <w:t xml:space="preserve"> </w:t>
      </w:r>
      <w:r>
        <w:t xml:space="preserve">pilot recall 1 of 5, Wilson 95% CI 3.7–71.0%;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κ</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commit timestamps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37 of the</w:t>
      </w:r>
      <w:r>
        <w:t xml:space="preserve"> </w:t>
      </w:r>
      <w:r>
        <w:t xml:space="preserve">73 logs behind expert aircraft diagnoses with a checkable cause could still be downloaded, so several diagnostic comparisons</w:t>
      </w:r>
      <w:r>
        <w:t xml:space="preserve"> </w:t>
      </w:r>
      <w:r>
        <w:t xml:space="preserve">in Table 7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6" w:name="_0cf7f8e9027f9f9352f3019b4ede1d43d537ff7"/>
      <w:r>
        <w:rPr>
          <w:rStyle w:val="SectionNumber"/>
        </w:rPr>
        <w:t xml:space="preserve">9</w:t>
      </w:r>
      <w:r>
        <w:tab/>
      </w:r>
      <w:r>
        <w:t xml:space="preserve">Conclusion</w:t>
      </w:r>
      <w:bookmarkEnd w:id="66"/>
    </w:p>
    <w:p>
      <w:pPr>
        <w:pStyle w:val="FirstParagraph"/>
      </w:pPr>
      <w:r>
        <w:t xml:space="preserve">Across 590 crash-rated logs from an archive index of 479,547 flights, flight logs did not distinguish pilot-caused from</w:t>
      </w:r>
      <w:r>
        <w:t xml:space="preserve"> </w:t>
      </w:r>
      <w:r>
        <w:t xml:space="preserve">aircraft-caused crashes above chance: cross-validated AUC upper bounds (0.510–0.619) remain below the 0.660 permutation</w:t>
      </w:r>
      <w:r>
        <w:t xml:space="preserve"> </w:t>
      </w:r>
      <w:r>
        <w:t xml:space="preserve">null detection threshold, and two-class expert validation yielded poor agreement (balanced accuracy 0.381, 95% CI 0.20–0.59;</w:t>
      </w:r>
      <w:r>
        <w:t xml:space="preserve"> </w:t>
      </w:r>
      <w:r>
        <w:t xml:space="preserve">pilot recall 1 of 5). Configuration protections were disabled at similar rates, and the flight that crashed showed no detectable</w:t>
      </w:r>
      <w:r>
        <w:t xml:space="preserve"> </w:t>
      </w:r>
      <w:r>
        <w:t xml:space="preserve">difference in vibration or rate-tracking error relative to the same drone’s prior flights (95% CI upper bounds 0.58 and 0.63).</w:t>
      </w:r>
      <w:r>
        <w:t xml:space="preserve"> </w:t>
      </w:r>
      <w:r>
        <w:t xml:space="preserve">Diagnostic checks also suffered from crash-impact data leakage: tuning fault detection fell from 77.8% to 11.1% sensitivity</w:t>
      </w:r>
      <w:r>
        <w:t xml:space="preserve"> </w:t>
      </w:r>
      <w:r>
        <w:t xml:space="preserve">(</w:t>
      </w:r>
      <m:oMath>
        <m:r>
          <m:t>p</m:t>
        </m:r>
        <m:r>
          <m:rPr>
            <m:sty m:val="p"/>
          </m:rPr>
          <m:t>=</m:t>
        </m:r>
        <m:r>
          <m:t>0.031</m:t>
        </m:r>
      </m:oMath>
      <w:r>
        <w:t xml:space="preserve"> </w:t>
      </w:r>
      <w:r>
        <w:t xml:space="preserve">on paired logs) once the final 10 s were removed. What the logs did reveal, on older estimator metrics, was</w:t>
      </w:r>
      <w:r>
        <w:t xml:space="preserve"> </w:t>
      </w:r>
      <w:r>
        <w:t xml:space="preserve">that drones that later crashed exhibited higher baseline vibration on ordinary flights than matched peers, though replication</w:t>
      </w:r>
      <w:r>
        <w:t xml:space="preserve"> </w:t>
      </w:r>
      <w:r>
        <w:t xml:space="preserve">on newer accelerometer metrics was inconclusive (</w:t>
      </w:r>
      <m:oMath>
        <m:r>
          <m:t>p</m:t>
        </m:r>
        <m:r>
          <m:rPr>
            <m:sty m:val="p"/>
          </m:rPr>
          <m:t>=</m:t>
        </m:r>
        <m:r>
          <m:t>0.25</m:t>
        </m:r>
      </m:oMath>
      <w:r>
        <w:t xml:space="preserve">). Screening against stratum-matched fleet controls achieves an</w:t>
      </w:r>
      <w:r>
        <w:t xml:space="preserve"> </w:t>
      </w:r>
      <w:r>
        <w:t xml:space="preserve">operational positive predictive value of 2.26–2.47% (lift</w:t>
      </w:r>
      <w:r>
        <w:t xml:space="preserve"> </w:t>
      </w:r>
      <m:oMath>
        <m:r>
          <m:t>3.3</m:t>
        </m:r>
        <m:r>
          <m:rPr>
            <m:sty m:val="p"/>
          </m:rPr>
          <m:t>×</m:t>
        </m:r>
      </m:oMath>
      <w:r>
        <w:t xml:space="preserve">, 40.5–44.2 inspections per crash) at the top decile</w:t>
      </w:r>
      <w:r>
        <w:t xml:space="preserve"> </w:t>
      </w:r>
      <w:r>
        <w:t xml:space="preserve">and 1.37–1.48% (lift</w:t>
      </w:r>
      <w:r>
        <w:t xml:space="preserve"> </w:t>
      </w:r>
      <m:oMath>
        <m:r>
          <m:t>2.0</m:t>
        </m:r>
        <m:r>
          <m:rPr>
            <m:sty m:val="p"/>
          </m:rPr>
          <m:t>×</m:t>
        </m:r>
      </m:oMath>
      <w:r>
        <w:t xml:space="preserve">) at a 25% flag rate across screenable (0.69%) and fleet-wide (0.74%) vehicle base rates</w:t>
      </w:r>
      <w:r>
        <w:t xml:space="preserve"> </w:t>
      </w:r>
      <w:r>
        <w:t xml:space="preserve">(0.96–1.04% under empirical matched-set screening). Flight log analytics for drone fleets should prioritize longitudinal</w:t>
      </w:r>
      <w:r>
        <w:t xml:space="preserve"> </w:t>
      </w:r>
      <w:r>
        <w:t xml:space="preserve">airframe screening and structured evidence review, not automated verdicts. AeroFleet 2.0 implements this approach as an</w:t>
      </w:r>
      <w:r>
        <w:t xml:space="preserve"> </w:t>
      </w:r>
      <w:r>
        <w:t xml:space="preserve">open-source tool, presenting verifiable evidence while leaving diagnostic decisions to human operators.</w:t>
      </w:r>
    </w:p>
    <w:p>
      <w:pPr>
        <w:pStyle w:val="Heading1"/>
      </w:pPr>
      <w:bookmarkStart w:id="67" w:name="_84dc18e74b75db6057c8c16a8f70e097972540a"/>
      <w:r>
        <w:t xml:space="preserve">Declaration of competing interest</w:t>
      </w:r>
      <w:bookmarkEnd w:id="67"/>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68" w:name="_1f74eb43af444059c7518034463b6c89b1cacf4"/>
      <w:r>
        <w:t xml:space="preserve">Declaration of generative AI and AI-assisted technologies in the manuscript preparation process</w:t>
      </w:r>
      <w:bookmarkEnd w:id="68"/>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69" w:name="_ea5c66868f283220c19382d0fdd5a852ec570ca"/>
      <w:r>
        <w:t xml:space="preserve">Data availability</w:t>
      </w:r>
      <w:bookmarkEnd w:id="69"/>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0">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1" w:name="_funding"/>
      <w:r>
        <w:t xml:space="preserve">Funding</w:t>
      </w:r>
      <w:bookmarkEnd w:id="7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2" w:name="_2e4e683a75f4ea1e96c47404e8a75ca682e3575"/>
      <w:r>
        <w:rPr>
          <w:rStyle w:val="SectionNumber"/>
        </w:rPr>
        <w:t xml:space="preserve">10</w:t>
      </w:r>
      <w:r>
        <w:tab/>
      </w:r>
      <w:r>
        <w:t xml:space="preserve">Assurance tool implementation and</w:t>
      </w:r>
      <w:r>
        <w:br/>
      </w:r>
      <w:r>
        <w:t xml:space="preserve">validation checks</w:t>
      </w:r>
      <w:bookmarkEnd w:id="72"/>
    </w:p>
    <w:p>
      <w:pPr>
        <w:pStyle w:val="Heading2"/>
      </w:pPr>
      <w:bookmarkStart w:id="73" w:name="_e9cb5b0fd220e30d51d52748a99948ea06a1200"/>
      <w:r>
        <w:rPr>
          <w:rStyle w:val="SectionNumber"/>
        </w:rPr>
        <w:t xml:space="preserve">10.1</w:t>
      </w:r>
      <w:r>
        <w:tab/>
      </w:r>
      <w:r>
        <w:t xml:space="preserve">Planned versus flown trajectory checks</w:t>
      </w:r>
      <w:bookmarkEnd w:id="7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 only six distinct missions; the check</w:t>
      </w:r>
      <w:r>
        <w:t xml:space="preserve"> </w:t>
      </w:r>
      <w:r>
        <w:t xml:space="preserve">reported no deviation while any of them flew in mission mode, and the two deviations it did report were stretches in</w:t>
      </w:r>
      <w:r>
        <w:t xml:space="preserve"> </w:t>
      </w:r>
      <w:r>
        <w:t xml:space="preserve">which the vehicle had left mission mode (return-to-launch, or the pilot taking over). Six missions are too few for a</w:t>
      </w:r>
      <w:r>
        <w:t xml:space="preserve"> </w:t>
      </w:r>
      <w:r>
        <w:t xml:space="preserve">rate (95% upper bound 39%), so the false-alarm rate on real plans remains unmeasured and a reported deviation is a</w:t>
      </w:r>
      <w:r>
        <w:t xml:space="preserve"> </w:t>
      </w:r>
      <w:r>
        <w:t xml:space="preserve">reason to look at the replay rather than a finding.</w:t>
      </w:r>
    </w:p>
    <w:p>
      <w:pPr>
        <w:pStyle w:val="Heading2"/>
      </w:pPr>
      <w:bookmarkStart w:id="74" w:name="_ba111e3b1ab1bf9cf9c89fdb5dcad017abb296d"/>
      <w:r>
        <w:rPr>
          <w:rStyle w:val="SectionNumber"/>
        </w:rPr>
        <w:t xml:space="preserve">10.2</w:t>
      </w:r>
      <w:r>
        <w:tab/>
      </w:r>
      <w:r>
        <w:t xml:space="preserve">Searching past community diagnoses</w:t>
      </w:r>
      <w:bookmarkEnd w:id="7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 description, like the log, did not reveal the cause. The tool</w:t>
      </w:r>
      <w:r>
        <w:t xml:space="preserve"> </w:t>
      </w:r>
      <w:r>
        <w:t xml:space="preserve">therefore orders its checklist by how often experts found each cause, marks the causes the description mentions, and</w:t>
      </w:r>
      <w:r>
        <w:t xml:space="preserve"> </w:t>
      </w:r>
      <w:r>
        <w:t xml:space="preserve">offers the most similar threads only as reading, with the measured accuracy shown beside the answer.</w:t>
      </w:r>
    </w:p>
    <w:p>
      <w:pPr>
        <w:pStyle w:val="Heading2"/>
      </w:pPr>
      <w:bookmarkStart w:id="75" w:name="_2fdde5e9aa4343cb9ee229a5abab9cb4de37fc8"/>
      <w:r>
        <w:rPr>
          <w:rStyle w:val="SectionNumber"/>
        </w:rPr>
        <w:t xml:space="preserve">10.3</w:t>
      </w:r>
      <w:r>
        <w:tab/>
      </w:r>
      <w:r>
        <w:t xml:space="preserve">Three-dimensional replay and mission rehearsal</w:t>
      </w:r>
      <w:bookmarkEnd w:id="75"/>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 turns each mission file</w:t>
      </w:r>
      <w:r>
        <w:t xml:space="preserve"> </w:t>
      </w:r>
      <w:r>
        <w:t xml:space="preserve">into a position-over-time trajectory on a common clock (straight legs at stated climb, cruise and descent speeds),</w:t>
      </w:r>
      <w:r>
        <w:t xml:space="preserve"> </w:t>
      </w:r>
      <w:r>
        <w:t xml:space="preserve">finds every pair closer than the separation distance and resolves conflicts by a launch delay or, where allowed, a</w:t>
      </w:r>
      <w:r>
        <w:t xml:space="preserve"> </w:t>
      </w:r>
      <w:r>
        <w:t xml:space="preserve">different cruise height. The rehearsal flies all missions on that clock, as uploaded and as rescheduled, with each loss</w:t>
      </w:r>
      <w:r>
        <w:t xml:space="preserve"> </w:t>
      </w:r>
      <w:r>
        <w:t xml:space="preserve">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9" w:name="_bf99149bad0dada6e2c9862d0554e4b7cad348e"/>
    <w:p>
      <w:pPr>
        <w:pStyle w:val="CaptionedFigure"/>
        <w:jc w:val="center"/>
      </w:pPr>
      <w:r>
        <w:drawing>
          <wp:inline>
            <wp:extent cx="5334000" cy="4488933"/>
            <wp:effectExtent b="0" l="0" r="0" t="0"/>
            <wp:docPr descr="" title="" id="77" name="Picture"/>
            <a:graphic>
              <a:graphicData uri="http://schemas.openxmlformats.org/drawingml/2006/picture">
                <pic:pic>
                  <pic:nvPicPr>
                    <pic:cNvPr descr="fig_rehearsal.png" id="78" name="Picture"/>
                    <pic:cNvPicPr>
                      <a:picLocks noChangeArrowheads="1" noChangeAspect="1"/>
                    </pic:cNvPicPr>
                  </pic:nvPicPr>
                  <pic:blipFill>
                    <a:blip r:embed="rId76"/>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9"/>
    <w:p>
      <w:pPr>
        <w:pStyle w:val="Heading1"/>
      </w:pPr>
      <w:bookmarkStart w:id="80" w:name="_81f332d0bc99ea95ecab20532ec82dd8605ae66"/>
      <w:r>
        <w:rPr>
          <w:rStyle w:val="SectionNumber"/>
        </w:rPr>
        <w:t xml:space="preserve">11</w:t>
      </w:r>
      <w:r>
        <w:tab/>
      </w:r>
      <w:r>
        <w:t xml:space="preserve">Exploratory evaluation of language-model</w:t>
      </w:r>
      <w:r>
        <w:br/>
      </w:r>
      <w:r>
        <w:t xml:space="preserve">review panels</w:t>
      </w:r>
      <w:bookmarkEnd w:id="80"/>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B.10): wrong answers ranged from 6 to 38 of 60 (10–63%).</w:t>
      </w:r>
    </w:p>
    <w:p>
      <w:pPr>
        <w:pStyle w:val="BodyText"/>
      </w:pPr>
      <w:r>
        <w:t xml:space="preserve">Reporting coverage (share of cases decided) and accuracy-when-answering separately clarifies the failure mechanisms of</w:t>
      </w:r>
      <w:r>
        <w:t xml:space="preserve"> </w:t>
      </w:r>
      <w:r>
        <w:t xml:space="preserve">individual models. The single-agent configurations of</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abstained on all 50 cases</w:t>
      </w:r>
      <w:r>
        <w:t xml:space="preserve"> </w:t>
      </w:r>
      <w:r>
        <w:t xml:space="preserve">with an active cause (0% active coverage); their 10</w:t>
      </w:r>
      <w:r>
        <w:t xml:space="preserve"> </w:t>
      </w:r>
      <w:r>
        <w:t xml:space="preserve">“right”</w:t>
      </w:r>
      <w:r>
        <w:t xml:space="preserve"> </w:t>
      </w:r>
      <w:r>
        <w:t xml:space="preserve">scores stemmed entirely from correctly leaving the 10</w:t>
      </w:r>
      <w:r>
        <w:t xml:space="preserve"> </w:t>
      </w:r>
      <w:r>
        <w:t xml:space="preserve">no-cause cases open.</w:t>
      </w:r>
      <w:r>
        <w:t xml:space="preserve"> </w:t>
      </w:r>
      <w:r>
        <w:rPr>
          <w:rStyle w:val="VerbatimChar"/>
        </w:rPr>
        <w:t xml:space="preserve">qwen2.5:3b</w:t>
      </w:r>
      <w:r>
        <w:t xml:space="preserve"> </w:t>
      </w:r>
      <w:r>
        <w:t xml:space="preserve">answered 53 of 60 cases (88% coverage) but achieved only 17.0% accuracy when</w:t>
      </w:r>
      <w:r>
        <w:t xml:space="preserve"> </w:t>
      </w:r>
      <w:r>
        <w:t xml:space="preserve">answering (9 right, 44 wrong), which is indistinguishable from random guessing across the six cause classes (16.7%).</w:t>
      </w:r>
      <w:r>
        <w:t xml:space="preserve"> </w:t>
      </w:r>
      <w:r>
        <w:rPr>
          <w:rStyle w:val="VerbatimChar"/>
        </w:rPr>
        <w:t xml:space="preserve">qwen3:4b</w:t>
      </w:r>
      <w:r>
        <w:t xml:space="preserve"> </w:t>
      </w:r>
      <w:r>
        <w:t xml:space="preserve">suffered complete mode collapse on decided cases: across the 41 cases it answered (the remaining 19</w:t>
      </w:r>
      <w:r>
        <w:t xml:space="preserve"> </w:t>
      </w:r>
      <w:r>
        <w:t xml:space="preserve">failed JSON schema parsing), it attributed all 41 to</w:t>
      </w:r>
      <w:r>
        <w:t xml:space="preserve"> </w:t>
      </w:r>
      <w:r>
        <w:rPr>
          <w:rStyle w:val="VerbatimChar"/>
        </w:rPr>
        <w:t xml:space="preserve">PLAN_OR_ROUTE_ISSUE</w:t>
      </w:r>
      <w:r>
        <w:t xml:space="preserve">, yielding 0 right, 41 wrong (0%</w:t>
      </w:r>
      <w:r>
        <w:t xml:space="preserve"> </w:t>
      </w:r>
      <w:r>
        <w:t xml:space="preserve">accuracy when answering).</w:t>
      </w:r>
    </w:p>
    <w:p>
      <w:pPr>
        <w:pStyle w:val="BodyText"/>
      </w:pPr>
      <w:r>
        <w:t xml:space="preserve">Multi-agent panel deliberation increased coverage for</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to 65%, but accuracy when</w:t>
      </w:r>
      <w:r>
        <w:t xml:space="preserve"> </w:t>
      </w:r>
      <w:r>
        <w:t xml:space="preserve">answering remained low for</w:t>
      </w:r>
      <w:r>
        <w:t xml:space="preserve"> </w:t>
      </w:r>
      <w:r>
        <w:rPr>
          <w:rStyle w:val="VerbatimChar"/>
        </w:rPr>
        <w:t xml:space="preserve">gemma3</w:t>
      </w:r>
      <w:r>
        <w:t xml:space="preserve"> </w:t>
      </w:r>
      <w:r>
        <w:t xml:space="preserve">(7.7%, 3 of 39) and modest for</w:t>
      </w:r>
      <w:r>
        <w:t xml:space="preserve"> </w:t>
      </w:r>
      <w:r>
        <w:rPr>
          <w:rStyle w:val="VerbatimChar"/>
        </w:rPr>
        <w:t xml:space="preserve">phi4</w:t>
      </w:r>
      <w:r>
        <w:t xml:space="preserve"> </w:t>
      </w:r>
      <w:r>
        <w:t xml:space="preserve">(51.3%, 20 of 39).</w:t>
      </w:r>
      <w:r>
        <w:t xml:space="preserve"> </w:t>
      </w:r>
      <w:r>
        <w:rPr>
          <w:rStyle w:val="VerbatimChar"/>
        </w:rPr>
        <w:t xml:space="preserve">qwen2.5:3b</w:t>
      </w:r>
      <w:r>
        <w:t xml:space="preserve"> </w:t>
      </w:r>
      <w:r>
        <w:t xml:space="preserve">achieved 62.5% accuracy when answering in the panel (10 right, 6 wrong), but deferred on 73% of cases</w:t>
      </w:r>
      <w:r>
        <w:t xml:space="preserve"> </w:t>
      </w:r>
      <w:r>
        <w:t xml:space="preserve">(16 answered).</w:t>
      </w:r>
      <w:r>
        <w:t xml:space="preserve"> </w:t>
      </w:r>
      <w:r>
        <w:rPr>
          <w:rStyle w:val="VerbatimChar"/>
        </w:rPr>
        <w:t xml:space="preserve">qwen3:4b</w:t>
      </w:r>
      <w:r>
        <w:t xml:space="preserve"> </w:t>
      </w:r>
      <w:r>
        <w:t xml:space="preserve">reached 30.9% accuracy when answering (17 of 55).</w:t>
      </w:r>
    </w:p>
    <w:p>
      <w:pPr>
        <w:pStyle w:val="BodyText"/>
      </w:pPr>
      <w:r>
        <w:t xml:space="preserve">In the adversarial robustness test, we conducted a worst-case sensitivity sweep where a single compromised reviewer systematically</w:t>
      </w:r>
      <w:r>
        <w:t xml:space="preserve"> </w:t>
      </w:r>
      <w:r>
        <w:t xml:space="preserve">advocated for a designated incorrect cause across both voting rounds. This adversary successfully flipped the panel’s consensus in 45</w:t>
      </w:r>
      <w:r>
        <w:t xml:space="preserve"> </w:t>
      </w:r>
      <w:r>
        <w:t xml:space="preserve">to 56 of 60 cases (Table B.10). This highlights that multi-agent consensus voting without cryptographic proofs or</w:t>
      </w:r>
      <w:r>
        <w:t xml:space="preserve"> </w:t>
      </w:r>
      <w:r>
        <w:t xml:space="preserve">fact-citation enforcement remains vulnerable to rogue reviewers. In contrast, 40 hostile prompt-injection strings planted in</w:t>
      </w:r>
      <w:r>
        <w:t xml:space="preserve"> </w:t>
      </w:r>
      <w:r>
        <w:t xml:space="preserve">uploader-controlled fields never reached any model prompt because the pipeline deterministically extracts numeric telemetry into</w:t>
      </w:r>
      <w:r>
        <w:t xml:space="preserve"> </w:t>
      </w:r>
      <w:r>
        <w:t xml:space="preserve">code, preventing direct prompt injection by construction.</w:t>
      </w:r>
    </w:p>
    <w:bookmarkStart w:id="81" w:name="_e9a1c7ab9cd062877714c77f2a5f253f301b820"/>
    <w:p>
      <w:pPr>
        <w:pStyle w:val="TableCaption"/>
      </w:pPr>
      <w:r>
        <w:t xml:space="preserve">Table B.10. Language-model review panels on 60 generated cases: counts of right (R), wrong (W), and deferred (Def) cases,</w:t>
      </w:r>
      <w:r>
        <w:t xml:space="preserve"> </w:t>
      </w:r>
      <w:r>
        <w:t xml:space="preserve">with coverage (Cov., share of cases decided) and accuracy when answering (Acc.).</w:t>
      </w:r>
      <w:r>
        <w:t xml:space="preserve"> </w:t>
      </w:r>
      <w:r>
        <w:t xml:space="preserve">“Right”</w:t>
      </w:r>
      <w:r>
        <w:t xml:space="preserve"> </w:t>
      </w:r>
      <w:r>
        <w:t xml:space="preserve">includes correctly leaving a</w:t>
      </w:r>
      <w:r>
        <w:t xml:space="preserve"> </w:t>
      </w:r>
      <w:r>
        <w:t xml:space="preserve">no-cause case open. Single-agent gemma3 and phi4 answered only the 10 no-cause cases (0% coverage on active causes).</w:t>
      </w:r>
      <w:r>
        <w:t xml:space="preserve"> </w:t>
      </w:r>
      <w:r>
        <w:t xml:space="preserve">Adversary flips show consensus changes caused by a single compromised reviewer in a worst-case sweep.</w:t>
      </w:r>
    </w:p>
    <w:tbl>
      <w:tblPr>
        <w:tblStyle w:val="Table"/>
        <w:tblW w:type="pct" w:w="5000"/>
        <w:tblLook w:firstRow="0" w:lastRow="0" w:firstColumn="0" w:lastColumn="0" w:noHBand="0" w:noVBand="0" w:val="0000"/>
        <w:tblCaption w:val="Table B.10.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81"/>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1"/>
      </w:pPr>
      <w:bookmarkStart w:id="82" w:name="_bibliography"/>
      <w:r>
        <w:t xml:space="preserve">References</w:t>
      </w:r>
      <w:bookmarkEnd w:id="82"/>
    </w:p>
    <w:bookmarkStart w:id="144"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2">
        <w:r>
          <w:rPr>
            <w:rStyle w:val="Hyperlink"/>
          </w:rPr>
          <w:t xml:space="preserve">10.1177/0278364920966642</w:t>
        </w:r>
      </w:hyperlink>
      <w:r>
        <w:t xml:space="preserve">.</w:t>
      </w:r>
    </w:p>
    <w:bookmarkEnd w:id="93"/>
    <w:bookmarkStart w:id="95"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4">
        <w:r>
          <w:rPr>
            <w:rStyle w:val="Hyperlink"/>
          </w:rPr>
          <w:t xml:space="preserve">10.1177/02783649241305153</w:t>
        </w:r>
      </w:hyperlink>
      <w:r>
        <w:t xml:space="preserve">.</w:t>
      </w:r>
    </w:p>
    <w:bookmarkEnd w:id="95"/>
    <w:bookmarkStart w:id="96"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6"/>
    <w:bookmarkStart w:id="98"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7">
        <w:r>
          <w:rPr>
            <w:rStyle w:val="Hyperlink"/>
          </w:rPr>
          <w:t xml:space="preserve">10.3390/aerospace3030022</w:t>
        </w:r>
      </w:hyperlink>
      <w:r>
        <w:t xml:space="preserve">.</w:t>
      </w:r>
    </w:p>
    <w:bookmarkEnd w:id="98"/>
    <w:bookmarkStart w:id="99"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9"/>
    <w:bookmarkStart w:id="101"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100">
        <w:r>
          <w:rPr>
            <w:rStyle w:val="Hyperlink"/>
          </w:rPr>
          <w:t xml:space="preserve">10.1145/2382577.2382579</w:t>
        </w:r>
      </w:hyperlink>
      <w:r>
        <w:t xml:space="preserve">.</w:t>
      </w:r>
    </w:p>
    <w:bookmarkEnd w:id="101"/>
    <w:bookmarkStart w:id="103"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102">
        <w:r>
          <w:rPr>
            <w:rStyle w:val="Hyperlink"/>
          </w:rPr>
          <w:t xml:space="preserve">10.1016/j.patter.2023.100804</w:t>
        </w:r>
      </w:hyperlink>
      <w:r>
        <w:t xml:space="preserve">.</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8"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7">
        <w:r>
          <w:rPr>
            <w:rStyle w:val="Hyperlink"/>
          </w:rPr>
          <w:t xml:space="preserve">10.1073/pnas.1708274114</w:t>
        </w:r>
      </w:hyperlink>
      <w:r>
        <w:t xml:space="preserve">.</w:t>
      </w:r>
    </w:p>
    <w:bookmarkEnd w:id="108"/>
    <w:bookmarkStart w:id="109"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9"/>
    <w:bookmarkStart w:id="111"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0">
        <w:r>
          <w:rPr>
            <w:rStyle w:val="Hyperlink"/>
          </w:rPr>
          <w:t xml:space="preserve">10.3390/s26103188</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20">
        <w:r>
          <w:rPr>
            <w:rStyle w:val="Hyperlink"/>
          </w:rPr>
          <w:t xml:space="preserve">10.3390/s18093171</w:t>
        </w:r>
      </w:hyperlink>
      <w:r>
        <w:t xml:space="preserve">.</w:t>
      </w:r>
    </w:p>
    <w:bookmarkEnd w:id="121"/>
    <w:bookmarkStart w:id="122"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22"/>
    <w:bookmarkStart w:id="124"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3">
        <w:r>
          <w:rPr>
            <w:rStyle w:val="Hyperlink"/>
          </w:rPr>
          <w:t xml:space="preserve">https://proceedings.mlr.press/v235/du24e.html</w:t>
        </w:r>
      </w:hyperlink>
      <w:r>
        <w:t xml:space="preserve">.</w:t>
      </w:r>
    </w:p>
    <w:bookmarkEnd w:id="124"/>
    <w:bookmarkStart w:id="126"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5">
        <w:r>
          <w:rPr>
            <w:rStyle w:val="Hyperlink"/>
          </w:rPr>
          <w:t xml:space="preserve">10.1145/3605764.3623985</w:t>
        </w:r>
      </w:hyperlink>
      <w:r>
        <w:t xml:space="preserve">.</w:t>
      </w:r>
    </w:p>
    <w:bookmarkEnd w:id="126"/>
    <w:bookmarkStart w:id="128"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7">
        <w:r>
          <w:rPr>
            <w:rStyle w:val="Hyperlink"/>
          </w:rPr>
          <w:t xml:space="preserve">10.1109/TNNLS.2013.2292894</w:t>
        </w:r>
      </w:hyperlink>
      <w:r>
        <w:t xml:space="preserve">.</w:t>
      </w:r>
    </w:p>
    <w:bookmarkEnd w:id="128"/>
    <w:bookmarkStart w:id="130"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9">
        <w:r>
          <w:rPr>
            <w:rStyle w:val="Hyperlink"/>
          </w:rPr>
          <w:t xml:space="preserve">10.1214/09-STS313</w:t>
        </w:r>
      </w:hyperlink>
      <w:r>
        <w:t xml:space="preserve">.</w:t>
      </w:r>
    </w:p>
    <w:bookmarkEnd w:id="130"/>
    <w:bookmarkStart w:id="132"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31">
        <w:r>
          <w:rPr>
            <w:rStyle w:val="Hyperlink"/>
          </w:rPr>
          <w:t xml:space="preserve">10.3233/AIC-1994-7104</w:t>
        </w:r>
      </w:hyperlink>
      <w:r>
        <w:t xml:space="preserve">.</w:t>
      </w:r>
    </w:p>
    <w:bookmarkEnd w:id="132"/>
    <w:bookmarkStart w:id="134"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3">
        <w:r>
          <w:rPr>
            <w:rStyle w:val="Hyperlink"/>
          </w:rPr>
          <w:t xml:space="preserve">10.1561/1500000019</w:t>
        </w:r>
      </w:hyperlink>
      <w:r>
        <w:t xml:space="preserve">.</w:t>
      </w:r>
    </w:p>
    <w:bookmarkEnd w:id="134"/>
    <w:bookmarkStart w:id="136"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5">
        <w:r>
          <w:rPr>
            <w:rStyle w:val="Hyperlink"/>
          </w:rPr>
          <w:t xml:space="preserve">10.1145/223904.223938</w:t>
        </w:r>
      </w:hyperlink>
      <w:r>
        <w:t xml:space="preserve">.</w:t>
      </w:r>
    </w:p>
    <w:bookmarkEnd w:id="136"/>
    <w:bookmarkStart w:id="138"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7">
        <w:r>
          <w:rPr>
            <w:rStyle w:val="Hyperlink"/>
          </w:rPr>
          <w:t xml:space="preserve">10.1148/radiology.143.1.7063747</w:t>
        </w:r>
      </w:hyperlink>
      <w:r>
        <w:t xml:space="preserve">.</w:t>
      </w:r>
    </w:p>
    <w:bookmarkEnd w:id="138"/>
    <w:bookmarkStart w:id="140"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9">
        <w:r>
          <w:rPr>
            <w:rStyle w:val="Hyperlink"/>
          </w:rPr>
          <w:t xml:space="preserve">10.1214/aoms/1177730491</w:t>
        </w:r>
      </w:hyperlink>
      <w:r>
        <w:t xml:space="preserve">.</w:t>
      </w:r>
    </w:p>
    <w:bookmarkEnd w:id="140"/>
    <w:bookmarkStart w:id="141"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41"/>
    <w:bookmarkStart w:id="143"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42">
        <w:r>
          <w:rPr>
            <w:rStyle w:val="Hyperlink"/>
          </w:rPr>
          <w:t xml:space="preserve">https://www.jstor.org/stable/4615733</w:t>
        </w:r>
      </w:hyperlink>
      <w:r>
        <w:t xml:space="preserve">.</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6" Type="http://schemas.openxmlformats.org/officeDocument/2006/relationships/image" Target="media/rId76.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2026-10-25T14:28:35Z</dcterms:created>
  <dcterms:modified xsi:type="dcterms:W3CDTF">2026-10-25T14:28:35Z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