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show whether a drone crash was caused by the pilot or the aircraft. Across 590 uploader-rated PX4 crash logs from an index of 479,547 flights (590 rated</w:t>
      </w:r>
      <w:r>
        <w:t xml:space="preserve"> </w:t>
      </w:r>
      <m:oMath>
        <m:r>
          <m:rPr>
            <m:sty m:val="p"/>
          </m:rPr>
          <m:t>→</m:t>
        </m:r>
      </m:oMath>
      <w:r>
        <w:t xml:space="preserve"> </w:t>
      </w:r>
      <w:r>
        <w:t xml:space="preserve">520 on real hardware</w:t>
      </w:r>
      <w:r>
        <w:t xml:space="preserve"> </w:t>
      </w:r>
      <m:oMath>
        <m:r>
          <m:rPr>
            <m:sty m:val="p"/>
          </m:rPr>
          <m:t>→</m:t>
        </m:r>
      </m:oMath>
      <w:r>
        <w:t xml:space="preserve"> </w:t>
      </w:r>
      <w:r>
        <w:t xml:space="preserve">205 rule-evaluated</w:t>
      </w:r>
      <w:r>
        <w:t xml:space="preserve"> </w:t>
      </w:r>
      <m:oMath>
        <m:r>
          <m:rPr>
            <m:sty m:val="p"/>
          </m:rPr>
          <m:t>→</m:t>
        </m:r>
      </m:oMath>
      <w:r>
        <w:t xml:space="preserve"> </w:t>
      </w:r>
      <w:r>
        <w:t xml:space="preserve">148 modelled), we ask what evidentiary value logs carry for a fleet operator once evaluation guards against crash-window leakage and between-aircraft confounding. Confirmatory tests were declared in version control before analysis; analyses added during review are marked</w:t>
      </w:r>
      <w:r>
        <w:t xml:space="preserve"> </w:t>
      </w:r>
      <m:oMath>
        <m:sSup>
          <m:e>
            <m:r>
              <m:t>​</m:t>
            </m:r>
          </m:e>
          <m:sup>
            <m:r>
              <m:rPr>
                <m:sty m:val="p"/>
              </m:rPr>
              <m:t>†</m:t>
            </m:r>
          </m:sup>
        </m:sSup>
      </m:oMath>
      <w:r>
        <w:t xml:space="preserve">. A fixed attribution rule reached a balanced accuracy of 0.47 on 112 held-out crashes (declared pass mark 0.70).</w:t>
      </w:r>
      <w:r>
        <w:t xml:space="preserve"> </w:t>
      </w:r>
      <m:oMath>
        <m:sSup>
          <m:e>
            <m:r>
              <m:t>​</m:t>
            </m:r>
          </m:e>
          <m:sup>
            <m:r>
              <m:rPr>
                <m:sty m:val="p"/>
              </m:rPr>
              <m:t>†</m:t>
            </m:r>
          </m:sup>
        </m:sSup>
      </m:oMath>
      <w:r>
        <w:t xml:space="preserve">Cross-validated models gave AUCs of 0.41–0.50 (upper 95% bootstrap bounds</w:t>
      </w:r>
      <w:r>
        <w:t xml:space="preserve"> </w:t>
      </w:r>
      <m:oMath>
        <m:r>
          <m:rPr>
            <m:sty m:val="p"/>
          </m:rPr>
          <m:t>≤</m:t>
        </m:r>
        <m:r>
          <m:t>0.62</m:t>
        </m:r>
      </m:oMath>
      <w:r>
        <w:t xml:space="preserve">); with 36 pilot-labelled crashes in the modelling sample, 80% power requires an AUC of roughly 0.65 under asymptotic theory (0.72 under the empirical permutation null), far below the</w:t>
      </w:r>
      <w:r>
        <w:t xml:space="preserve"> </w:t>
      </w:r>
      <m:oMath>
        <m:r>
          <m:rPr>
            <m:sty m:val="p"/>
          </m:rPr>
          <m:t>≈</m:t>
        </m:r>
        <m:r>
          <m:t>0.8</m:t>
        </m:r>
      </m:oMath>
      <w:r>
        <w:t xml:space="preserve"> </w:t>
      </w:r>
      <w:r>
        <w:t xml:space="preserve">needed for an operational verdict.</w:t>
      </w:r>
      <w:r>
        <w:t xml:space="preserve"> </w:t>
      </w:r>
      <m:oMath>
        <m:sSup>
          <m:e>
            <m:r>
              <m:t>​</m:t>
            </m:r>
          </m:e>
          <m:sup>
            <m:r>
              <m:rPr>
                <m:sty m:val="p"/>
              </m:rPr>
              <m:t>†</m:t>
            </m:r>
          </m:sup>
        </m:sSup>
      </m:oMath>
      <w:r>
        <w:t xml:space="preserve">On 43 expert-diagnosed logs the rule was inconclusive (balanced accuracy 0.381, 95% CrI 0.25–0.61, class-averaged bound 0.19–0.73; cannot exclude the 0.70 pass mark; pilot recall 1 of 5).</w:t>
      </w:r>
      <w:r>
        <w:t xml:space="preserve"> </w:t>
      </w:r>
      <m:oMath>
        <m:sSup>
          <m:e>
            <m:r>
              <m:t>​</m:t>
            </m:r>
          </m:e>
          <m:sup>
            <m:r>
              <m:rPr>
                <m:sty m:val="p"/>
              </m:rPr>
              <m:t>†</m:t>
            </m:r>
          </m:sup>
        </m:sSup>
      </m:oMath>
      <w:r>
        <w:t xml:space="preserve">Moving from cross-sectional to within-drone evaluation reduced model AUC from 0.88 to 0.58 across evaluation cohorts; decomposition shows that vehicle-grouped folds and crash-window removal do not explain this gap, consistent with airframe and duration confounding.</w:t>
      </w:r>
      <w:r>
        <w:t xml:space="preserve"> </w:t>
      </w:r>
      <m:oMath>
        <m:sSup>
          <m:e>
            <m:r>
              <m:t>​</m:t>
            </m:r>
          </m:e>
          <m:sup>
            <m:r>
              <m:rPr>
                <m:sty m:val="p"/>
              </m:rPr>
              <m:t>†</m:t>
            </m:r>
          </m:sup>
        </m:sSup>
      </m:oMath>
      <w:r>
        <w:t xml:space="preserve">Diagnostic checks were consistent with crash data leakage (exploratory, tuning fault sensitivity fell from 7/9 [77.8%] to 1/9 [11.1%], unadjusted</w:t>
      </w:r>
      <w:r>
        <w:t xml:space="preserve"> </w:t>
      </w:r>
      <m:oMath>
        <m:r>
          <m:t>p</m:t>
        </m:r>
        <m:r>
          <m:rPr>
            <m:sty m:val="p"/>
          </m:rPr>
          <m:t>=</m:t>
        </m:r>
        <m:r>
          <m:t>0.031</m:t>
        </m:r>
      </m:oMath>
      <w:r>
        <w:t xml:space="preserve">, without the final 10 s; normal-flight firing also fell from 13% to 5%, showing that shorter windows also reduce trigger exposure). Drones that later crashed vibrated more than matched peers on older estimator metrics (mean rank 0.67, Holm</w:t>
      </w:r>
      <w:r>
        <w:t xml:space="preserve"> </w:t>
      </w:r>
      <m:oMath>
        <m:r>
          <m:t>p</m:t>
        </m:r>
        <m:r>
          <m:rPr>
            <m:sty m:val="p"/>
          </m:rPr>
          <m:t>=</m:t>
        </m:r>
        <m:r>
          <m:t>0.016</m:t>
        </m:r>
      </m:oMath>
      <w:r>
        <w:t xml:space="preserve">); replication on newer accelerometer metrics was inconclusive (</w:t>
      </w:r>
      <m:oMath>
        <m:r>
          <m:t>p</m:t>
        </m:r>
        <m:r>
          <m:rPr>
            <m:sty m:val="p"/>
          </m:rPr>
          <m:t>=</m:t>
        </m:r>
        <m:r>
          <m:t>0.25</m:t>
        </m:r>
      </m:oMath>
      <w:r>
        <w:t xml:space="preserve">, 19 sets).</w:t>
      </w:r>
      <w:r>
        <w:t xml:space="preserve"> </w:t>
      </w:r>
      <m:oMath>
        <m:sSup>
          <m:e>
            <m:r>
              <m:t>​</m:t>
            </m:r>
          </m:e>
          <m:sup>
            <m:r>
              <m:rPr>
                <m:sty m:val="p"/>
              </m:rPr>
              <m:t>†</m:t>
            </m:r>
          </m:sup>
        </m:sSup>
      </m:oMath>
      <w:r>
        <w:t xml:space="preserve">Screening at a 10% flag rate gave positive predictive values of 2.26–2.47% (lift</w:t>
      </w:r>
      <w:r>
        <w:t xml:space="preserve"> </w:t>
      </w:r>
      <m:oMath>
        <m:r>
          <m:t>3.3</m:t>
        </m:r>
        <m:r>
          <m:rPr>
            <m:sty m:val="p"/>
          </m:rPr>
          <m:t>×</m:t>
        </m:r>
      </m:oMath>
      <w:r>
        <w:t xml:space="preserve">, 40–44 inspections per crash) on a reference of 107 control drones. AeroFleet 2.0 presents longitudinal evidence without issuing automatic verdicts.</w:t>
      </w:r>
    </w:p>
    <w:p>
      <w:pPr>
        <w:pStyle w:val="BodyText"/>
      </w:pPr>
      <w:r>
        <w:rPr>
          <w:b/>
          <w:bCs/>
        </w:rPr>
        <w:t xml:space="preserve">Keywords:</w:t>
      </w:r>
      <w:r>
        <w:t xml:space="preserve"> </w:t>
      </w:r>
      <w:r>
        <w:t xml:space="preserve">Unmanned aircraft systems; Flight log analysis; Crash investigation; Fault diagnosis; Data leakage; Declared protocols;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are as follows.</w:t>
      </w:r>
      <w:r>
        <w:t xml:space="preserve"> </w:t>
      </w:r>
      <w:r>
        <w:t xml:space="preserve">(i) We introduce and apply a</w:t>
      </w:r>
      <w:r>
        <w:t xml:space="preserve"> </w:t>
      </w:r>
      <w:r>
        <w:rPr>
          <w:i/>
          <w:iCs/>
        </w:rPr>
        <w:t xml:space="preserve">crash-window ablation and within-aircraft Group-CV evaluation protocol</w:t>
      </w:r>
      <w:r>
        <w:t xml:space="preserve">: we remove</w:t>
      </w:r>
      <w:r>
        <w:t xml:space="preserve"> </w:t>
      </w:r>
      <w:r>
        <w:t xml:space="preserve">the final crash window from diagnostic checks (quantifying that candidate tuning sensitivity fell from 7/9 to 1/9, unadjusted</w:t>
      </w:r>
      <w:r>
        <w:t xml:space="preserve"> </w:t>
      </w:r>
      <m:oMath>
        <m:r>
          <m:t>p</m:t>
        </m:r>
        <m:r>
          <m:rPr>
            <m:sty m:val="p"/>
          </m:rPr>
          <m:t>=</m:t>
        </m:r>
        <m:r>
          <m:t>0.031</m:t>
        </m:r>
      </m:oMath>
      <w:r>
        <w:t xml:space="preserve">, exploratory, alongside a drop in normal false alarms from 13% to 5%) and</w:t>
      </w:r>
      <w:r>
        <w:t xml:space="preserve"> </w:t>
      </w:r>
      <w:r>
        <w:t xml:space="preserve">replace cross-sectional comparisons with within-drone evaluation across multi-flight airframes (reducing apparent</w:t>
      </w:r>
      <w:r>
        <w:t xml:space="preserve"> </w:t>
      </w:r>
      <w:r>
        <w:t xml:space="preserve">AUC from 0.88 to 0.58 across cohorts); this reusable protocol was committed to version control prior to running analysis</w:t>
      </w:r>
      <w:r>
        <w:t xml:space="preserve"> </w:t>
      </w:r>
      <w:r>
        <w:t xml:space="preserve">(confirmatory tests committed 20–23 October 2026) so that others can apply it to any drone-log diagnostic.</w:t>
      </w:r>
      <w:r>
        <w:t xml:space="preserve"> </w:t>
      </w:r>
      <w:r>
        <w:t xml:space="preserve">(ii) We assemble, to our knowledge, a small first validation set of real-flight crash logs from public PX4 archives that pairs uploader responsibility labels</w:t>
      </w:r>
      <w:r>
        <w:t xml:space="preserve"> </w:t>
      </w:r>
      <w:r>
        <w:t xml:space="preserve">with independent expert forum diagnoses (</w:t>
      </w:r>
      <m:oMath>
        <m:r>
          <m:t>κ</m:t>
        </m:r>
        <m:r>
          <m:rPr>
            <m:sty m:val="p"/>
          </m:rPr>
          <m:t>≥</m:t>
        </m:r>
        <m:r>
          <m:t>0.73</m:t>
        </m:r>
      </m:oMath>
      <w:r>
        <w:t xml:space="preserve">, 148 threads, 43 downloadable logs).</w:t>
      </w:r>
      <w:r>
        <w:t xml:space="preserve"> </w:t>
      </w:r>
      <w:r>
        <w:t xml:space="preserve">(iii) We show that with these rules, models and labels, cross-validated classification yielded AUCs between 0.408 and 0.501</w:t>
      </w:r>
      <w:r>
        <w:t xml:space="preserve"> </w:t>
      </w:r>
      <w:r>
        <w:t xml:space="preserve">(upper 95% bootstrap bounds 0.510–0.619); with 36 pilot-labelled crashes in the modelling sample, 80% power requires an AUC of roughly 0.65 under asymptotic theory (0.72 under the empirical permutation null), far below the roughly 0.8 an operational attribution verdict requires. Agreement</w:t>
      </w:r>
      <w:r>
        <w:t xml:space="preserve"> </w:t>
      </w:r>
      <w:r>
        <w:t xml:space="preserve">with expert forum diagnoses was statistically inconclusive (balanced accuracy 0.381, 95% CrI 0.25–0.61, class-averaged bound 0.19–0.73; cannot exclude agreement at the declared 0.70 pass mark; pilot recall 1 of 5).</w:t>
      </w:r>
      <w:r>
        <w:t xml:space="preserve"> </w:t>
      </w:r>
      <w:r>
        <w:t xml:space="preserve">This constitutes a prospectively declared negative result, not a post-hoc reinterpretation. Furthermore, apparent diagnostic accuracy</w:t>
      </w:r>
      <w:r>
        <w:t xml:space="preserve"> </w:t>
      </w:r>
      <w:r>
        <w:t xml:space="preserve">is consistent with crash-window leakage.</w:t>
      </w:r>
      <w:r>
        <w:t xml:space="preserve"> </w:t>
      </w:r>
      <w:r>
        <w:t xml:space="preserve">(iv) We report one partial positive screening signal: drones that later crash are rougher than matched peers on older</w:t>
      </w:r>
      <w:r>
        <w:t xml:space="preserve"> </w:t>
      </w:r>
      <w:r>
        <w:t xml:space="preserve">estimator metrics (mean rank 0.67, Holm</w:t>
      </w:r>
      <w:r>
        <w:t xml:space="preserve"> </w:t>
      </w:r>
      <m:oMath>
        <m:r>
          <m:t>p</m:t>
        </m:r>
        <m:r>
          <m:rPr>
            <m:sty m:val="p"/>
          </m:rPr>
          <m:t>=</m:t>
        </m:r>
        <m:r>
          <m:t>0.016</m:t>
        </m:r>
      </m:oMath>
      <w:r>
        <w:t xml:space="preserve">); replication on newer accelerometer metrics was inconclusive</w:t>
      </w:r>
      <w:r>
        <w:t xml:space="preserve"> </w:t>
      </w:r>
      <w:r>
        <w:t xml:space="preserve">(</w:t>
      </w:r>
      <m:oMath>
        <m:r>
          <m:t>p</m:t>
        </m:r>
        <m:r>
          <m:rPr>
            <m:sty m:val="p"/>
          </m:rPr>
          <m:t>=</m:t>
        </m:r>
        <m:r>
          <m:t>0.25</m:t>
        </m:r>
      </m:oMath>
      <w:r>
        <w:t xml:space="preserve">, 19 sets, severely underpowered). Stratum-matched fleet screening yields an operational PPV of 2.26–2.47%</w:t>
      </w:r>
      <w:r>
        <w:t xml:space="preserve"> </w:t>
      </w:r>
      <w:r>
        <w:t xml:space="preserve">(lift</w:t>
      </w:r>
      <w:r>
        <w:t xml:space="preserve"> </w:t>
      </w:r>
      <m:oMath>
        <m:r>
          <m:t>3.3</m:t>
        </m:r>
        <m:r>
          <m:rPr>
            <m:sty m:val="p"/>
          </m:rPr>
          <m:t>×</m:t>
        </m:r>
      </m:oMath>
      <w:r>
        <w:t xml:space="preserve">, 40.5–44.2 inspections per crash) at a 10% flag rate on a reference of 107 control drones—a maintenance</w:t>
      </w:r>
      <w:r>
        <w:t xml:space="preserve"> </w:t>
      </w:r>
      <w:r>
        <w:t xml:space="preserve">prioritization signal, not an operational warning.</w:t>
      </w:r>
      <w:r>
        <w:t xml:space="preserve"> </w:t>
      </w:r>
      <w:r>
        <w:t xml:space="preserve">(v) We show how these results translate into design implications for fleet assurance tools that present longitudinal evidence</w:t>
      </w:r>
      <w:r>
        <w:t xml:space="preserve"> </w:t>
      </w:r>
      <w:r>
        <w:t xml:space="preserve">and rank drones without issuing automatic verdicts.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To our knowledge, none of these public resources</w:t>
      </w:r>
      <w:r>
        <w:t xml:space="preserve"> </w:t>
      </w:r>
      <w:r>
        <w:t xml:space="preserve">labels real crashes by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19</w:t>
        </w:r>
      </w:hyperlink>
      <w:r>
        <w:t xml:space="preserve">,</w:t>
      </w:r>
      <w:hyperlink w:anchor="_1ece912d6a7cc2c7f97bdecc84d0912f3af390e">
        <w:r>
          <w:rPr>
            <w:rStyle w:val="Hyperlink"/>
          </w:rPr>
          <w:t xml:space="preserve">20</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21</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22</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23</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24</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25</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26</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27</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28</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29</w:t>
        </w:r>
      </w:hyperlink>
      <w:r>
        <w:t xml:space="preserve">]</w:t>
      </w:r>
      <w:r>
        <w:t xml:space="preserve">. We apply these ideas</w:t>
      </w:r>
      <w:r>
        <w:t xml:space="preserve"> </w:t>
      </w:r>
      <w:r>
        <w:t xml:space="preserve">together as an evaluation protocol for drone logs.</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duration</w:t>
      </w:r>
      <w:r>
        <w:t xml:space="preserve"> </w:t>
      </w:r>
      <m:oMath>
        <m:r>
          <m:rPr>
            <m:sty m:val="p"/>
          </m:rPr>
          <m:t>≥</m:t>
        </m:r>
        <m:r>
          <m:t>10</m:t>
        </m:r>
      </m:oMath>
      <w:r>
        <w:t xml:space="preserve"> s and complete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5.6).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5.6).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718951"/>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718951"/>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For each confirmatory test, the selection, features, statistic, threshold and pass mark were declared and committed to the git repository prior to running analysis (initial confirmatory declarations committed on 20–23 October 2026; exploratory additions added during revision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5.8.</w:t>
      </w:r>
    </w:p>
    <w:p>
      <w:pPr>
        <w:pStyle w:val="Heading2"/>
      </w:pPr>
      <w:bookmarkStart w:id="25" w:name="_3e02a71fb6433a5b51224604e9029e12073209c"/>
      <w:r>
        <w:rPr>
          <w:rStyle w:val="SectionNumber"/>
        </w:rPr>
        <w:t xml:space="preserve">4.2</w:t>
      </w:r>
      <w:r>
        <w:tab/>
      </w:r>
      <w:r>
        <w:t xml:space="preserve">Crash moment and analysis window</w:t>
      </w:r>
      <w:bookmarkEnd w:id="25"/>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6" w:name="_features"/>
      <w:r>
        <w:rPr>
          <w:rStyle w:val="SectionNumber"/>
        </w:rPr>
        <w:t xml:space="preserve">4.3</w:t>
      </w:r>
      <w:r>
        <w:tab/>
      </w:r>
      <w:r>
        <w:t xml:space="preserve">Features</w:t>
      </w:r>
      <w:bookmarkEnd w:id="26"/>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7"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7"/>
    <w:p>
      <w:pPr>
        <w:pStyle w:val="Heading2"/>
      </w:pPr>
      <w:bookmarkStart w:id="28" w:name="_tests"/>
      <w:r>
        <w:rPr>
          <w:rStyle w:val="SectionNumber"/>
        </w:rPr>
        <w:t xml:space="preserve">4.4</w:t>
      </w:r>
      <w:r>
        <w:tab/>
      </w:r>
      <w:r>
        <w:t xml:space="preserve">Tests</w:t>
      </w:r>
      <w:bookmarkEnd w:id="28"/>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30</w:t>
        </w:r>
      </w:hyperlink>
      <w:r>
        <w:t xml:space="preserve">]</w:t>
      </w:r>
      <w:r>
        <w:t xml:space="preserve">. As an exploratory check on non-linear threshold effects, single-split decision</w:t>
      </w:r>
      <w:r>
        <w:t xml:space="preserve"> </w:t>
      </w:r>
      <w:r>
        <w:t xml:space="preserve">stumps were evaluated alongside logistic regression (depth-3 trees were examined during exploratory analysis but not</w:t>
      </w:r>
      <w:r>
        <w:t xml:space="preserve"> </w:t>
      </w:r>
      <w:r>
        <w:t xml:space="preserve">retained due to lack of incremental separation).</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31</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32</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5.7.</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33</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29" w:name="_a28f169358a053f7b171a621bd02ee9ea3d1d28"/>
      <w:r>
        <w:rPr>
          <w:rStyle w:val="SectionNumber"/>
        </w:rPr>
        <w:t xml:space="preserve">5</w:t>
      </w:r>
      <w:r>
        <w:tab/>
      </w:r>
      <w:r>
        <w:t xml:space="preserve">Results</w:t>
      </w:r>
      <w:bookmarkEnd w:id="29"/>
    </w:p>
    <w:p>
      <w:pPr>
        <w:pStyle w:val="Heading2"/>
      </w:pPr>
      <w:bookmarkStart w:id="30" w:name="_b5aaa7ca938fd555382c3a03c84ed52c113cbc5"/>
      <w:r>
        <w:rPr>
          <w:rStyle w:val="SectionNumber"/>
        </w:rPr>
        <w:t xml:space="preserve">5.1</w:t>
      </w:r>
      <w:r>
        <w:tab/>
      </w:r>
      <w:r>
        <w:t xml:space="preserve">Configuration settings (Q1)</w:t>
      </w:r>
      <w:bookmarkEnd w:id="30"/>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not part of the pre-declared confirmatory family,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1" w:name="_67b7d8605d9b5ee82b7c7436e75c8e2c5476655"/>
      <w:r>
        <w:rPr>
          <w:rStyle w:val="SectionNumber"/>
        </w:rPr>
        <w:t xml:space="preserve">5.2</w:t>
      </w:r>
      <w:r>
        <w:tab/>
      </w:r>
      <w:r>
        <w:t xml:space="preserve">Attributing a crash to the pilot or the aircraft (Q2)</w:t>
      </w:r>
      <w:bookmarkEnd w:id="31"/>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w:t>
      </w:r>
      <w:r>
        <w:t xml:space="preserve"> </w:t>
      </w:r>
      <w:r>
        <w:t xml:space="preserve">pooled cross-validated logistic regression yielded an ROC AUC of 0.408 (bootstrap SE 0.062, 95% CI 0.288–0.530, upper 95% bound 0.510) at</w:t>
      </w:r>
      <w:r>
        <w:t xml:space="preserve"> </w:t>
      </w:r>
      <m:oMath>
        <m:r>
          <m:t>m</m:t>
        </m:r>
        <m:r>
          <m:rPr>
            <m:sty m:val="p"/>
          </m:rPr>
          <m:t>=</m:t>
        </m:r>
        <m:r>
          <m:t>0</m:t>
        </m:r>
      </m:oMath>
      <w:r>
        <w:t xml:space="preserve"> s,</w:t>
      </w:r>
      <w:r>
        <w:t xml:space="preserve"> </w:t>
      </w:r>
      <w:r>
        <w:t xml:space="preserve">0.422 (SE 0.072, 95% CI 0.283–0.566, upper bound 0.542) at</w:t>
      </w:r>
      <w:r>
        <w:t xml:space="preserve"> </w:t>
      </w:r>
      <m:oMath>
        <m:r>
          <m:t>m</m:t>
        </m:r>
        <m:r>
          <m:rPr>
            <m:sty m:val="p"/>
          </m:rPr>
          <m:t>=</m:t>
        </m:r>
        <m:r>
          <m:t>10</m:t>
        </m:r>
      </m:oMath>
      <w:r>
        <w:t xml:space="preserve"> s (</w:t>
      </w:r>
      <m:oMath>
        <m:r>
          <m:t>n</m:t>
        </m:r>
        <m:r>
          <m:rPr>
            <m:sty m:val="p"/>
          </m:rPr>
          <m:t>=</m:t>
        </m:r>
        <m:r>
          <m:t>114</m:t>
        </m:r>
      </m:oMath>
      <w:r>
        <w:t xml:space="preserve">), and 0.501 (SE 0.073, 95% CI 0.358–0.645, upper bound 0.619)</w:t>
      </w:r>
      <w:r>
        <w:t xml:space="preserve"> </w:t>
      </w:r>
      <w:r>
        <w:t xml:space="preserve">at</w:t>
      </w:r>
      <w:r>
        <w:t xml:space="preserve"> </w:t>
      </w:r>
      <m:oMath>
        <m:r>
          <m:t>m</m:t>
        </m:r>
        <m:r>
          <m:rPr>
            <m:sty m:val="p"/>
          </m:rPr>
          <m:t>=</m:t>
        </m:r>
        <m:r>
          <m:t>30</m:t>
        </m:r>
      </m:oMath>
      <w:r>
        <w:t xml:space="preserve"> s (</w:t>
      </w:r>
      <m:oMath>
        <m:r>
          <m:t>n</m:t>
        </m:r>
        <m:r>
          <m:rPr>
            <m:sty m:val="p"/>
          </m:rPr>
          <m:t>=</m:t>
        </m:r>
        <m:r>
          <m:t>89</m:t>
        </m:r>
      </m:oMath>
      <w:r>
        <w:t xml:space="preserve">). Evaluated on the constant complete-case sample of 89 crashes (63 drone, 26 pilot; 70.8% drone-blamed) plotted in</w:t>
      </w:r>
      <w:r>
        <w:t xml:space="preserve"> </w:t>
      </w:r>
      <w:r>
        <w:t xml:space="preserve">Fig. 3, pooled cross-validated logistic regression yielded an AUC of 0.466 (bootstrap SE 0.072, 95% CI 0.325–0.607, upper bound 0.584)</w:t>
      </w:r>
      <w:r>
        <w:t xml:space="preserve"> </w:t>
      </w:r>
      <w:r>
        <w:t xml:space="preserve">at</w:t>
      </w:r>
      <w:r>
        <w:t xml:space="preserve"> </w:t>
      </w:r>
      <m:oMath>
        <m:r>
          <m:t>m</m:t>
        </m:r>
        <m:r>
          <m:rPr>
            <m:sty m:val="p"/>
          </m:rPr>
          <m:t>=</m:t>
        </m:r>
        <m:r>
          <m:t>0</m:t>
        </m:r>
      </m:oMath>
      <w:r>
        <w:t xml:space="preserve"> s, 0.489 (SE 0.074, 95% CI 0.343–0.633, upper bound 0.611) at</w:t>
      </w:r>
      <w:r>
        <w:t xml:space="preserve"> </w:t>
      </w:r>
      <m:oMath>
        <m:r>
          <m:t>m</m:t>
        </m:r>
        <m:r>
          <m:rPr>
            <m:sty m:val="p"/>
          </m:rPr>
          <m:t>=</m:t>
        </m:r>
        <m:r>
          <m:t>10</m:t>
        </m:r>
      </m:oMath>
      <w:r>
        <w:t xml:space="preserve"> s, and 0.501 (SE 0.073, 95% CI 0.358–0.645, upper bound 0.619)</w:t>
      </w:r>
      <w:r>
        <w:t xml:space="preserve"> </w:t>
      </w:r>
      <w:r>
        <w:t xml:space="preserve">at</w:t>
      </w:r>
      <w:r>
        <w:t xml:space="preserve"> </w:t>
      </w:r>
      <m:oMath>
        <m:r>
          <m:t>m</m:t>
        </m:r>
        <m:r>
          <m:rPr>
            <m:sty m:val="p"/>
          </m:rPr>
          <m:t>=</m:t>
        </m:r>
        <m:r>
          <m:t>30</m:t>
        </m:r>
      </m:oMath>
      <w:r>
        <w:t xml:space="preserve"> s.</w:t>
      </w:r>
    </w:p>
    <w:p>
      <w:pPr>
        <w:pStyle w:val="BodyText"/>
      </w:pPr>
      <w:r>
        <w:t xml:space="preserve">To calibrate whether these below-chance AUCs represent an inverted physical signal or finite-sample noise, we computed a 1,000-iteration</w:t>
      </w:r>
      <w:r>
        <w:t xml:space="preserve"> </w:t>
      </w:r>
      <w:r>
        <w:t xml:space="preserve">permutation null distribution on Task B by randomly shuffling crash attribution labels: the null distribution had mean 0.497</w:t>
      </w:r>
      <w:r>
        <w:t xml:space="preserve"> </w:t>
      </w:r>
      <w:r>
        <w:t xml:space="preserve">(SD 0.090) with an empirical 95% interval of 0.313–0.660. The permutation null used the same pooled statistic (mean 0.497), so the below-chance</w:t>
      </w:r>
      <w:r>
        <w:t xml:space="preserve"> </w:t>
      </w:r>
      <w:r>
        <w:t xml:space="preserve">values are not a bias of the statistic; rather, with 36 pilot-labelled crashes against 112 drone crashes in the modelling sample, below-chance</w:t>
      </w:r>
      <w:r>
        <w:t xml:space="preserve"> </w:t>
      </w:r>
      <w:r>
        <w:t xml:space="preserve">point estimates reflect finite-sample variance under class imbalance. The empirical permutation standard deviation (0.090) is wider than the theoretical</w:t>
      </w:r>
      <w:r>
        <w:t xml:space="preserve"> </w:t>
      </w:r>
      <w:r>
        <w:t xml:space="preserve">asymptotic standard error of the Wilcoxon statistic (</w:t>
      </w:r>
      <m:oMath>
        <m:sSub>
          <m:e>
            <m:r>
              <m:rPr>
                <m:nor/>
              </m:rPr>
              <m:t>SE</m:t>
            </m:r>
          </m:e>
          <m:sub>
            <m:r>
              <m:rPr>
                <m:nor/>
              </m:rPr>
              <m:t>null</m:t>
            </m:r>
          </m:sub>
        </m:sSub>
        <m:r>
          <m:rPr>
            <m:sty m:val="p"/>
          </m:rPr>
          <m:t>=</m:t>
        </m:r>
        <m:rad>
          <m:radPr>
            <m:degHide m:val="on"/>
          </m:radPr>
          <m:deg/>
          <m:e>
            <m:r>
              <m:rPr>
                <m:sty m:val="p"/>
              </m:rPr>
              <m:t>(</m:t>
            </m:r>
            <m:r>
              <m:t>36</m:t>
            </m:r>
            <m:r>
              <m:rPr>
                <m:sty m:val="p"/>
              </m:rPr>
              <m:t>+</m:t>
            </m:r>
            <m:r>
              <m:t>112</m:t>
            </m:r>
            <m:r>
              <m:rPr>
                <m:sty m:val="p"/>
              </m:rPr>
              <m:t>+</m:t>
            </m:r>
            <m:r>
              <m:t>1</m:t>
            </m:r>
            <m:r>
              <m:rPr>
                <m:sty m:val="p"/>
              </m:rPr>
              <m:t>)</m:t>
            </m:r>
            <m:r>
              <m:rPr>
                <m:sty m:val="p"/>
              </m:rPr>
              <m:t>/</m:t>
            </m:r>
            <m:r>
              <m:rPr>
                <m:sty m:val="p"/>
              </m:rPr>
              <m:t>(</m:t>
            </m:r>
            <m:r>
              <m:t>12</m:t>
            </m:r>
            <m:r>
              <m:rPr>
                <m:sty m:val="p"/>
              </m:rPr>
              <m:t>×</m:t>
            </m:r>
            <m:r>
              <m:t>36</m:t>
            </m:r>
            <m:r>
              <m:rPr>
                <m:sty m:val="p"/>
              </m:rPr>
              <m:t>×</m:t>
            </m:r>
            <m:r>
              <m:t>112</m:t>
            </m:r>
            <m:r>
              <m:rPr>
                <m:sty m:val="p"/>
              </m:rPr>
              <m:t>)</m:t>
            </m:r>
          </m:e>
        </m:rad>
        <m:r>
          <m:rPr>
            <m:sty m:val="p"/>
          </m:rPr>
          <m:t>≈</m:t>
        </m:r>
        <m:r>
          <m:t>0.056</m:t>
        </m:r>
      </m:oMath>
      <w:r>
        <w:t xml:space="preserve">)</w:t>
      </w:r>
      <w:r>
        <w:t xml:space="preserve"> </w:t>
      </w:r>
      <w:r>
        <w:t xml:space="preserve">because repeated cross-validation introduces fold-splitting variance and L2-regularised logistic regression under 3:1 imbalance exhibits model</w:t>
      </w:r>
      <w:r>
        <w:t xml:space="preserve"> </w:t>
      </w:r>
      <w:r>
        <w:t xml:space="preserve">coefficient variance across folds. Under the theoretical asymptotic SE (0.056), an AUC of roughly 0.65 is detectable at 80% power (</w:t>
      </w:r>
      <m:oMath>
        <m:r>
          <m:t>α</m:t>
        </m:r>
        <m:r>
          <m:rPr>
            <m:sty m:val="p"/>
          </m:rPr>
          <m:t>=</m:t>
        </m:r>
        <m:r>
          <m:t>0.05</m:t>
        </m:r>
      </m:oMath>
      <w:r>
        <w:t xml:space="preserve">,</w:t>
      </w:r>
      <w:r>
        <w:t xml:space="preserve"> </w:t>
      </w:r>
      <m:oMath>
        <m:sSub>
          <m:e>
            <m:r>
              <m:t>z</m:t>
            </m:r>
          </m:e>
          <m:sub>
            <m:r>
              <m:t>0.80</m:t>
            </m:r>
          </m:sub>
        </m:sSub>
        <m:r>
          <m:rPr>
            <m:sty m:val="p"/>
          </m:rPr>
          <m:t>+</m:t>
        </m:r>
        <m:sSub>
          <m:e>
            <m:r>
              <m:t>z</m:t>
            </m:r>
          </m:e>
          <m:sub>
            <m:r>
              <m:t>0.975</m:t>
            </m:r>
          </m:sub>
        </m:sSub>
        <m:r>
          <m:rPr>
            <m:sty m:val="p"/>
          </m:rPr>
          <m:t>=</m:t>
        </m:r>
        <m:r>
          <m:t>2.80</m:t>
        </m:r>
        <m:r>
          <m:rPr>
            <m:sty m:val="p"/>
          </m:rPr>
          <m:t>×</m:t>
        </m:r>
        <m:r>
          <m:t>0.056</m:t>
        </m:r>
        <m:r>
          <m:rPr>
            <m:sty m:val="p"/>
          </m:rPr>
          <m:t>≈</m:t>
        </m:r>
        <m:r>
          <m:t>0.156</m:t>
        </m:r>
      </m:oMath>
      <w:r>
        <w:t xml:space="preserve"> </w:t>
      </w:r>
      <w:r>
        <w:t xml:space="preserve">above chance). Under the empirical permutation null (SD 0.090), the 97.5th percentile</w:t>
      </w:r>
      <w:r>
        <w:t xml:space="preserve"> </w:t>
      </w:r>
      <w:r>
        <w:t xml:space="preserve">of 0.660 represents only</w:t>
      </w:r>
      <w:r>
        <w:t xml:space="preserve"> </w:t>
      </w:r>
      <m:oMath>
        <m:r>
          <m:rPr>
            <m:sty m:val="p"/>
          </m:rPr>
          <m:t>≈</m:t>
        </m:r>
        <m:r>
          <m:t>50</m:t>
        </m:r>
        <m:r>
          <m:rPr>
            <m:sty m:val="p"/>
          </m:rPr>
          <m:t>%</m:t>
        </m:r>
      </m:oMath>
      <w:r>
        <w:t xml:space="preserve"> </w:t>
      </w:r>
      <w:r>
        <w:t xml:space="preserve">detection power, and 80% power requires an AUC of roughly 0.72 (</w:t>
      </w:r>
      <m:oMath>
        <m:r>
          <m:t>0.50</m:t>
        </m:r>
        <m:r>
          <m:rPr>
            <m:sty m:val="p"/>
          </m:rPr>
          <m:t>+</m:t>
        </m:r>
        <m:r>
          <m:t>2.80</m:t>
        </m:r>
        <m:r>
          <m:rPr>
            <m:sty m:val="p"/>
          </m:rPr>
          <m:t>×</m:t>
        </m:r>
        <m:r>
          <m:t>0.090</m:t>
        </m:r>
        <m:r>
          <m:rPr>
            <m:sty m:val="p"/>
          </m:rPr>
          <m:t>≈</m:t>
        </m:r>
        <m:r>
          <m:t>0.75</m:t>
        </m:r>
      </m:oMath>
      <w:r>
        <w:t xml:space="preserve">). The observed cross-validated</w:t>
      </w:r>
      <w:r>
        <w:t xml:space="preserve"> </w:t>
      </w:r>
      <w:r>
        <w:t xml:space="preserve">bootstrap upper bounds were 0.510–0.619. An operational attribution verdict would need an AUC of about 0.8 or higher, which these models</w:t>
      </w:r>
      <w:r>
        <w:t xml:space="preserve"> </w:t>
      </w:r>
      <w:r>
        <w:t xml:space="preserve">do not approach. We therefore report that these rules, models and labels give no usable attribution signal under the evaluated setup, not that attribution is fundamentally impossible.</w:t>
      </w:r>
      <w:r>
        <w:t xml:space="preserve"> </w:t>
      </w:r>
      <w:r>
        <w:t xml:space="preserve">Evaluating depth-1 decision stumps on Task B yielded similar results: AUC of 0.430 at</w:t>
      </w:r>
      <w:r>
        <w:t xml:space="preserve"> </w:t>
      </w:r>
      <m:oMath>
        <m:r>
          <m:t>m</m:t>
        </m:r>
        <m:r>
          <m:rPr>
            <m:sty m:val="p"/>
          </m:rPr>
          <m:t>=</m:t>
        </m:r>
        <m:r>
          <m:t>0</m:t>
        </m:r>
      </m:oMath>
      <w:r>
        <w:t xml:space="preserve"> s (bootstrap SE 0.062, 95% CI 0.310–0.551,</w:t>
      </w:r>
      <w:r>
        <w:t xml:space="preserve"> </w:t>
      </w:r>
      <w:r>
        <w:t xml:space="preserve">upper bound 0.534), and 0.413 at</w:t>
      </w:r>
      <w:r>
        <w:t xml:space="preserve"> </w:t>
      </w:r>
      <m:oMath>
        <m:r>
          <m:t>m</m:t>
        </m:r>
        <m:r>
          <m:rPr>
            <m:sty m:val="p"/>
          </m:rPr>
          <m:t>=</m:t>
        </m:r>
        <m:r>
          <m:t>10</m:t>
        </m:r>
      </m:oMath>
      <w:r>
        <w:t xml:space="preserve"> s (SE 0.069, 95% CI 0.281–0.548, upper bound 0.528).</w:t>
      </w:r>
    </w:p>
    <w:bookmarkStart w:id="35" w:name="_049e4e3e8c6150f6efca473eb560bdd9d2e8e6a"/>
    <w:p>
      <w:pPr>
        <w:pStyle w:val="CaptionedFigure"/>
        <w:jc w:val="center"/>
      </w:pPr>
      <w:r>
        <w:drawing>
          <wp:inline>
            <wp:extent cx="4160520" cy="2632959"/>
            <wp:effectExtent b="0" l="0" r="0" t="0"/>
            <wp:docPr descr="" title="" id="33" name="Picture"/>
            <a:graphic>
              <a:graphicData uri="http://schemas.openxmlformats.org/drawingml/2006/picture">
                <pic:pic>
                  <pic:nvPicPr>
                    <pic:cNvPr descr="fig_sign_rates.png" id="34" name="Picture"/>
                    <pic:cNvPicPr>
                      <a:picLocks noChangeArrowheads="1" noChangeAspect="1"/>
                    </pic:cNvPicPr>
                  </pic:nvPicPr>
                  <pic:blipFill>
                    <a:blip r:embed="rId32"/>
                    <a:stretch>
                      <a:fillRect/>
                    </a:stretch>
                  </pic:blipFill>
                  <pic:spPr bwMode="auto">
                    <a:xfrm>
                      <a:off x="0" y="0"/>
                      <a:ext cx="4160520" cy="2632959"/>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5"/>
    <w:bookmarkStart w:id="36"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center"/>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6"/>
    <w:p>
      <w:pPr>
        <w:pStyle w:val="Heading2"/>
      </w:pPr>
      <w:bookmarkStart w:id="37" w:name="_656df57dd7f44abd09b995cf6c71ccccfcfebca"/>
      <w:r>
        <w:rPr>
          <w:rStyle w:val="SectionNumber"/>
        </w:rPr>
        <w:t xml:space="preserve">5.3</w:t>
      </w:r>
      <w:r>
        <w:tab/>
      </w:r>
      <w:r>
        <w:t xml:space="preserve">The crash window (Q3a)</w:t>
      </w:r>
      <w:bookmarkEnd w:id="37"/>
    </w:p>
    <w:p>
      <w:pPr>
        <w:pStyle w:val="FirstParagraph"/>
      </w:pP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7).</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7).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5.6).</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7</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6 reports a step-by-step decomposition isolating what drives the cross-sectional separation. Grouping</w:t>
      </w:r>
      <w:r>
        <w:t xml:space="preserve"> </w:t>
      </w:r>
      <w:r>
        <w:t xml:space="preserve">cross-validation folds by vehicle ID (Step 1) on the cross-sectional sample yields virtually identical separation (AUC 0.884 vs. 0.879);</w:t>
      </w:r>
      <w:r>
        <w:t xml:space="preserve"> </w:t>
      </w:r>
      <w:r>
        <w:t xml:space="preserve">because crash airframes and control airframes originate from disjoint operators, vehicle-grouped cross-validation cannot remove vehicle-level</w:t>
      </w:r>
      <w:r>
        <w:t xml:space="preserve"> </w:t>
      </w:r>
      <w:r>
        <w:t xml:space="preserve">separation by design. Removing the final 10 s or 30 s on the constant cohort (Steps 2 and 3) similarly leaves the AUC essentially unchanged</w:t>
      </w:r>
      <w:r>
        <w:t xml:space="preserve"> </w:t>
      </w:r>
      <w:r>
        <w:t xml:space="preserve">(</w:t>
      </w:r>
      <m:oMath>
        <m:r>
          <m:t>0.868</m:t>
        </m:r>
      </m:oMath>
      <w:r>
        <w:t xml:space="preserve"> </w:t>
      </w:r>
      <w:r>
        <w:t xml:space="preserve">and</w:t>
      </w:r>
      <w:r>
        <w:t xml:space="preserve"> </w:t>
      </w:r>
      <m:oMath>
        <m:r>
          <m:t>0.864</m:t>
        </m:r>
      </m:oMath>
      <w:r>
        <w:t xml:space="preserve">), while removing the tilt and stick boundary features (Step 4) reduces AUC modestly to 0.831. Thus, vehicle grouping</w:t>
      </w:r>
      <w:r>
        <w:t xml:space="preserve"> </w:t>
      </w:r>
      <w:r>
        <w:t xml:space="preserve">and window removal do not explain the cross-sectional gap. Instead, the entire collapse occurs in Step 5 when moving from cross-sectional</w:t>
      </w:r>
      <w:r>
        <w:t xml:space="preserve"> </w:t>
      </w:r>
      <w:r>
        <w:t xml:space="preserve">comparisons to</w:t>
      </w:r>
      <w:r>
        <w:t xml:space="preserve"> </w:t>
      </w:r>
      <w:r>
        <w:rPr>
          <w:i/>
          <w:iCs/>
        </w:rPr>
        <w:t xml:space="preserve">within-drone</w:t>
      </w:r>
      <w:r>
        <w:t xml:space="preserve"> </w:t>
      </w:r>
      <w:r>
        <w:t xml:space="preserve">evaluation across cohorts—separating each crashed drone’s pre-crash window (cut 10 s before impact) from its own earlier</w:t>
      </w:r>
      <w:r>
        <w:t xml:space="preserve"> </w:t>
      </w:r>
      <w:r>
        <w:t xml:space="preserve">flights across 67 multi-flight drones (372 flights: 67 pre-crash flights and 305 earlier flights)—where the pooled Group-CV AUC fell to 0.580</w:t>
      </w:r>
      <w:r>
        <w:t xml:space="preserve"> </w:t>
      </w:r>
      <w:r>
        <w:t xml:space="preserve">(95% bootstrap CI 0.528–0.633), and the mean within-drone pairwise AUC was 0.605 (95% bootstrap CI 0.516–0.692). This demonstrates</w:t>
      </w:r>
      <w:r>
        <w:t xml:space="preserve"> </w:t>
      </w:r>
      <w:r>
        <w:t xml:space="preserve">that the high cross-sectional separation is driven by between-airframe confounding and flight duration differences rather than</w:t>
      </w:r>
      <w:r>
        <w:t xml:space="preserve"> </w:t>
      </w:r>
      <w:r>
        <w:t xml:space="preserve">impending-crash precursors (operator identity was not modelled), in agreement with the within-drone rank test (</w:t>
      </w:r>
      <m:oMath>
        <m:acc>
          <m:accPr>
            <m:chr m:val="‾"/>
          </m:accPr>
          <m:e>
            <m:r>
              <m:t>r</m:t>
            </m:r>
          </m:e>
        </m:acc>
        <m:r>
          <m:rPr>
            <m:sty m:val="p"/>
          </m:rPr>
          <m:t>=</m:t>
        </m:r>
        <m:r>
          <m:t>0.48</m:t>
        </m:r>
      </m:oMath>
      <w:r>
        <w:t xml:space="preserve">).</w:t>
      </w:r>
    </w:p>
    <w:p>
      <w:pPr>
        <w:pStyle w:val="BodyText"/>
      </w:pPr>
      <w:bookmarkStart w:id="38" w:name="_1e20f1cb57d10c86a321ab56efaae6939bfa530"/>
      <w:bookmarkEnd w:id="38"/>
    </w:p>
    <w:bookmarkStart w:id="39" w:name="_1e20f1cb57d10c86a321ab56efaae6939bfa530"/>
    <w:p>
      <w:pPr>
        <w:pStyle w:val="TableCaption"/>
      </w:pPr>
      <w:r>
        <w:t xml:space="preserve">Table 6. Decomposition of model separation between crash and normal flights: sequential effect of grouping folds by vehicle ID, crash-window removal, removing tilt/stick features, and within-drone evaluation across evaluation cohorts.</w:t>
      </w:r>
    </w:p>
    <w:tbl>
      <w:tblPr>
        <w:tblStyle w:val="Table"/>
        <w:tblW w:type="pct" w:w="5000"/>
        <w:tblLook w:firstRow="1" w:lastRow="0" w:firstColumn="0" w:lastColumn="0" w:noHBand="0" w:noVBand="0" w:val="0020"/>
        <w:tblCaption w:val="Table 6. Decomposition of model separation between crash and normal flights: sequential effect of grouping folds by vehicle ID, crash-window removal, removing tilt/stick features, and within-drone evaluation across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bootstrap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0.879 [0.841, 0.922]</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 ID (Group-CV)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0.884 [0.836, 0.915]</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0.868 [0.854, 0.882]</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0.864 [0.852, 0.876]</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features (Group-CV,</w:t>
            </w:r>
            <w:r>
              <w:rPr>
                <w:sz w:val="19"/>
              </w:rPr>
              <w:t xml:space="preserve">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0.831 [0.780, 0.882]</w:t>
            </w:r>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Within-drone evaluation: Group-CV on multi-flight airframes</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0.580 [0.528, 0.633]</w:t>
            </w:r>
          </w:p>
        </w:tc>
      </w:tr>
    </w:tbl>
    <w:bookmarkEnd w:id="39"/>
    <w:p/>
    <w:bookmarkStart w:id="40" w:name="_332204dfa69e2fa6bf2a39cf9288ea52d0052a5"/>
    <w:p>
      <w:pPr>
        <w:pStyle w:val="TableCaption"/>
      </w:pPr>
      <w:r>
        <w:t xml:space="preserve">Table 7.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7.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0"/>
    <w:bookmarkStart w:id="44" w:name="_179740080c2f044957e517342c2187737980646"/>
    <w:p>
      <w:pPr>
        <w:pStyle w:val="CaptionedFigure"/>
        <w:jc w:val="center"/>
      </w:pPr>
      <w:r>
        <w:drawing>
          <wp:inline>
            <wp:extent cx="3840479" cy="2497053"/>
            <wp:effectExtent b="0" l="0" r="0" t="0"/>
            <wp:docPr descr="" title="" id="42" name="Picture"/>
            <a:graphic>
              <a:graphicData uri="http://schemas.openxmlformats.org/drawingml/2006/picture">
                <pic:pic>
                  <pic:nvPicPr>
                    <pic:cNvPr descr="fig_leak_curve.png" id="43" name="Picture"/>
                    <pic:cNvPicPr>
                      <a:picLocks noChangeArrowheads="1" noChangeAspect="1"/>
                    </pic:cNvPicPr>
                  </pic:nvPicPr>
                  <pic:blipFill>
                    <a:blip r:embed="rId41"/>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4"/>
    <w:p>
      <w:pPr>
        <w:pStyle w:val="Heading2"/>
      </w:pPr>
      <w:bookmarkStart w:id="45" w:name="_7d36f114b9234da3ba56cdf6e68d941cb747d23"/>
      <w:r>
        <w:rPr>
          <w:rStyle w:val="SectionNumber"/>
        </w:rPr>
        <w:t xml:space="preserve">5.4</w:t>
      </w:r>
      <w:r>
        <w:tab/>
      </w:r>
      <w:r>
        <w:t xml:space="preserve">Within the same drone and between drones (Q3b, Q3c)</w:t>
      </w:r>
      <w:bookmarkEnd w:id="45"/>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2.47% (95% CI 1.61–3.33%) at the 0.741% base rate, and 2.30% (bootstrap median 2.26%, 95% CI 1.48–3.06%) at the 0.689% screenable base rate, with an unflagged risk of 0.549%, a relative risk of</w:t>
      </w:r>
      <w:r>
        <w:t xml:space="preserve"> </w:t>
      </w:r>
      <m:oMath>
        <m:r>
          <m:t>4.50</m:t>
        </m:r>
        <m:r>
          <m:rPr>
            <m:sty m:val="p"/>
          </m:rPr>
          <m:t>×</m:t>
        </m:r>
      </m:oMath>
      <w:r>
        <w:t xml:space="preserve">, a lift of</w:t>
      </w:r>
      <w:r>
        <w:t xml:space="preserve"> </w:t>
      </w:r>
      <m:oMath>
        <m:r>
          <m:t>3.3</m:t>
        </m:r>
        <m:r>
          <m:rPr>
            <m:sty m:val="p"/>
          </m:rPr>
          <m:t>×</m:t>
        </m:r>
      </m:oMath>
      <w:r>
        <w:t xml:space="preserve">, and 40.5–44.2 inspections per detected crash.</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were drawn from the same archive pool as the matched sets, these figures reflect retrospective screening within the archive rather than an independently frozen reference. In all scenarios, vibration screening functions as a broad maintenance inspection filter rather than an operational crash warning.</w:t>
      </w:r>
    </w:p>
    <w:bookmarkStart w:id="49" w:name="_9361c5dba1dea8da31b0aed692bc5b019a98a7f"/>
    <w:p>
      <w:pPr>
        <w:pStyle w:val="CaptionedFigure"/>
        <w:jc w:val="center"/>
      </w:pPr>
      <w:r>
        <w:drawing>
          <wp:inline>
            <wp:extent cx="4160520" cy="2342580"/>
            <wp:effectExtent b="0" l="0" r="0" t="0"/>
            <wp:docPr descr="" title="" id="47" name="Picture"/>
            <a:graphic>
              <a:graphicData uri="http://schemas.openxmlformats.org/drawingml/2006/picture">
                <pic:pic>
                  <pic:nvPicPr>
                    <pic:cNvPr descr="fig_within_between.png" id="48" name="Picture"/>
                    <pic:cNvPicPr>
                      <a:picLocks noChangeArrowheads="1" noChangeAspect="1"/>
                    </pic:cNvPicPr>
                  </pic:nvPicPr>
                  <pic:blipFill>
                    <a:blip r:embed="rId46"/>
                    <a:stretch>
                      <a:fillRect/>
                    </a:stretch>
                  </pic:blipFill>
                  <pic:spPr bwMode="auto">
                    <a:xfrm>
                      <a:off x="0" y="0"/>
                      <a:ext cx="4160520" cy="234258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49"/>
    <w:p>
      <w:pPr>
        <w:pStyle w:val="Heading2"/>
      </w:pPr>
      <w:bookmarkStart w:id="50" w:name="_c68dcf7b88a01fcf500c8e00d7b03511ec2fbc1"/>
      <w:r>
        <w:rPr>
          <w:rStyle w:val="SectionNumber"/>
        </w:rPr>
        <w:t xml:space="preserve">5.5</w:t>
      </w:r>
      <w:r>
        <w:tab/>
      </w:r>
      <w:r>
        <w:t xml:space="preserve">Robustness of the between-drone result (exploratory)</w:t>
      </w:r>
      <w:bookmarkEnd w:id="50"/>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 though parsing raw GPS timestamps in future work could establish whether</w:t>
      </w:r>
      <w:r>
        <w:t xml:space="preserve"> </w:t>
      </w:r>
      <w:r>
        <w:t xml:space="preserve">crash-day flights immediately preceded the crash. This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so controls from the same operator were not clustered.</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54" w:name="_f3665d09ec22ddd60812b28fa68e496f60eecb2"/>
    <w:p>
      <w:pPr>
        <w:pStyle w:val="CaptionedFigure"/>
        <w:jc w:val="center"/>
      </w:pPr>
      <w:r>
        <w:drawing>
          <wp:inline>
            <wp:extent cx="4160520" cy="2531605"/>
            <wp:effectExtent b="0" l="0" r="0" t="0"/>
            <wp:docPr descr="" title="" id="52" name="Picture"/>
            <a:graphic>
              <a:graphicData uri="http://schemas.openxmlformats.org/drawingml/2006/picture">
                <pic:pic>
                  <pic:nvPicPr>
                    <pic:cNvPr descr="fig_robustness.png" id="53" name="Picture"/>
                    <pic:cNvPicPr>
                      <a:picLocks noChangeArrowheads="1" noChangeAspect="1"/>
                    </pic:cNvPicPr>
                  </pic:nvPicPr>
                  <pic:blipFill>
                    <a:blip r:embed="rId51"/>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w:t>
      </w:r>
    </w:p>
    <w:bookmarkEnd w:id="54"/>
    <w:p>
      <w:pPr>
        <w:pStyle w:val="Heading2"/>
      </w:pPr>
      <w:bookmarkStart w:id="55" w:name="_440012d4f1ae87c72168f87fd4eb66e49627717"/>
      <w:r>
        <w:rPr>
          <w:rStyle w:val="SectionNumber"/>
        </w:rPr>
        <w:t xml:space="preserve">5.6</w:t>
      </w:r>
      <w:r>
        <w:tab/>
      </w:r>
      <w:r>
        <w:t xml:space="preserve">Expert diagnoses (Q4)</w:t>
      </w:r>
      <w:bookmarkEnd w:id="55"/>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8 (12 tuning, 5 vibration, 5 GPS, 9 motor, 4 battery).</w:t>
      </w:r>
    </w:p>
    <w:p>
      <w:pPr>
        <w:pStyle w:val="BodyText"/>
      </w:pPr>
      <w:r>
        <w:t xml:space="preserve">Table 8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rate-tracking error demonstrated marked leakage,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class-averaged Clopper–Pearson bounds 0.19–0.73). Because this wide interval contains both chance (0.50) and the declared pass mark (0.70), this independent evaluation is statistically inconclusive and cannot exclude agreement at the declared pass mark. When the cross-validated logistic regression model was evaluated on all expert forum logs with complete numeric telemetry (30 aircraft logs and 4 pilot logs; the remaining 9 lacked required actuator or setpoint topics), it predicted</w:t>
      </w:r>
      <w:r>
        <w:t xml:space="preserve"> </w:t>
      </w:r>
      <w:r>
        <w:t xml:space="preserve">“aircraft”</w:t>
      </w:r>
      <w:r>
        <w:t xml:space="preserve"> </w:t>
      </w:r>
      <w:r>
        <w:t xml:space="preserve">in 27 of 30 aircraft logs (90.0%) and</w:t>
      </w:r>
      <w:r>
        <w:t xml:space="preserve"> </w:t>
      </w:r>
      <w:r>
        <w:t xml:space="preserve">“aircraft”</w:t>
      </w:r>
      <w:r>
        <w:t xml:space="preserve"> </w:t>
      </w:r>
      <w:r>
        <w:t xml:space="preserve">in all 4 pilot logs (0/4 pilot recall), defaulting strongly toward its aircraft training prior (75.7% prevalence; 112/148). This yielded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an empirical ROC AUC of</w:t>
      </w:r>
      <w:r>
        <w:t xml:space="preserve"> </w:t>
      </w:r>
      <m:oMath>
        <m:r>
          <m:t>0.467</m:t>
        </m:r>
      </m:oMath>
      <w:r>
        <w:t xml:space="preserve"> </w:t>
      </w:r>
      <w:r>
        <w:t xml:space="preserve">(95% bootstrap CI 0.211–0.733), confirming that statistical models trained on uploader labels provide no discriminative attribution on independently diagnosed incidents.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56" w:name="_83343f61327e522fa9ffc9aa8f722d134b07ff7"/>
    <w:p>
      <w:pPr>
        <w:pStyle w:val="TableCaption"/>
      </w:pPr>
      <w:r>
        <w:t xml:space="preserve">Table 8.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8.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56"/>
    <w:bookmarkStart w:id="60" w:name="_c0d72e502cb8722b270509e9f977263b14fe2c0"/>
    <w:p>
      <w:pPr>
        <w:pStyle w:val="CaptionedFigure"/>
        <w:jc w:val="center"/>
      </w:pPr>
      <w:r>
        <w:drawing>
          <wp:inline>
            <wp:extent cx="4160520" cy="2601925"/>
            <wp:effectExtent b="0" l="0" r="0" t="0"/>
            <wp:docPr descr="" title="" id="58" name="Picture"/>
            <a:graphic>
              <a:graphicData uri="http://schemas.openxmlformats.org/drawingml/2006/picture">
                <pic:pic>
                  <pic:nvPicPr>
                    <pic:cNvPr descr="fig_forum_causes.png" id="59" name="Picture"/>
                    <pic:cNvPicPr>
                      <a:picLocks noChangeArrowheads="1" noChangeAspect="1"/>
                    </pic:cNvPicPr>
                  </pic:nvPicPr>
                  <pic:blipFill>
                    <a:blip r:embed="rId57"/>
                    <a:stretch>
                      <a:fillRect/>
                    </a:stretch>
                  </pic:blipFill>
                  <pic:spPr bwMode="auto">
                    <a:xfrm>
                      <a:off x="0" y="0"/>
                      <a:ext cx="4160520" cy="2601925"/>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0"/>
    <w:p>
      <w:pPr>
        <w:pStyle w:val="Heading2"/>
      </w:pPr>
      <w:bookmarkStart w:id="61" w:name="_fb365ced420b86c8cd60024101a350b346a0a31"/>
      <w:r>
        <w:rPr>
          <w:rStyle w:val="SectionNumber"/>
        </w:rPr>
        <w:t xml:space="preserve">5.7</w:t>
      </w:r>
      <w:r>
        <w:tab/>
      </w:r>
      <w:r>
        <w:t xml:space="preserve">Exploratory evaluation of language-model review panels (preliminary)</w:t>
      </w:r>
      <w:bookmarkEnd w:id="61"/>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9).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62" w:name="_e9a1c7ab9cd062877714c77f2a5f253f301b820"/>
    <w:p>
      <w:pPr>
        <w:pStyle w:val="TableCaption"/>
      </w:pPr>
      <w:r>
        <w:t xml:space="preserve">Table 9.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9.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2"/>
    <w:p>
      <w:pPr>
        <w:pStyle w:val="FirstParagraph"/>
      </w:pPr>
      <m:oMath>
        <m:sSup>
          <m:e>
            <m:r>
              <m:t>​</m:t>
            </m:r>
          </m:e>
          <m:sup>
            <m:r>
              <m:rPr>
                <m:sty m:val="p"/>
              </m:rPr>
              <m:t>†</m:t>
            </m:r>
          </m:sup>
        </m:sSup>
      </m:oMath>
      <w:r>
        <w:t xml:space="preserve">Answered only on the 10 no-cause cases where abstention coincided with the ground truth; 0% coverage on active causes.</w:t>
      </w:r>
    </w:p>
    <w:p>
      <w:pPr>
        <w:pStyle w:val="Heading2"/>
      </w:pPr>
      <w:bookmarkStart w:id="63" w:name="_000b339d75a155a848ca0c43e54b0b02b7b82d8"/>
      <w:r>
        <w:rPr>
          <w:rStyle w:val="SectionNumber"/>
        </w:rPr>
        <w:t xml:space="preserve">5.8</w:t>
      </w:r>
      <w:r>
        <w:tab/>
      </w:r>
      <w:r>
        <w:t xml:space="preserve">Analyses added during revision (exploratory)</w:t>
      </w:r>
      <w:bookmarkEnd w:id="63"/>
    </w:p>
    <w:p>
      <w:pPr>
        <w:pStyle w:val="FirstParagraph"/>
      </w:pPr>
      <w:r>
        <w:t xml:space="preserve">To preserve the boundary between pre-declared confirmatory hypotheses (committed to version control on 20–23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and exploratory investigations added during revision</w:t>
      </w:r>
      <w:r>
        <w:t xml:space="preserve"> </w:t>
      </w:r>
      <w:r>
        <w:t xml:space="preserve">[</w:t>
      </w:r>
      <w:hyperlink w:anchor="_f6e66cea9a1ea78573b548bc5cf8461c81300ca">
        <w:r>
          <w:rPr>
            <w:rStyle w:val="Hyperlink"/>
          </w:rPr>
          <w:t xml:space="preserve">29</w:t>
        </w:r>
      </w:hyperlink>
      <w:r>
        <w:t xml:space="preserve">]</w:t>
      </w:r>
      <w:r>
        <w:t xml:space="preserve">, Table 10 documents each analysis added during peer review, its motivation, key results, git commit hash, first archive date in Software Heritage, and analysis run date. Exploratory analyses added during review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64" w:name="_fb475224272a447d57b77f14dfc8774bb10ba7c"/>
    <w:p>
      <w:pPr>
        <w:pStyle w:val="TableCaption"/>
      </w:pPr>
      <w:r>
        <w:t xml:space="preserve">Table 10. Exploratory analyses added during peer review, their motivation, key results, git commit hashes, first archived dates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w:t>
      </w:r>
    </w:p>
    <w:tbl>
      <w:tblPr>
        <w:tblStyle w:val="Table"/>
        <w:tblW w:type="pct" w:w="5000"/>
        <w:tblLook w:firstRow="1" w:lastRow="0" w:firstColumn="0" w:lastColumn="0" w:noHBand="0" w:noVBand="0" w:val="0020"/>
        <w:tblCaption w:val="Table 10. Exploratory analyses added during peer review, their motivation, key results, git commit hashes, first archived dates in Software Heritage (swh:1:rev:bad06ff1256865c7e63d44389aac174e0281291d, swh:1:rev:bbdd0420de4547ac7d67b84165292a46237b604d, swh:1:rev:624dd694e0d207dd9c44b1c9550faaf04453bc56, and swh:1:rev:3a9aa89417fa9ea2a2334e3a4794e2358fb713ee), and analysis run dates."/>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center"/>
            </w:pPr>
            <w:r>
              <w:rPr>
                <w:sz w:val="19"/>
              </w:rPr>
              <w:t xml:space="preserve">Commit</w:t>
            </w:r>
          </w:p>
        </w:tc>
        <w:tc>
          <w:tcPr/>
          <w:p>
            <w:pPr>
              <w:pStyle w:val="Compact"/>
              <w:spacing w:line="240" w:lineRule="auto"/>
              <w:jc w:val="center"/>
            </w:pPr>
            <w:r>
              <w:rPr>
                <w:sz w:val="19"/>
              </w:rPr>
              <w:t xml:space="preserve">Archived</w:t>
            </w:r>
          </w:p>
        </w:tc>
        <w:tc>
          <w:tcPr/>
          <w:p>
            <w:pPr>
              <w:pStyle w:val="Compact"/>
              <w:spacing w:line="240" w:lineRule="auto"/>
              <w:jc w:val="center"/>
            </w:pPr>
            <w:r>
              <w:rPr>
                <w:sz w:val="19"/>
              </w:rPr>
              <w:t xml:space="preserve">Run</w:t>
            </w:r>
          </w:p>
        </w:tc>
      </w:tr>
      <w:tr>
        <w:tc>
          <w:tcPr/>
          <w:p>
            <w:pPr>
              <w:pStyle w:val="Compact"/>
              <w:spacing w:line="240" w:lineRule="auto"/>
              <w:jc w:val="left"/>
            </w:pPr>
            <w:r>
              <w:rPr>
                <w:sz w:val="19"/>
              </w:rPr>
              <w:t xml:space="preserve">1,000-permutation null (Task B)</w:t>
            </w:r>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Depth-1 decision stumps (Task B)</w:t>
            </w:r>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Paired diagnostic leakage test</w:t>
            </w:r>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Same-sample decomposition</w:t>
            </w:r>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Group-CV AUC 0.884; within-drone Group-CV 0.580 across cohorts (shows grouping and window cuts do not explain gap)</w:t>
            </w:r>
          </w:p>
        </w:tc>
        <w:tc>
          <w:tcPr/>
          <w:p>
            <w:pPr>
              <w:pStyle w:val="Compact"/>
              <w:spacing w:line="240" w:lineRule="auto"/>
              <w:jc w:val="center"/>
            </w:pPr>
            <w:r>
              <w:rPr>
                <w:rStyle w:val="VerbatimChar"/>
                <w:sz w:val="19"/>
              </w:rPr>
              <w:t xml:space="preserve">eb463b5</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Poisson-binomial set null</w:t>
            </w:r>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Screening PPV and CIs</w:t>
            </w:r>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Fleet PPV 2.26–2.47% at 10% flag rate (</w:t>
            </w:r>
            <m:oMath>
              <m:r>
                <m:t>3.3</m:t>
              </m:r>
              <m:r>
                <m:rPr>
                  <m:sty m:val="p"/>
                </m:rPr>
                <m:t>×</m:t>
              </m:r>
            </m:oMath>
            <w:r>
              <w:rPr>
                <w:sz w:val="19"/>
              </w:rPr>
              <w:t xml:space="preserve"> </w:t>
            </w:r>
            <w:r>
              <w:rPr>
                <w:sz w:val="19"/>
              </w:rPr>
              <w:t xml:space="preserve">lift)</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Sensitivity by vibration source</w:t>
            </w:r>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center"/>
            </w:pPr>
            <w:r>
              <w:rPr>
                <w:rStyle w:val="VerbatimChar"/>
                <w:sz w:val="19"/>
              </w:rPr>
              <w:t xml:space="preserve">624dd69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Independent 43-log validation</w:t>
            </w:r>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38.1% (exact CP 0.19–0.73); pilot recall 1/5</w:t>
            </w:r>
          </w:p>
        </w:tc>
        <w:tc>
          <w:tcPr/>
          <w:p>
            <w:pPr>
              <w:pStyle w:val="Compact"/>
              <w:spacing w:line="240" w:lineRule="auto"/>
              <w:jc w:val="center"/>
            </w:pPr>
            <w:r>
              <w:rPr>
                <w:rStyle w:val="VerbatimChar"/>
                <w:sz w:val="19"/>
              </w:rPr>
              <w:t xml:space="preserve">3a9aa89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bl>
    <w:bookmarkEnd w:id="64"/>
    <w:p>
      <w:pPr>
        <w:pStyle w:val="Heading1"/>
      </w:pPr>
      <w:bookmarkStart w:id="65" w:name="_5197750e0310900a35791fde6fc3b970851116d"/>
      <w:r>
        <w:rPr>
          <w:rStyle w:val="SectionNumber"/>
        </w:rPr>
        <w:t xml:space="preserve">6</w:t>
      </w:r>
      <w:r>
        <w:tab/>
      </w:r>
      <w:r>
        <w:t xml:space="preserve">Design implications for fleet assurance</w:t>
      </w:r>
      <w:bookmarkEnd w:id="65"/>
    </w:p>
    <w:p>
      <w:pPr>
        <w:pStyle w:val="FirstParagraph"/>
      </w:pPr>
      <w:r>
        <w:t xml:space="preserve">To translate these empirical findings into operational practice, we developed AeroFleet 2.0 (</w:t>
      </w:r>
      <w:hyperlink r:id="rId66">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11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(operational PPV 2.26–2.47%, lift</w:t>
      </w:r>
      <w:r>
        <w:t xml:space="preserve"> </w:t>
      </w:r>
      <m:oMath>
        <m:r>
          <m:t>3.3</m:t>
        </m:r>
        <m:r>
          <m:rPr>
            <m:sty m:val="p"/>
          </m:rPr>
          <m:t>×</m:t>
        </m:r>
      </m:oMath>
      <w:r>
        <w:t xml:space="preserve">, 40–44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67" w:name="_4816a700d4290cff51a6fa69217ee9f1521b64f"/>
    <w:p>
      <w:pPr>
        <w:pStyle w:val="TableCaption"/>
      </w:pPr>
      <w:r>
        <w:t xml:space="preserve">Table 11. From empirical findings to design implications in fleet assurance.</w:t>
      </w:r>
    </w:p>
    <w:tbl>
      <w:tblPr>
        <w:tblStyle w:val="Table"/>
        <w:tblW w:type="pct" w:w="5000"/>
        <w:tblLook w:firstRow="1" w:lastRow="0" w:firstColumn="0" w:lastColumn="0" w:noHBand="0" w:noVBand="0" w:val="0020"/>
        <w:tblCaption w:val="Table 11.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§5.6)</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Apparent diagnostic check accuracy is consistent with crash-window leakage (tuning check sensitivity falls</w:t>
            </w:r>
            <w:r>
              <w:rPr>
                <w:sz w:val="19"/>
              </w:rPr>
              <w:t xml:space="preserve"> </w:t>
            </w:r>
            <m:oMath>
              <m:r>
                <m:t>7</m:t>
              </m:r>
              <m:r>
                <m:rPr>
                  <m:sty m:val="p"/>
                </m:rPr>
                <m:t>/</m:t>
              </m:r>
              <m:r>
                <m:t>9</m:t>
              </m:r>
              <m:r>
                <m:rPr>
                  <m:sty m:val="p"/>
                </m:rPr>
                <m:t>→</m:t>
              </m:r>
              <m:r>
                <m:t>1</m:t>
              </m:r>
              <m:r>
                <m:rPr>
                  <m:sty m:val="p"/>
                </m:rPr>
                <m:t>/</m:t>
              </m:r>
              <m:r>
                <m:t>9</m:t>
              </m:r>
            </m:oMath>
            <w:r>
              <w:rPr>
                <w:sz w:val="19"/>
              </w:rPr>
              <w:t xml:space="preserve">, exploratory; §5.3, §5.6)</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provisional screening signal; §5.4)</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Confounding shrinkage</w:t>
            </w:r>
          </w:p>
        </w:tc>
        <w:tc>
          <w:tcPr/>
          <w:p>
            <w:pPr>
              <w:pStyle w:val="Compact"/>
              <w:spacing w:line="240" w:lineRule="auto"/>
              <w:jc w:val="left"/>
            </w:pPr>
            <w:r>
              <w:rPr>
                <w:sz w:val="19"/>
              </w:rPr>
              <w:t xml:space="preserve">Cross-sectional separation collapses from 0.88 to 0.58 under within-drone evaluation across cohorts (§6)</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(§5.7)</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67"/>
    <w:p>
      <w:pPr>
        <w:pStyle w:val="Heading1"/>
      </w:pPr>
      <w:bookmarkStart w:id="68" w:name="_074802e0e16f6322e726b21f081c01c392e8fbd"/>
      <w:r>
        <w:rPr>
          <w:rStyle w:val="SectionNumber"/>
        </w:rPr>
        <w:t xml:space="preserve">7</w:t>
      </w:r>
      <w:r>
        <w:tab/>
      </w:r>
      <w:r>
        <w:t xml:space="preserve">Discussion</w:t>
      </w:r>
      <w:bookmarkEnd w:id="68"/>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w:t>
      </w:r>
      <m:oMath>
        <m:r>
          <m:t>n</m:t>
        </m:r>
        <m:r>
          <m:rPr>
            <m:sty m:val="p"/>
          </m:rPr>
          <m:t>=</m:t>
        </m:r>
        <m:r>
          <m:t>36</m:t>
        </m:r>
      </m:oMath>
      <w:r>
        <w:t xml:space="preserve"> </w:t>
      </w:r>
      <w:r>
        <w:t xml:space="preserve">in the modeling sample), 80% power requires an AUC of roughly 0.65 under asymptotic Wilcoxon theory (0.72 under</w:t>
      </w:r>
      <w:r>
        <w:t xml:space="preserve"> </w:t>
      </w:r>
      <w:r>
        <w:t xml:space="preserve">the empirical permutation null; permutation 97.5th percentile 0.660 has</w:t>
      </w:r>
      <w:r>
        <w:t xml:space="preserve"> </w:t>
      </w:r>
      <m:oMath>
        <m:r>
          <m:rPr>
            <m:sty m:val="p"/>
          </m:rPr>
          <m:t>≈</m:t>
        </m:r>
        <m:r>
          <m:t>50</m:t>
        </m:r>
        <m:r>
          <m:rPr>
            <m:sty m:val="p"/>
          </m:rPr>
          <m:t>%</m:t>
        </m:r>
      </m:oMath>
      <w:r>
        <w:t xml:space="preserve"> </w:t>
      </w:r>
      <w:r>
        <w:t xml:space="preserve">power); observed cross-validated</w:t>
      </w:r>
      <w:r>
        <w:t xml:space="preserve"> </w:t>
      </w:r>
      <w:r>
        <w:t xml:space="preserve">models yield empirical 95% bootstrap upper bounds between 0.510 and 0.619.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from independent</w:t>
      </w:r>
      <w:r>
        <w:t xml:space="preserve"> </w:t>
      </w:r>
      <w:r>
        <w:t xml:space="preserve">Jeffreys beta posteriors, class-averaged Clopper–Pearson bound 0.19–0.73; cannot exclude agreement at the declared 0.70 pass</w:t>
      </w:r>
      <w:r>
        <w:t xml:space="preserve"> </w:t>
      </w:r>
      <w:r>
        <w:t xml:space="preserve">mark; pilot recall 1 of 5, exact Clopper–Pearson 95% CI 0.5–71.6%).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showed high apparent separation (AUC 0.88), this was</w:t>
      </w:r>
      <w:r>
        <w:t xml:space="preserve"> </w:t>
      </w:r>
      <w:r>
        <w:t xml:space="preserve">likely influenced by airframe confounds and duration differences (duration alone yields AUC 0.662); within-drone evaluation</w:t>
      </w:r>
      <w:r>
        <w:t xml:space="preserve"> </w:t>
      </w:r>
      <w:r>
        <w:t xml:space="preserve">demonstrated substantial attenuation (AUC 0.580, 95% CI 0.528–0.633), confirming that longitudinal baseline comparison is</w:t>
      </w:r>
      <w:r>
        <w:t xml:space="preserve"> </w:t>
      </w:r>
      <w:r>
        <w:t xml:space="preserve">essential.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demonstrates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Regardless of the precise mechanism, diagnostic evaluations must remove the crash window and</w:t>
      </w:r>
      <w:r>
        <w:t xml:space="preserve"> </w:t>
      </w:r>
      <w:r>
        <w:t xml:space="preserve">compare against an aircraft’s own operating 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23</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2.26–2.47% (exact Bayes 2.30–2.47%, lift</w:t>
      </w:r>
      <w:r>
        <w:t xml:space="preserve"> </w:t>
      </w:r>
      <m:oMath>
        <m:r>
          <m:t>3.3</m:t>
        </m:r>
        <m:r>
          <m:rPr>
            <m:sty m:val="p"/>
          </m:rPr>
          <m:t>×</m:t>
        </m:r>
      </m:oMath>
      <w:r>
        <w:t xml:space="preserve">, 40.5–44.2 inspections per</w:t>
      </w:r>
      <w:r>
        <w:t xml:space="preserve"> </w:t>
      </w:r>
      <w:r>
        <w:t xml:space="preserve">detected crash),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69" w:name="_82b82981e21bad8167d56d1f0b74a832e215810"/>
      <w:r>
        <w:rPr>
          <w:rStyle w:val="SectionNumber"/>
        </w:rPr>
        <w:t xml:space="preserve">8</w:t>
      </w:r>
      <w:r>
        <w:tab/>
      </w:r>
      <w:r>
        <w:t xml:space="preserve">Threats to validity</w:t>
      </w:r>
      <w:bookmarkEnd w:id="69"/>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exact 95% Clopper–Pearson bound 0.19–0.73,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the within-drone result did not depend on the tilt threshold (mean scaled rank for rate-tracking error under alternative tilt thresholds was 0.46 at 45</w:t>
      </w:r>
      <m:oMath>
        <m:sSup>
          <m:e>
            <m:r>
              <m:t>​</m:t>
            </m:r>
          </m:e>
          <m:sup>
            <m:r>
              <m:rPr>
                <m:sty m:val="p"/>
              </m:rPr>
              <m:t>∘</m:t>
            </m:r>
          </m:sup>
        </m:sSup>
      </m:oMath>
      <w:r>
        <w:t xml:space="preserve">, 0.48 at 60</w:t>
      </w:r>
      <m:oMath>
        <m:sSup>
          <m:e>
            <m:r>
              <m:t>​</m:t>
            </m:r>
          </m:e>
          <m:sup>
            <m:r>
              <m:rPr>
                <m:sty m:val="p"/>
              </m:rPr>
              <m:t>∘</m:t>
            </m:r>
          </m:sup>
        </m:sSup>
      </m:oMath>
      <w:r>
        <w:t xml:space="preserve">, and 0.50 at 75</w:t>
      </w:r>
      <m:oMath>
        <m:sSup>
          <m:e>
            <m:r>
              <m:t>​</m:t>
            </m:r>
          </m:e>
          <m:sup>
            <m:r>
              <m:rPr>
                <m:sty m:val="p"/>
              </m:rPr>
              <m:t>∘</m:t>
            </m:r>
          </m:sup>
        </m:sSup>
      </m:oMath>
      <w:r>
        <w:t xml:space="preserve">, all</w:t>
      </w:r>
      <w:r>
        <w:t xml:space="preserve"> </w:t>
      </w:r>
      <m:oMath>
        <m:r>
          <m:t>p</m:t>
        </m:r>
        <m:r>
          <m:rPr>
            <m:sty m:val="p"/>
          </m:rPr>
          <m:t>≥</m:t>
        </m:r>
        <m:r>
          <m:t>0.53</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commit timestamps in self-hosted git remain</w:t>
      </w:r>
      <w:r>
        <w:t xml:space="preserve"> </w:t>
      </w:r>
      <w:r>
        <w:t xml:space="preserve">author-controlled,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8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0" w:name="_0cf7f8e9027f9f9352f3019b4ede1d43d537ff7"/>
      <w:r>
        <w:rPr>
          <w:rStyle w:val="SectionNumber"/>
        </w:rPr>
        <w:t xml:space="preserve">9</w:t>
      </w:r>
      <w:r>
        <w:tab/>
      </w:r>
      <w:r>
        <w:t xml:space="preserve">Conclusion</w:t>
      </w:r>
      <w:bookmarkEnd w:id="70"/>
    </w:p>
    <w:p>
      <w:pPr>
        <w:pStyle w:val="FirstParagraph"/>
      </w:pPr>
      <w:r>
        <w:t xml:space="preserve">Across 590 crash-rated logs from an archive index of 479,547 flights, telemetry features, rules, and statistical models</w:t>
      </w:r>
      <w:r>
        <w:t xml:space="preserve"> </w:t>
      </w:r>
      <w:r>
        <w:t xml:space="preserve">did not distinguish pilot-caused from aircraft-caused crashes above chance: cross-validated AUCs (0.41–0.50, upper bounds</w:t>
      </w:r>
      <w:r>
        <w:t xml:space="preserve"> </w:t>
      </w:r>
      <m:oMath>
        <m:r>
          <m:rPr>
            <m:sty m:val="p"/>
          </m:rPr>
          <m:t>≤</m:t>
        </m:r>
        <m:r>
          <m:t>0.619</m:t>
        </m:r>
      </m:oMath>
      <w:r>
        <w:t xml:space="preserve">)</w:t>
      </w:r>
      <w:r>
        <w:t xml:space="preserve"> </w:t>
      </w:r>
      <w:r>
        <w:t xml:space="preserve">fall far short of the</w:t>
      </w:r>
      <w:r>
        <w:t xml:space="preserve"> </w:t>
      </w:r>
      <m:oMath>
        <m:r>
          <m:rPr>
            <m:sty m:val="p"/>
          </m:rPr>
          <m:t>≈</m:t>
        </m:r>
        <m:r>
          <m:t>0.80</m:t>
        </m:r>
      </m:oMath>
      <w:r>
        <w:t xml:space="preserve"> </w:t>
      </w:r>
      <w:r>
        <w:t xml:space="preserve">needed for operational verdicts, with 80% power requiring an AUC of roughly 0.65 under asymptotic</w:t>
      </w:r>
      <w:r>
        <w:t xml:space="preserve"> </w:t>
      </w:r>
      <w:r>
        <w:t xml:space="preserve">Wilcoxon theory (0.72 under the empirical permutation null) under 36 pilot crashes. Independent evaluation against 43 expert forum</w:t>
      </w:r>
      <w:r>
        <w:t xml:space="preserve"> </w:t>
      </w:r>
      <w:r>
        <w:t xml:space="preserve">cases was statistically inconclusive (balanced accuracy 0.381, Bayesian 95% CrI 0.25–0.61, class-averaged bound 0.19–0.73;</w:t>
      </w:r>
      <w:r>
        <w:t xml:space="preserve"> </w:t>
      </w:r>
      <w:r>
        <w:t xml:space="preserve">cannot exclude the declared 0.70 pass mark; pilot recall 1 of 5). Configuration protections were disabled at similar rates,</w:t>
      </w:r>
      <w:r>
        <w:t xml:space="preserve"> </w:t>
      </w:r>
      <w:r>
        <w:t xml:space="preserve">and the flight that crashed showed no detectable difference in vibration or rate-tracking error relative to the same drone’s</w:t>
      </w:r>
      <w:r>
        <w:t xml:space="preserve"> </w:t>
      </w:r>
      <w:r>
        <w:t xml:space="preserve">prior flights (95% CI upper bounds 0.58 and 0.63). Diagnostic checks were consistent with crash-impact data leakage: tuning</w:t>
      </w:r>
      <w:r>
        <w:t xml:space="preserve"> </w:t>
      </w:r>
      <w:r>
        <w:t xml:space="preserve">fault detection fell from 7/9 [77.8%] to 1/9 [11.1%] sensitivity (unadjusted</w:t>
      </w:r>
      <w:r>
        <w:t xml:space="preserve"> </w:t>
      </w:r>
      <m:oMath>
        <m:r>
          <m:t>p</m:t>
        </m:r>
        <m:r>
          <m:rPr>
            <m:sty m:val="p"/>
          </m:rPr>
          <m:t>=</m:t>
        </m:r>
        <m:r>
          <m:t>0.031</m:t>
        </m:r>
      </m:oMath>
      <w:r>
        <w:t xml:space="preserve">, exploratory) once the final 10 s were</w:t>
      </w:r>
      <w:r>
        <w:t xml:space="preserve"> </w:t>
      </w:r>
      <w:r>
        <w:t xml:space="preserve">removed, accompanied by a drop in normal-flight firing from 13% to 5% which demonstrates that shorter windows also reduce</w:t>
      </w:r>
      <w:r>
        <w:t xml:space="preserve"> </w:t>
      </w:r>
      <w:r>
        <w:t xml:space="preserve">trigger exposure. What the logs did reveal, on older estimator metrics, was a retrospective between-airframe association where</w:t>
      </w:r>
      <w:r>
        <w:t xml:space="preserve"> </w:t>
      </w:r>
      <w:r>
        <w:t xml:space="preserve">drones that later crashed exhibited higher baseline vibration on ordinary flights than matched peers, though replication on</w:t>
      </w:r>
      <w:r>
        <w:t xml:space="preserve"> </w:t>
      </w:r>
      <w:r>
        <w:t xml:space="preserve">newer accelerometer metrics was inconclusive (</w:t>
      </w:r>
      <m:oMath>
        <m:r>
          <m:t>p</m:t>
        </m:r>
        <m:r>
          <m:rPr>
            <m:sty m:val="p"/>
          </m:rPr>
          <m:t>=</m:t>
        </m:r>
        <m:r>
          <m:t>0.25</m:t>
        </m:r>
      </m:oMath>
      <w:r>
        <w:t xml:space="preserve">). Screening against stratum-matched fleet controls achieves an</w:t>
      </w:r>
      <w:r>
        <w:t xml:space="preserve"> </w:t>
      </w:r>
      <w:r>
        <w:t xml:space="preserve">operational positive predictive value of 2.26–2.47% (exact Bayes 2.30–2.47%, lift</w:t>
      </w:r>
      <w:r>
        <w:t xml:space="preserve"> </w:t>
      </w:r>
      <m:oMath>
        <m:r>
          <m:t>3.3</m:t>
        </m:r>
        <m:r>
          <m:rPr>
            <m:sty m:val="p"/>
          </m:rPr>
          <m:t>×</m:t>
        </m:r>
      </m:oMath>
      <w:r>
        <w:t xml:space="preserve">, 40.5–44.2 inspections per crash)</w:t>
      </w:r>
      <w:r>
        <w:t xml:space="preserve"> </w:t>
      </w:r>
      <w:r>
        <w:t xml:space="preserve">at the top decile and 1.37–1.48% (lift</w:t>
      </w:r>
      <w:r>
        <w:t xml:space="preserve"> </w:t>
      </w:r>
      <m:oMath>
        <m:r>
          <m:t>2.0</m:t>
        </m:r>
        <m:r>
          <m:rPr>
            <m:sty m:val="p"/>
          </m:rPr>
          <m:t>×</m:t>
        </m:r>
      </m:oMath>
      <w:r>
        <w:t xml:space="preserve">) at a 25% flag rate across screenable (0.69%) and fleet-wide (0.74%)</w:t>
      </w:r>
      <w:r>
        <w:t xml:space="preserve"> </w:t>
      </w:r>
      <w:r>
        <w:t xml:space="preserve">vehicle base rates (0.96–1.04% under empirical matched-set screening). Flight log analytics for drone fleets should prioritize</w:t>
      </w:r>
      <w:r>
        <w:t xml:space="preserve"> </w:t>
      </w:r>
      <w:r>
        <w:t xml:space="preserve">longitudinal airframe screening and structured evidence review, not automated verdicts. AeroFleet 2.0 implements this approach</w:t>
      </w:r>
      <w:r>
        <w:t xml:space="preserve"> </w:t>
      </w:r>
      <w:r>
        <w:t xml:space="preserve">as an open-source tool, presenting verifiable evidence while leaving diagnostic decisions to human operators.</w:t>
      </w:r>
    </w:p>
    <w:p>
      <w:pPr>
        <w:pStyle w:val="Heading1"/>
      </w:pPr>
      <w:bookmarkStart w:id="71" w:name="_84dc18e74b75db6057c8c16a8f70e097972540a"/>
      <w:r>
        <w:t xml:space="preserve">Declaration of competing interest</w:t>
      </w:r>
      <w:bookmarkEnd w:id="71"/>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2" w:name="_1f74eb43af444059c7518034463b6c89b1cacf4"/>
      <w:r>
        <w:t xml:space="preserve">Declaration of generative AI and AI-assisted technologies in the manuscript preparation process</w:t>
      </w:r>
      <w:bookmarkEnd w:id="72"/>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3" w:name="_ea5c66868f283220c19382d0fdd5a852ec570ca"/>
      <w:r>
        <w:t xml:space="preserve">Data availability</w:t>
      </w:r>
      <w:bookmarkEnd w:id="73"/>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66">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4" w:name="_funding"/>
      <w:r>
        <w:t xml:space="preserve">Funding</w:t>
      </w:r>
      <w:bookmarkEnd w:id="74"/>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5" w:name="_bibliography"/>
      <w:r>
        <w:t xml:space="preserve">References</w:t>
      </w:r>
      <w:bookmarkEnd w:id="75"/>
    </w:p>
    <w:bookmarkStart w:id="131" w:name="_refs"/>
    <w:bookmarkStart w:id="76"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76"/>
    <w:bookmarkStart w:id="77"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77"/>
    <w:bookmarkStart w:id="78"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78"/>
    <w:bookmarkStart w:id="79"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79"/>
    <w:bookmarkStart w:id="81"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0">
        <w:r>
          <w:rPr>
            <w:rStyle w:val="Hyperlink"/>
          </w:rPr>
          <w:t xml:space="preserve">10.1109/ICSE55347.2025.00223</w:t>
        </w:r>
      </w:hyperlink>
      <w:r>
        <w:t xml:space="preserve">.</w:t>
      </w:r>
    </w:p>
    <w:bookmarkEnd w:id="81"/>
    <w:bookmarkStart w:id="83"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2">
        <w:r>
          <w:rPr>
            <w:rStyle w:val="Hyperlink"/>
          </w:rPr>
          <w:t xml:space="preserve">10.1016/j.fsidi.2026.302051</w:t>
        </w:r>
      </w:hyperlink>
      <w:r>
        <w:t xml:space="preserve">.</w:t>
      </w:r>
    </w:p>
    <w:bookmarkEnd w:id="83"/>
    <w:bookmarkStart w:id="84"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84"/>
    <w:bookmarkStart w:id="86"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85">
        <w:r>
          <w:rPr>
            <w:rStyle w:val="Hyperlink"/>
          </w:rPr>
          <w:t xml:space="preserve">10.1145/2382577.2382579</w:t>
        </w:r>
      </w:hyperlink>
      <w:r>
        <w:t xml:space="preserve">.</w:t>
      </w:r>
    </w:p>
    <w:bookmarkEnd w:id="86"/>
    <w:bookmarkStart w:id="88"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87">
        <w:r>
          <w:rPr>
            <w:rStyle w:val="Hyperlink"/>
          </w:rPr>
          <w:t xml:space="preserve">10.1016/j.patter.2023.100804</w:t>
        </w:r>
      </w:hyperlink>
      <w:r>
        <w:t xml:space="preserve">.</w:t>
      </w:r>
    </w:p>
    <w:bookmarkEnd w:id="88"/>
    <w:bookmarkStart w:id="90"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89">
        <w:r>
          <w:rPr>
            <w:rStyle w:val="Hyperlink"/>
          </w:rPr>
          <w:t xml:space="preserve">10.1177/0278364920966642</w:t>
        </w:r>
      </w:hyperlink>
      <w:r>
        <w:t xml:space="preserve">.</w:t>
      </w:r>
    </w:p>
    <w:bookmarkEnd w:id="90"/>
    <w:bookmarkStart w:id="92"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1">
        <w:r>
          <w:rPr>
            <w:rStyle w:val="Hyperlink"/>
          </w:rPr>
          <w:t xml:space="preserve">10.1177/02783649241305153</w:t>
        </w:r>
      </w:hyperlink>
      <w:r>
        <w:t xml:space="preserve">.</w:t>
      </w:r>
    </w:p>
    <w:bookmarkEnd w:id="92"/>
    <w:bookmarkStart w:id="93"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3"/>
    <w:bookmarkStart w:id="95"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94">
        <w:r>
          <w:rPr>
            <w:rStyle w:val="Hyperlink"/>
          </w:rPr>
          <w:t xml:space="preserve">10.3390/aerospace3030022</w:t>
        </w:r>
      </w:hyperlink>
      <w:r>
        <w:t xml:space="preserve">.</w:t>
      </w:r>
    </w:p>
    <w:bookmarkEnd w:id="95"/>
    <w:bookmarkStart w:id="96"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6"/>
    <w:bookmarkStart w:id="98"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97">
        <w:r>
          <w:rPr>
            <w:rStyle w:val="Hyperlink"/>
          </w:rPr>
          <w:t xml:space="preserve">10.1109/ICRA.2015.7140074</w:t>
        </w:r>
      </w:hyperlink>
      <w:r>
        <w:t xml:space="preserve">.</w:t>
      </w:r>
    </w:p>
    <w:bookmarkEnd w:id="98"/>
    <w:bookmarkStart w:id="99"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99"/>
    <w:bookmarkStart w:id="100"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0"/>
    <w:bookmarkStart w:id="102"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1">
        <w:r>
          <w:rPr>
            <w:rStyle w:val="Hyperlink"/>
          </w:rPr>
          <w:t xml:space="preserve">10.3390/s26103188</w:t>
        </w:r>
      </w:hyperlink>
      <w:r>
        <w:t xml:space="preserve">.</w:t>
      </w:r>
    </w:p>
    <w:bookmarkEnd w:id="102"/>
    <w:bookmarkStart w:id="104" w:name="_de2316363361acc29c6a15415cb3110e85473cd"/>
    <w:p>
      <w:pPr>
        <w:pStyle w:val="Bibliography"/>
      </w:pPr>
      <w:r>
        <w:t xml:space="preserve">[19]</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3">
        <w:r>
          <w:rPr>
            <w:rStyle w:val="Hyperlink"/>
          </w:rPr>
          <w:t xml:space="preserve">10.3390/drones6110330</w:t>
        </w:r>
      </w:hyperlink>
      <w:r>
        <w:t xml:space="preserve">.</w:t>
      </w:r>
    </w:p>
    <w:bookmarkEnd w:id="104"/>
    <w:bookmarkStart w:id="106" w:name="_1ece912d6a7cc2c7f97bdecc84d0912f3af390e"/>
    <w:p>
      <w:pPr>
        <w:pStyle w:val="Bibliography"/>
      </w:pPr>
      <w:r>
        <w:t xml:space="preserve">[20]</w:t>
      </w:r>
      <w:r>
        <w:t xml:space="preserve"> </w:t>
      </w:r>
      <w:r>
        <w:t xml:space="preserve">	</w:t>
      </w:r>
      <w:r>
        <w:t xml:space="preserve">E. Khalastchi, M. Kalech, On fault detection and diagnosis in robotic systems, ACM Computing Surveys 51 (2018) 9:1–9:24. https://doi.org/</w:t>
      </w:r>
      <w:hyperlink r:id="rId105">
        <w:r>
          <w:rPr>
            <w:rStyle w:val="Hyperlink"/>
          </w:rPr>
          <w:t xml:space="preserve">10.1145/3146389</w:t>
        </w:r>
      </w:hyperlink>
      <w:r>
        <w:t xml:space="preserve">.</w:t>
      </w:r>
    </w:p>
    <w:bookmarkEnd w:id="106"/>
    <w:bookmarkStart w:id="108" w:name="_200a90d3af15f3f5a64a3cb8afd6783e6bc5c1d"/>
    <w:p>
      <w:pPr>
        <w:pStyle w:val="Bibliography"/>
      </w:pPr>
      <w:r>
        <w:t xml:space="preserve">[21]</w:t>
      </w:r>
      <w:r>
        <w:t xml:space="preserve"> </w:t>
      </w:r>
      <w:r>
        <w:t xml:space="preserve">	</w:t>
      </w:r>
      <w:r>
        <w:t xml:space="preserve">E. Zibaei, R. Borth, Building causal models for finding actual causes of unmanned aerial vehicle failures, Frontiers in Robotics and AI 11 (2024) 1123762. https://doi.org/</w:t>
      </w:r>
      <w:hyperlink r:id="rId107">
        <w:r>
          <w:rPr>
            <w:rStyle w:val="Hyperlink"/>
          </w:rPr>
          <w:t xml:space="preserve">10.3389/frobt.2024.1123762</w:t>
        </w:r>
      </w:hyperlink>
      <w:r>
        <w:t xml:space="preserve">.</w:t>
      </w:r>
    </w:p>
    <w:bookmarkEnd w:id="108"/>
    <w:bookmarkStart w:id="110" w:name="_362e51e11e30eb0e0461101d9c36e4d21d357be"/>
    <w:p>
      <w:pPr>
        <w:pStyle w:val="Bibliography"/>
      </w:pPr>
      <w:r>
        <w:t xml:space="preserve">[22]</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09">
        <w:r>
          <w:rPr>
            <w:rStyle w:val="Hyperlink"/>
          </w:rPr>
          <w:t xml:space="preserve">10.1145/3468264.3468559</w:t>
        </w:r>
      </w:hyperlink>
      <w:r>
        <w:t xml:space="preserve">.</w:t>
      </w:r>
    </w:p>
    <w:bookmarkEnd w:id="110"/>
    <w:bookmarkStart w:id="112" w:name="_4f9a794a6a4ddf2789379e73f8e74e34b9538b4"/>
    <w:p>
      <w:pPr>
        <w:pStyle w:val="Bibliography"/>
      </w:pPr>
      <w:r>
        <w:t xml:space="preserve">[23]</w:t>
      </w:r>
      <w:r>
        <w:t xml:space="preserve"> </w:t>
      </w:r>
      <w:r>
        <w:t xml:space="preserve">	</w:t>
      </w:r>
      <w:r>
        <w:t xml:space="preserve">E. Petritoli, F. Leccese, L. Ciani, Reliability and maintenance analysis of unmanned aerial vehicles, Sensors 18 (2018) 3171. https://doi.org/</w:t>
      </w:r>
      <w:hyperlink r:id="rId111">
        <w:r>
          <w:rPr>
            <w:rStyle w:val="Hyperlink"/>
          </w:rPr>
          <w:t xml:space="preserve">10.3390/s18093171</w:t>
        </w:r>
      </w:hyperlink>
      <w:r>
        <w:t xml:space="preserve">.</w:t>
      </w:r>
    </w:p>
    <w:bookmarkEnd w:id="112"/>
    <w:bookmarkStart w:id="113" w:name="_a0e369e89429aa426010697429f06415b068aab"/>
    <w:p>
      <w:pPr>
        <w:pStyle w:val="Bibliography"/>
      </w:pPr>
      <w:r>
        <w:t xml:space="preserve">[24]</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13"/>
    <w:bookmarkStart w:id="115" w:name="_06ffb55068ea9e0b3a7aa6e754cfcffab5f832f"/>
    <w:p>
      <w:pPr>
        <w:pStyle w:val="Bibliography"/>
      </w:pPr>
      <w:r>
        <w:t xml:space="preserve">[25]</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14">
        <w:r>
          <w:rPr>
            <w:rStyle w:val="Hyperlink"/>
          </w:rPr>
          <w:t xml:space="preserve">https://proceedings.mlr.press/v235/du24e.html</w:t>
        </w:r>
      </w:hyperlink>
      <w:r>
        <w:t xml:space="preserve">.</w:t>
      </w:r>
    </w:p>
    <w:bookmarkEnd w:id="115"/>
    <w:bookmarkStart w:id="117" w:name="_8a3cc11b1319c0fe6bf6179f8196eab503a64d0"/>
    <w:p>
      <w:pPr>
        <w:pStyle w:val="Bibliography"/>
      </w:pPr>
      <w:r>
        <w:t xml:space="preserve">[26]</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16">
        <w:r>
          <w:rPr>
            <w:rStyle w:val="Hyperlink"/>
          </w:rPr>
          <w:t xml:space="preserve">10.1145/3605764.3623985</w:t>
        </w:r>
      </w:hyperlink>
      <w:r>
        <w:t xml:space="preserve">.</w:t>
      </w:r>
    </w:p>
    <w:bookmarkEnd w:id="117"/>
    <w:bookmarkStart w:id="119" w:name="_ab8841c06958c924804c38799fc8ccd94ea102a"/>
    <w:p>
      <w:pPr>
        <w:pStyle w:val="Bibliography"/>
      </w:pPr>
      <w:r>
        <w:t xml:space="preserve">[27]</w:t>
      </w:r>
      <w:r>
        <w:t xml:space="preserve"> </w:t>
      </w:r>
      <w:r>
        <w:t xml:space="preserve">	</w:t>
      </w:r>
      <w:r>
        <w:t xml:space="preserve">B. Frénay, M. Verleysen, Classification in the presence of label noise: A survey, IEEE Transactions on Neural Networks and Learning Systems 25 (2014) 845–869. https://doi.org/</w:t>
      </w:r>
      <w:hyperlink r:id="rId118">
        <w:r>
          <w:rPr>
            <w:rStyle w:val="Hyperlink"/>
          </w:rPr>
          <w:t xml:space="preserve">10.1109/TNNLS.2013.2292894</w:t>
        </w:r>
      </w:hyperlink>
      <w:r>
        <w:t xml:space="preserve">.</w:t>
      </w:r>
    </w:p>
    <w:bookmarkEnd w:id="119"/>
    <w:bookmarkStart w:id="121" w:name="_90b58fdc380e5ffe19ed416545c54d06f184b09"/>
    <w:p>
      <w:pPr>
        <w:pStyle w:val="Bibliography"/>
      </w:pPr>
      <w:r>
        <w:t xml:space="preserve">[28]</w:t>
      </w:r>
      <w:r>
        <w:t xml:space="preserve"> </w:t>
      </w:r>
      <w:r>
        <w:t xml:space="preserve">	</w:t>
      </w:r>
      <w:r>
        <w:t xml:space="preserve">E.A. Stuart, Matching methods for causal inference: A review and a look forward, Statistical Science 25 (2010) 1–21. https://doi.org/</w:t>
      </w:r>
      <w:hyperlink r:id="rId120">
        <w:r>
          <w:rPr>
            <w:rStyle w:val="Hyperlink"/>
          </w:rPr>
          <w:t xml:space="preserve">10.1214/09-STS313</w:t>
        </w:r>
      </w:hyperlink>
      <w:r>
        <w:t xml:space="preserve">.</w:t>
      </w:r>
    </w:p>
    <w:bookmarkEnd w:id="121"/>
    <w:bookmarkStart w:id="123" w:name="_f6e66cea9a1ea78573b548bc5cf8461c81300ca"/>
    <w:p>
      <w:pPr>
        <w:pStyle w:val="Bibliography"/>
      </w:pPr>
      <w:r>
        <w:t xml:space="preserve">[29]</w:t>
      </w:r>
      <w:r>
        <w:t xml:space="preserve"> </w:t>
      </w:r>
      <w:r>
        <w:t xml:space="preserve">	</w:t>
      </w:r>
      <w:r>
        <w:t xml:space="preserve">B.A. Nosek, C.R. Ebersole, A.C. DeHaven, D.T. Mellor, The preregistration revolution, Proceedings of the National Academy of Sciences 115 (2018) 2600–2606. https://doi.org/</w:t>
      </w:r>
      <w:hyperlink r:id="rId122">
        <w:r>
          <w:rPr>
            <w:rStyle w:val="Hyperlink"/>
          </w:rPr>
          <w:t xml:space="preserve">10.1073/pnas.1708274114</w:t>
        </w:r>
      </w:hyperlink>
      <w:r>
        <w:t xml:space="preserve">.</w:t>
      </w:r>
    </w:p>
    <w:bookmarkEnd w:id="123"/>
    <w:bookmarkStart w:id="125" w:name="_ad8397d41f792404ea3ffa2c2145e851561e0cf"/>
    <w:p>
      <w:pPr>
        <w:pStyle w:val="Bibliography"/>
      </w:pPr>
      <w:r>
        <w:t xml:space="preserve">[30]</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24">
        <w:r>
          <w:rPr>
            <w:rStyle w:val="Hyperlink"/>
          </w:rPr>
          <w:t xml:space="preserve">10.1148/radiology.143.1.7063747</w:t>
        </w:r>
      </w:hyperlink>
      <w:r>
        <w:t xml:space="preserve">.</w:t>
      </w:r>
    </w:p>
    <w:bookmarkEnd w:id="125"/>
    <w:bookmarkStart w:id="127" w:name="_7ae2e06bcfe80442633569f5f6b1e21460598cb"/>
    <w:p>
      <w:pPr>
        <w:pStyle w:val="Bibliography"/>
      </w:pPr>
      <w:r>
        <w:t xml:space="preserve">[31]</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26">
        <w:r>
          <w:rPr>
            <w:rStyle w:val="Hyperlink"/>
          </w:rPr>
          <w:t xml:space="preserve">10.1214/aoms/1177730491</w:t>
        </w:r>
      </w:hyperlink>
      <w:r>
        <w:t xml:space="preserve">.</w:t>
      </w:r>
    </w:p>
    <w:bookmarkEnd w:id="127"/>
    <w:bookmarkStart w:id="128" w:name="_d0a9d29bfb3d63b968b17ba95db409a8b61dfda"/>
    <w:p>
      <w:pPr>
        <w:pStyle w:val="Bibliography"/>
      </w:pPr>
      <w:r>
        <w:t xml:space="preserve">[32]</w:t>
      </w:r>
      <w:r>
        <w:t xml:space="preserve"> </w:t>
      </w:r>
      <w:r>
        <w:t xml:space="preserve">	</w:t>
      </w:r>
      <w:r>
        <w:t xml:space="preserve">B. Efron, R.J. Tibshirani, An introduction to the bootstrap, Chapman &amp; Hall, New York, 1993.</w:t>
      </w:r>
    </w:p>
    <w:bookmarkEnd w:id="128"/>
    <w:bookmarkStart w:id="130" w:name="_89a013c1487ff07275d04a7e5b79d7551b6a9f6"/>
    <w:p>
      <w:pPr>
        <w:pStyle w:val="Bibliography"/>
      </w:pPr>
      <w:r>
        <w:t xml:space="preserve">[33]</w:t>
      </w:r>
      <w:r>
        <w:t xml:space="preserve"> </w:t>
      </w:r>
      <w:r>
        <w:t xml:space="preserve">	</w:t>
      </w:r>
      <w:r>
        <w:t xml:space="preserve">S. Holm, A simple sequentially rejective multiple test procedure, Scandinavian Journal of Statistics 6 (1979) 65–70.</w:t>
      </w:r>
      <w:r>
        <w:t xml:space="preserve"> </w:t>
      </w:r>
      <w:hyperlink r:id="rId129">
        <w:r>
          <w:rPr>
            <w:rStyle w:val="Hyperlink"/>
          </w:rPr>
          <w:t xml:space="preserve">https://www.jstor.org/stable/4615733</w:t>
        </w:r>
      </w:hyperlink>
      <w:r>
        <w:t xml:space="preserve">.</w:t>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41" Type="http://schemas.openxmlformats.org/officeDocument/2006/relationships/image" Target="media/rId41.png"/><Relationship Id="rId51" Type="http://schemas.openxmlformats.org/officeDocument/2006/relationships/image" Target="media/rId51.png"/><Relationship Id="rId32" Type="http://schemas.openxmlformats.org/officeDocument/2006/relationships/image" Target="media/rId32.png"/><Relationship Id="rId17" Type="http://schemas.openxmlformats.org/officeDocument/2006/relationships/image" Target="media/rId17.png"/><Relationship Id="rId46" Type="http://schemas.openxmlformats.org/officeDocument/2006/relationships/image" Target="media/rId46.png"/><Relationship Id="rId82" Type="http://schemas.openxmlformats.org/officeDocument/2006/relationships/hyperlink" Target="https://doi.org/10.1016/j.fsidi.2026.302051" TargetMode="External"/><Relationship Id="rId87" Type="http://schemas.openxmlformats.org/officeDocument/2006/relationships/hyperlink" Target="https://doi.org/10.1016/j.patter.2023.100804" TargetMode="External"/><Relationship Id="rId122" Type="http://schemas.openxmlformats.org/officeDocument/2006/relationships/hyperlink" Target="https://doi.org/10.1073/pnas.1708274114" TargetMode="External"/><Relationship Id="rId97" Type="http://schemas.openxmlformats.org/officeDocument/2006/relationships/hyperlink" Target="https://doi.org/10.1109/ICRA.2015.7140074" TargetMode="External"/><Relationship Id="rId80" Type="http://schemas.openxmlformats.org/officeDocument/2006/relationships/hyperlink" Target="https://doi.org/10.1109/ICSE55347.2025.00223" TargetMode="External"/><Relationship Id="rId118" Type="http://schemas.openxmlformats.org/officeDocument/2006/relationships/hyperlink" Target="https://doi.org/10.1109/TNNLS.2013.2292894" TargetMode="External"/><Relationship Id="rId85" Type="http://schemas.openxmlformats.org/officeDocument/2006/relationships/hyperlink" Target="https://doi.org/10.1145/2382577.2382579" TargetMode="External"/><Relationship Id="rId105" Type="http://schemas.openxmlformats.org/officeDocument/2006/relationships/hyperlink" Target="https://doi.org/10.1145/3146389" TargetMode="External"/><Relationship Id="rId109" Type="http://schemas.openxmlformats.org/officeDocument/2006/relationships/hyperlink" Target="https://doi.org/10.1145/3468264.3468559" TargetMode="External"/><Relationship Id="rId116" Type="http://schemas.openxmlformats.org/officeDocument/2006/relationships/hyperlink" Target="https://doi.org/10.1145/3605764.3623985" TargetMode="External"/><Relationship Id="rId124" Type="http://schemas.openxmlformats.org/officeDocument/2006/relationships/hyperlink" Target="https://doi.org/10.1148/radiology.143.1.7063747" TargetMode="External"/><Relationship Id="rId89" Type="http://schemas.openxmlformats.org/officeDocument/2006/relationships/hyperlink" Target="https://doi.org/10.1177/0278364920966642" TargetMode="External"/><Relationship Id="rId91" Type="http://schemas.openxmlformats.org/officeDocument/2006/relationships/hyperlink" Target="https://doi.org/10.1177/02783649241305153" TargetMode="External"/><Relationship Id="rId120" Type="http://schemas.openxmlformats.org/officeDocument/2006/relationships/hyperlink" Target="https://doi.org/10.1214/09-STS313" TargetMode="External"/><Relationship Id="rId126" Type="http://schemas.openxmlformats.org/officeDocument/2006/relationships/hyperlink" Target="https://doi.org/10.1214/aoms/1177730491" TargetMode="External"/><Relationship Id="rId107" Type="http://schemas.openxmlformats.org/officeDocument/2006/relationships/hyperlink" Target="https://doi.org/10.3389/frobt.2024.1123762" TargetMode="External"/><Relationship Id="rId94" Type="http://schemas.openxmlformats.org/officeDocument/2006/relationships/hyperlink" Target="https://doi.org/10.3390/aerospace3030022" TargetMode="External"/><Relationship Id="rId103" Type="http://schemas.openxmlformats.org/officeDocument/2006/relationships/hyperlink" Target="https://doi.org/10.3390/drones6110330" TargetMode="External"/><Relationship Id="rId111" Type="http://schemas.openxmlformats.org/officeDocument/2006/relationships/hyperlink" Target="https://doi.org/10.3390/s18093171" TargetMode="External"/><Relationship Id="rId101" Type="http://schemas.openxmlformats.org/officeDocument/2006/relationships/hyperlink" Target="https://doi.org/10.3390/s26103188" TargetMode="External"/><Relationship Id="rId66" Type="http://schemas.openxmlformats.org/officeDocument/2006/relationships/hyperlink" Target="https://github.com/AdityaPathare46/aerofleet" TargetMode="External"/><Relationship Id="rId114" Type="http://schemas.openxmlformats.org/officeDocument/2006/relationships/hyperlink" Target="https://proceedings.mlr.press/v235/du24e.html" TargetMode="External"/><Relationship Id="rId129"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2" Type="http://schemas.openxmlformats.org/officeDocument/2006/relationships/hyperlink" Target="https://doi.org/10.1016/j.fsidi.2026.302051" TargetMode="External"/><Relationship Id="rId87" Type="http://schemas.openxmlformats.org/officeDocument/2006/relationships/hyperlink" Target="https://doi.org/10.1016/j.patter.2023.100804" TargetMode="External"/><Relationship Id="rId122" Type="http://schemas.openxmlformats.org/officeDocument/2006/relationships/hyperlink" Target="https://doi.org/10.1073/pnas.1708274114" TargetMode="External"/><Relationship Id="rId97" Type="http://schemas.openxmlformats.org/officeDocument/2006/relationships/hyperlink" Target="https://doi.org/10.1109/ICRA.2015.7140074" TargetMode="External"/><Relationship Id="rId80" Type="http://schemas.openxmlformats.org/officeDocument/2006/relationships/hyperlink" Target="https://doi.org/10.1109/ICSE55347.2025.00223" TargetMode="External"/><Relationship Id="rId118" Type="http://schemas.openxmlformats.org/officeDocument/2006/relationships/hyperlink" Target="https://doi.org/10.1109/TNNLS.2013.2292894" TargetMode="External"/><Relationship Id="rId85" Type="http://schemas.openxmlformats.org/officeDocument/2006/relationships/hyperlink" Target="https://doi.org/10.1145/2382577.2382579" TargetMode="External"/><Relationship Id="rId105" Type="http://schemas.openxmlformats.org/officeDocument/2006/relationships/hyperlink" Target="https://doi.org/10.1145/3146389" TargetMode="External"/><Relationship Id="rId109" Type="http://schemas.openxmlformats.org/officeDocument/2006/relationships/hyperlink" Target="https://doi.org/10.1145/3468264.3468559" TargetMode="External"/><Relationship Id="rId116" Type="http://schemas.openxmlformats.org/officeDocument/2006/relationships/hyperlink" Target="https://doi.org/10.1145/3605764.3623985" TargetMode="External"/><Relationship Id="rId124" Type="http://schemas.openxmlformats.org/officeDocument/2006/relationships/hyperlink" Target="https://doi.org/10.1148/radiology.143.1.7063747" TargetMode="External"/><Relationship Id="rId89" Type="http://schemas.openxmlformats.org/officeDocument/2006/relationships/hyperlink" Target="https://doi.org/10.1177/0278364920966642" TargetMode="External"/><Relationship Id="rId91" Type="http://schemas.openxmlformats.org/officeDocument/2006/relationships/hyperlink" Target="https://doi.org/10.1177/02783649241305153" TargetMode="External"/><Relationship Id="rId120" Type="http://schemas.openxmlformats.org/officeDocument/2006/relationships/hyperlink" Target="https://doi.org/10.1214/09-STS313" TargetMode="External"/><Relationship Id="rId126" Type="http://schemas.openxmlformats.org/officeDocument/2006/relationships/hyperlink" Target="https://doi.org/10.1214/aoms/1177730491" TargetMode="External"/><Relationship Id="rId107" Type="http://schemas.openxmlformats.org/officeDocument/2006/relationships/hyperlink" Target="https://doi.org/10.3389/frobt.2024.1123762" TargetMode="External"/><Relationship Id="rId94" Type="http://schemas.openxmlformats.org/officeDocument/2006/relationships/hyperlink" Target="https://doi.org/10.3390/aerospace3030022" TargetMode="External"/><Relationship Id="rId103" Type="http://schemas.openxmlformats.org/officeDocument/2006/relationships/hyperlink" Target="https://doi.org/10.3390/drones6110330" TargetMode="External"/><Relationship Id="rId111" Type="http://schemas.openxmlformats.org/officeDocument/2006/relationships/hyperlink" Target="https://doi.org/10.3390/s18093171" TargetMode="External"/><Relationship Id="rId101" Type="http://schemas.openxmlformats.org/officeDocument/2006/relationships/hyperlink" Target="https://doi.org/10.3390/s26103188" TargetMode="External"/><Relationship Id="rId66" Type="http://schemas.openxmlformats.org/officeDocument/2006/relationships/hyperlink" Target="https://github.com/AdityaPathare46/aerofleet" TargetMode="External"/><Relationship Id="rId114" Type="http://schemas.openxmlformats.org/officeDocument/2006/relationships/hyperlink" Target="https://proceedings.mlr.press/v235/du24e.html" TargetMode="External"/><Relationship Id="rId129"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2026-10-25T16:55:46Z</dcterms:created>
  <dcterms:modified xsi:type="dcterms:W3CDTF">2026-10-25T16:55:46Z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