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Using 590 PX4 crash logs from a 479,547-flight archive, we test what telemetry shows under leakage and confounding controls. Confirmatory tests were declared in version control (</w:t>
      </w:r>
      <m:oMath>
        <m:sSup>
          <m:e>
            <m:r>
              <m:t>​</m:t>
            </m:r>
          </m:e>
          <m:sup>
            <m:r>
              <m:rPr>
                <m:sty m:val="p"/>
              </m:rPr>
              <m:t>†</m:t>
            </m:r>
          </m:sup>
        </m:sSup>
      </m:oMath>
      <w:r>
        <w:t xml:space="preserve">marks review additions). A fixed attribution rule reached 0.47 balanced accuracy on 112 held-out crashes (pass mark 0.70).</w:t>
      </w:r>
      <w:r>
        <w:t xml:space="preserve"> </w:t>
      </w:r>
      <m:oMath>
        <m:sSup>
          <m:e>
            <m:r>
              <m:t>​</m:t>
            </m:r>
          </m:e>
          <m:sup>
            <m:r>
              <m:rPr>
                <m:sty m:val="p"/>
              </m:rPr>
              <m:t>†</m:t>
            </m:r>
          </m:sup>
        </m:sSup>
      </m:oMath>
      <w:r>
        <w:t xml:space="preserve">Models gave AUCs 0.41–0.50 (upper bounds</w:t>
      </w:r>
      <w:r>
        <w:t xml:space="preserve"> </w:t>
      </w:r>
      <m:oMath>
        <m:r>
          <m:rPr>
            <m:sty m:val="p"/>
          </m:rPr>
          <m:t>≤</m:t>
        </m:r>
        <m:r>
          <m:t>0.62</m:t>
        </m:r>
      </m:oMath>
      <w:r>
        <w:t xml:space="preserve">); with 36 pilot-labelled crashes, 80% power requires AUC</w:t>
      </w:r>
      <w:r>
        <w:t xml:space="preserve"> </w:t>
      </w:r>
      <m:oMath>
        <m:r>
          <m:rPr>
            <m:sty m:val="p"/>
          </m:rPr>
          <m:t>≈</m:t>
        </m:r>
        <m:r>
          <m:t>0.65</m:t>
        </m:r>
      </m:oMath>
      <w:r>
        <w:t xml:space="preserve">, below the</w:t>
      </w:r>
      <w:r>
        <w:t xml:space="preserve"> </w:t>
      </w:r>
      <m:oMath>
        <m:r>
          <m:rPr>
            <m:sty m:val="p"/>
          </m:rPr>
          <m:t>≈</m:t>
        </m:r>
        <m:r>
          <m:t>0.8</m:t>
        </m:r>
      </m:oMath>
      <w:r>
        <w:t xml:space="preserve"> </w:t>
      </w:r>
      <w:r>
        <w:t xml:space="preserve">operational verdicts need.</w:t>
      </w:r>
      <w:r>
        <w:t xml:space="preserve"> </w:t>
      </w:r>
      <m:oMath>
        <m:sSup>
          <m:e>
            <m:r>
              <m:t>​</m:t>
            </m:r>
          </m:e>
          <m:sup>
            <m:r>
              <m:rPr>
                <m:sty m:val="p"/>
              </m:rPr>
              <m:t>†</m:t>
            </m:r>
          </m:sup>
        </m:sSup>
      </m:oMath>
      <w:r>
        <w:t xml:space="preserve">On 43 expert logs the rule was inconclusive (balanced accuracy 0.381, 95% CrI 0.25–0.61; pilot recall 1 of 5).</w:t>
      </w:r>
      <w:r>
        <w:t xml:space="preserve"> </w:t>
      </w:r>
      <m:oMath>
        <m:sSup>
          <m:e>
            <m:r>
              <m:t>​</m:t>
            </m:r>
          </m:e>
          <m:sup>
            <m:r>
              <m:rPr>
                <m:sty m:val="p"/>
              </m:rPr>
              <m:t>†</m:t>
            </m:r>
          </m:sup>
        </m:sSup>
      </m:oMath>
      <w:r>
        <w:t xml:space="preserve">A factorial audit of 32 evaluation settings found that apparent anticipation depends on the comparison set; the cause is not isolated. AUC fell 0.21 [0.06, 0.34] across other-aircraft settings (0.88 to 0.67); only vehicle-grouped folds were material (0.06 [0.03, 0.09]). Against each drone’s own earlier flights, AUC was at chance (0.569, cluster bootstrap [0.500, 0.643]). Duration-caliper matching (0.25) lifted it by</w:t>
      </w:r>
      <w:r>
        <w:t xml:space="preserve"> </w:t>
      </w:r>
      <m:oMath>
        <m:r>
          <m:rPr>
            <m:sty m:val="p"/>
          </m:rPr>
          <m:t>+</m:t>
        </m:r>
        <m:r>
          <m:t>0.110</m:t>
        </m:r>
      </m:oMath>
      <w:r>
        <w:t xml:space="preserve"> </w:t>
      </w:r>
      <w:r>
        <w:t xml:space="preserve">(36 airframes; paired cluster CI [+0.028, +0.205]), and by</w:t>
      </w:r>
      <w:r>
        <w:t xml:space="preserve"> </w:t>
      </w:r>
      <m:oMath>
        <m:r>
          <m:rPr>
            <m:sty m:val="p"/>
          </m:rPr>
          <m:t>+</m:t>
        </m:r>
        <m:r>
          <m:t>0.077</m:t>
        </m:r>
      </m:oMath>
      <w:r>
        <w:t xml:space="preserve"> </w:t>
      </w:r>
      <w:r>
        <w:t xml:space="preserve">[+0.013, +0.204] without clipping, tilt and voltage-sag features; a fixed 30 s window did not.</w:t>
      </w:r>
      <w:r>
        <w:t xml:space="preserve"> </w:t>
      </w:r>
      <m:oMath>
        <m:sSup>
          <m:e>
            <m:r>
              <m:t>​</m:t>
            </m:r>
          </m:e>
          <m:sup>
            <m:r>
              <m:rPr>
                <m:sty m:val="p"/>
              </m:rPr>
              <m:t>†</m:t>
            </m:r>
          </m:sup>
        </m:sSup>
      </m:oMath>
      <w:r>
        <w:t xml:space="preserve">Tuning-check sensitivity fell from 7/9 to 1/9 without the final 10 s (exploratory, unadjusted</w:t>
      </w:r>
      <w:r>
        <w:t xml:space="preserve"> </w:t>
      </w:r>
      <m:oMath>
        <m:r>
          <m:t>p</m:t>
        </m:r>
        <m:r>
          <m:rPr>
            <m:sty m:val="p"/>
          </m:rPr>
          <m:t>=</m:t>
        </m:r>
        <m:r>
          <m:t>0.031</m:t>
        </m:r>
      </m:oMath>
      <w:r>
        <w:t xml:space="preserve">; normal false alarms 13% to 5%), consistent with leakage. Crashed drones vibrated more on older estimator metrics (mean rank 0.67, Holm</w:t>
      </w:r>
      <w:r>
        <w:t xml:space="preserve"> </w:t>
      </w:r>
      <m:oMath>
        <m:r>
          <m:t>p</m:t>
        </m:r>
        <m:r>
          <m:rPr>
            <m:sty m:val="p"/>
          </m:rPr>
          <m:t>=</m:t>
        </m:r>
        <m:r>
          <m:t>0.016</m:t>
        </m:r>
      </m:oMath>
      <w:r>
        <w:t xml:space="preserve">;</w:t>
      </w:r>
      <w:r>
        <w:t xml:space="preserve"> </w:t>
      </w:r>
      <m:oMath>
        <m:sSup>
          <m:e>
            <m:r>
              <m:t>​</m:t>
            </m:r>
          </m:e>
          <m:sup>
            <m:r>
              <m:rPr>
                <m:sty m:val="p"/>
              </m:rPr>
              <m:t>†</m:t>
            </m:r>
          </m:sup>
        </m:sSup>
      </m:oMath>
      <w:r>
        <w:t xml:space="preserve">0.70 without 47 exposure flights flown after the crash; newer metrics inconclusive,</w:t>
      </w:r>
      <w:r>
        <w:t xml:space="preserve"> </w:t>
      </w:r>
      <m:oMath>
        <m:r>
          <m:t>p</m:t>
        </m:r>
        <m:r>
          <m:rPr>
            <m:sty m:val="p"/>
          </m:rPr>
          <m:t>=</m:t>
        </m:r>
        <m:r>
          <m:t>0.25</m:t>
        </m:r>
      </m:oMath>
      <w:r>
        <w:t xml:space="preserve">).</w:t>
      </w:r>
      <w:r>
        <w:t xml:space="preserve"> </w:t>
      </w:r>
      <m:oMath>
        <m:sSup>
          <m:e>
            <m:r>
              <m:t>​</m:t>
            </m:r>
          </m:e>
          <m:sup>
            <m:r>
              <m:rPr>
                <m:sty m:val="p"/>
              </m:rPr>
              <m:t>†</m:t>
            </m:r>
          </m:sup>
        </m:sSup>
      </m:oMath>
      <w:r>
        <w:t xml:space="preserve">Against 107 controls, screening gave</w:t>
      </w:r>
      <w:r>
        <w:t xml:space="preserve"> </w:t>
      </w:r>
      <m:oMath>
        <m:r>
          <m:t>3.3</m:t>
        </m:r>
        <m:r>
          <m:rPr>
            <m:sty m:val="p"/>
          </m:rPr>
          <m:t>×</m:t>
        </m:r>
      </m:oMath>
      <w:r>
        <w:t xml:space="preserve"> </w:t>
      </w:r>
      <w:r>
        <w:t xml:space="preserve">lift (illustrative PPV 2.26–2.43% at 10% flag rate). AeroFleet 2.0 shows longitudinal evidence without automatic verdicts.</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optimism audit that splits the apparent crash-vs-normal AUC across five evaluation choices (crash set, comparison flights, crash-window cut, fold grouping, window length; 32 settings, one feature extractor, exact Shapley split). Of a 0.21 [0.06, 0.34] drop from the most optimistic to the most conservative other-aircraft setting (0.88 to 0.67), only vehicle-grouped folds contributed materially (0.06 [0.03, 0.09]); the crash set and the choice of normal flights each carried 0.06–0.07 with intervals spanning zero, so the cause of the remaining drop is not isolated. Separation against other aircraft persisted at 0.67; comparing each drone with its own earlier flights brought it to chance. Within-drone evaluation finds no detectable precursor signal under uncalipered matching in this cohort (Group-CV AUC 0.569, 95% cluster bootstrap CI [0.500, 0.643], pairwise mean AUC 0.592 [0.516, 0.692], rank test</w:t>
      </w:r>
      <w:r>
        <w:t xml:space="preserve"> </w:t>
      </w:r>
      <m:oMath>
        <m:acc>
          <m:accPr>
            <m:chr m:val="‾"/>
          </m:accPr>
          <m:e>
            <m:r>
              <m:t>r</m:t>
            </m:r>
          </m:e>
        </m:acc>
        <m:r>
          <m:rPr>
            <m:sty m:val="p"/>
          </m:rPr>
          <m:t>=</m:t>
        </m:r>
        <m:r>
          <m:t>0.48</m:t>
        </m:r>
      </m:oMath>
      <w:r>
        <w:t xml:space="preserve">), whereas exploratory duration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yields an AUC lift of</w:t>
      </w:r>
      <w:r>
        <w:t xml:space="preserve"> </w:t>
      </w:r>
      <m:oMath>
        <m:r>
          <m:rPr>
            <m:sty m:val="p"/>
          </m:rPr>
          <m:t>+</m:t>
        </m:r>
        <m:r>
          <m:t>0.110</m:t>
        </m:r>
      </m:oMath>
      <w:r>
        <w:t xml:space="preserve"> </w:t>
      </w:r>
      <w:r>
        <w:t xml:space="preserve">(95% paired cluster bootstrap CI [+0.028, +0.205] on 36 airframes) and</w:t>
      </w:r>
      <w:r>
        <w:t xml:space="preserve"> </w:t>
      </w:r>
      <m:oMath>
        <m:r>
          <m:rPr>
            <m:sty m:val="p"/>
          </m:rPr>
          <m:t>+</m:t>
        </m:r>
        <m:r>
          <m:t>0.077</m:t>
        </m:r>
      </m:oMath>
      <w:r>
        <w:t xml:space="preserve"> </w:t>
      </w:r>
      <w:r>
        <w:t xml:space="preserve">[+0.013, +0.204] without the clipping, tilt and voltage-sag features, so the lift is not carried only by duration-linked features; a fixed 30 s window did not reproduce it, and within-drone AUC stays at 0.57–0.64.</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decision trees across all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(the intervals at</w:t>
      </w:r>
      <w:r>
        <w:t xml:space="preserve"> </w:t>
      </w:r>
      <m:oMath>
        <m:r>
          <m:t>m</m:t>
        </m:r>
        <m:r>
          <m:rPr>
            <m:sty m:val="p"/>
          </m:rPr>
          <m:t>=</m:t>
        </m:r>
        <m:r>
          <m:t>0</m:t>
        </m:r>
      </m:oMath>
      <w:r>
        <w:t xml:space="preserve">–5 s overlap, so their differences are sampling noise; upper bounds at</w:t>
      </w:r>
      <w:r>
        <w:t xml:space="preserve"> </w:t>
      </w:r>
      <m:oMath>
        <m:r>
          <m:t>m</m:t>
        </m:r>
        <m:r>
          <m:rPr>
            <m:sty m:val="p"/>
          </m:rPr>
          <m:t>≥</m:t>
        </m:r>
        <m:r>
          <m:t>10</m:t>
        </m:r>
      </m:oMath>
      <w:r>
        <w:t xml:space="preserve"> s are 0.519–0.604, giving no evidence of non-linear separation, though not ruling it out).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which yielded cross-validated AUCs of</w:t>
      </w:r>
      <w:r>
        <w:t xml:space="preserve"> </w:t>
      </w:r>
      <m:oMath>
        <m:r>
          <m:t>0.517</m:t>
        </m:r>
      </m:oMath>
      <w:r>
        <w:t xml:space="preserve"> </w:t>
      </w:r>
      <w:r>
        <w:t xml:space="preserve">[0.392, 0.636] at</w:t>
      </w:r>
      <w:r>
        <w:t xml:space="preserve"> </w:t>
      </w:r>
      <m:oMath>
        <m:r>
          <m:t>m</m:t>
        </m:r>
        <m:r>
          <m:rPr>
            <m:sty m:val="p"/>
          </m:rPr>
          <m:t>=</m:t>
        </m:r>
        <m:r>
          <m:t>0</m:t>
        </m:r>
      </m:oMath>
      <w:r>
        <w:t xml:space="preserve"> s,</w:t>
      </w:r>
      <w:r>
        <w:t xml:space="preserve"> </w:t>
      </w:r>
      <m:oMath>
        <m:r>
          <m:t>0.594</m:t>
        </m:r>
      </m:oMath>
      <w:r>
        <w:t xml:space="preserve"> </w:t>
      </w:r>
      <w:r>
        <w:t xml:space="preserve">[0.482, 0.706] at</w:t>
      </w:r>
      <w:r>
        <w:t xml:space="preserve"> </w:t>
      </w:r>
      <m:oMath>
        <m:r>
          <m:t>m</m:t>
        </m:r>
        <m:r>
          <m:rPr>
            <m:sty m:val="p"/>
          </m:rPr>
          <m:t>=</m:t>
        </m:r>
        <m:r>
          <m:t>2</m:t>
        </m:r>
      </m:oMath>
      <w:r>
        <w:t xml:space="preserve"> s,</w:t>
      </w:r>
      <w:r>
        <w:t xml:space="preserve"> </w:t>
      </w:r>
      <m:oMath>
        <m:r>
          <m:t>0.603</m:t>
        </m:r>
      </m:oMath>
      <w:r>
        <w:t xml:space="preserve"> </w:t>
      </w:r>
      <w:r>
        <w:t xml:space="preserve">[0.479, 0.724] at</w:t>
      </w:r>
      <w:r>
        <w:t xml:space="preserve"> </w:t>
      </w:r>
      <m:oMath>
        <m:r>
          <m:t>m</m:t>
        </m:r>
        <m:r>
          <m:rPr>
            <m:sty m:val="p"/>
          </m:rPr>
          <m:t>=</m:t>
        </m:r>
        <m:r>
          <m:t>5</m:t>
        </m:r>
      </m:oMath>
      <w:r>
        <w:t xml:space="preserve"> s,</w:t>
      </w:r>
      <w:r>
        <w:t xml:space="preserve"> </w:t>
      </w:r>
      <m:oMath>
        <m:r>
          <m:t>0.379</m:t>
        </m:r>
      </m:oMath>
      <w:r>
        <w:t xml:space="preserve"> </w:t>
      </w:r>
      <w:r>
        <w:t xml:space="preserve">[0.249, 0.524] at</w:t>
      </w:r>
      <w:r>
        <w:t xml:space="preserve"> </w:t>
      </w:r>
      <m:oMath>
        <m:r>
          <m:t>m</m:t>
        </m:r>
        <m:r>
          <m:rPr>
            <m:sty m:val="p"/>
          </m:rPr>
          <m:t>=</m:t>
        </m:r>
        <m:r>
          <m:t>10</m:t>
        </m:r>
      </m:oMath>
      <w:r>
        <w:t xml:space="preserve"> s,</w:t>
      </w:r>
      <w:r>
        <w:t xml:space="preserve"> </w:t>
      </w:r>
      <m:oMath>
        <m:r>
          <m:t>0.468</m:t>
        </m:r>
      </m:oMath>
      <w:r>
        <w:t xml:space="preserve"> </w:t>
      </w:r>
      <w:r>
        <w:t xml:space="preserve">[0.331, 0.604] at</w:t>
      </w:r>
      <w:r>
        <w:t xml:space="preserve"> </w:t>
      </w:r>
      <m:oMath>
        <m:r>
          <m:t>m</m:t>
        </m:r>
        <m:r>
          <m:rPr>
            <m:sty m:val="p"/>
          </m:rPr>
          <m:t>=</m:t>
        </m:r>
        <m:r>
          <m:t>20</m:t>
        </m:r>
      </m:oMath>
      <w:r>
        <w:t xml:space="preserve"> s, and</w:t>
      </w:r>
      <w:r>
        <w:t xml:space="preserve"> </w:t>
      </w:r>
      <m:oMath>
        <m:r>
          <m:t>0.366</m:t>
        </m:r>
      </m:oMath>
      <w:r>
        <w:t xml:space="preserve"> </w:t>
      </w:r>
      <w:r>
        <w:t xml:space="preserve">[0.223, 0.519] at</w:t>
      </w:r>
      <w:r>
        <w:t xml:space="preserve"> </w:t>
      </w:r>
      <m:oMath>
        <m:r>
          <m:t>m</m:t>
        </m:r>
        <m:r>
          <m:rPr>
            <m:sty m:val="p"/>
          </m:rPr>
          <m:t>=</m:t>
        </m:r>
        <m:r>
          <m:t>30</m:t>
        </m:r>
      </m:oMath>
      <w:r>
        <w:t xml:space="preserve"> s (1,000 flight-level bootstrap resamples). The intervals at</w:t>
      </w:r>
      <w:r>
        <w:t xml:space="preserve"> </w:t>
      </w:r>
      <m:oMath>
        <m:r>
          <m:t>m</m:t>
        </m:r>
        <m:r>
          <m:rPr>
            <m:sty m:val="p"/>
          </m:rPr>
          <m:t>=</m:t>
        </m:r>
        <m:r>
          <m:t>0</m:t>
        </m:r>
      </m:oMath>
      <w:r>
        <w:t xml:space="preserve">–5 s overlap, so the differences between them are sampling noise; at</w:t>
      </w:r>
      <w:r>
        <w:t xml:space="preserve"> </w:t>
      </w:r>
      <m:oMath>
        <m:r>
          <m:t>m</m:t>
        </m:r>
        <m:r>
          <m:rPr>
            <m:sty m:val="p"/>
          </m:rPr>
          <m:t>≥</m:t>
        </m:r>
        <m:r>
          <m:t>10</m:t>
        </m:r>
      </m:oMath>
      <w:r>
        <w:t xml:space="preserve"> s the upper bounds are 0.519–0.604, giving no evidence of non-linear separation. Because they exhibited high fold instability and were not pre-declared,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0.0555</m:t>
        </m:r>
      </m:oMath>
      <w:r>
        <w:t xml:space="preserve">).</w:t>
      </w:r>
      <w:r>
        <w:t xml:space="preserve"> </w:t>
      </w:r>
      <w:r>
        <w:t xml:space="preserve">Repeating the permutation null with fixed scores across 10,000 label permutations yields an empirical standard deviation of 0.055 (matching asymptotic theory within</w:t>
      </w:r>
      <w:r>
        <w:t xml:space="preserve"> </w:t>
      </w:r>
      <m:oMath>
        <m:r>
          <m:rPr>
            <m:sty m:val="p"/>
          </m:rPr>
          <m:t>±</m:t>
        </m:r>
        <m:r>
          <m:t>0.001</m:t>
        </m:r>
      </m:oMath>
      <w:r>
        <w:t xml:space="preserve">), which is consistent with fold-refitting variance explaining the wider cross-validation null (SD 0.090).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cross-validation permutation null (SD 0.090, the relevant null for the cross-validated logistic models evaluated here),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Evaluating depth-3 decision trees across cut-offs yielded pooled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(1,000 flight-level bootstrap resamples; earlier exploratory development reported mean fold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which reflect fold-averaging rather than pooled out-of-fold scoring). Because confidence intervals across</w:t>
      </w:r>
      <w:r>
        <w:t xml:space="preserve"> </w:t>
      </w:r>
      <m:oMath>
        <m:r>
          <m:t>m</m:t>
        </m:r>
        <m:r>
          <m:rPr>
            <m:sty m:val="p"/>
          </m:rPr>
          <m:t>=</m:t>
        </m:r>
        <m:r>
          <m:t>0</m:t>
        </m:r>
        <m:r>
          <m:rPr>
            <m:sty m:val="p"/>
          </m:rPr>
          <m:t>.</m:t>
        </m:r>
        <m:r>
          <m:t>.5</m:t>
        </m:r>
      </m:oMath>
      <w:r>
        <w:t xml:space="preserve"> s broadly overlap, fluctuations between margins represent sampling noise rather than structured trajectory trends; at</w:t>
      </w:r>
      <w:r>
        <w:t xml:space="preserve"> </w:t>
      </w:r>
      <m:oMath>
        <m:r>
          <m:t>m</m:t>
        </m:r>
        <m:r>
          <m:rPr>
            <m:sty m:val="p"/>
          </m:rPr>
          <m:t>≥</m:t>
        </m:r>
        <m:r>
          <m:t>10</m:t>
        </m:r>
      </m:oMath>
      <w:r>
        <w:t xml:space="preserve"> s, upper confidence bounds are 0.519–0.604, providing no evidence of non-linear separation once the terminal window is excluded.</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On this sample, vehicle grouping, crash-window cuts and boundary feature pruning do not explain the cross-sectional gap.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models exploit airframe duration and vehicle envelope differences across the broader archive.</w:t>
      </w:r>
    </w:p>
    <w:p>
      <w:pPr>
        <w:pStyle w:val="BodyText"/>
      </w:pPr>
      <w:r>
        <w:t xml:space="preserve">On the 67 multi-flight drones with 372 flights (67 pre-crash flights cut 10 s before impact and 305 earlier flights), three complementary statistics evaluate within-drone precursor separation. Evaluated across flights, pooled logistic regression yielded a cross-sectional AUC of 0.529 [0.453, 0.607] (Step 5), while vehicle-grouped cross-validation yielded an AUC of 0.569 [0.493, 0.645] (Step 6). Crucially, clustering the bootstrap resamples over whole airframe clusters widens the 95% confidence interval to [0.500, 0.643], which touches chance (0.50) and indicates that pooled model discrimination shows no detectable signal in this cohort when accounting for correlation across flights of the same airframe.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p>
    <w:bookmarkStart w:id="40" w:name="_5384c23fe540f64e7f70d79e466547294e389bd"/>
    <w:p>
      <w:pPr>
        <w:pStyle w:val="TableCaption"/>
      </w:pPr>
      <w:r>
        <w:t xml:space="preserve">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w:t>
      </w:r>
    </w:p>
    <w:tbl>
      <w:tblPr>
        <w:tblStyle w:val="Table"/>
        <w:tblW w:type="pct" w:w="5000"/>
        <w:tblLook w:firstRow="1" w:lastRow="0" w:firstColumn="0" w:lastColumn="0" w:noHBand="0" w:noVBand="0" w:val="0020"/>
        <w:tblCaption w:val="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Multi-flight crashes vs. matched other-aircraft flights, one extractor (Group-CV,</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m:oMath>
              <m:sSup>
                <m:e>
                  <m:r>
                    <m:t>​</m:t>
                  </m:r>
                </m:e>
                <m:sup>
                  <m:r>
                    <m:rPr>
                      <m:sty m:val="p"/>
                    </m:rPr>
                    <m:t>†</m:t>
                  </m:r>
                </m:sup>
              </m:sSup>
            </m:oMath>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bl>
    <w:bookmarkEnd w:id="40"/>
    <w:p>
      <w:pPr>
        <w:pStyle w:val="FirstParagraph"/>
      </w:pPr>
      <m:oMath>
        <m:sSup>
          <m:e>
            <m:r>
              <m:t>​</m:t>
            </m:r>
          </m:e>
          <m:sup>
            <m:r>
              <m:rPr>
                <m:sty m:val="p"/>
              </m:rPr>
              <m:t>†</m:t>
            </m:r>
          </m:sup>
        </m:sSup>
      </m:oMath>
      <w:r>
        <w:t xml:space="preserve">Factorial audit (Section 5.4); two-stage cluster bootstrap 95% CI over crash and control airframes. Supersedes an earlier value of 0.522 that mixed feature extractors between crash and control flights.</w:t>
      </w:r>
      <w:r>
        <w:t xml:space="preserve"> </w:t>
      </w:r>
      <m:oMath>
        <m:sSup>
          <m:e>
            <m:r>
              <m:t>​</m:t>
            </m:r>
          </m:e>
          <m:sup>
            <m:r>
              <m:rPr>
                <m:sty m:val="p"/>
              </m:rPr>
              <m:t>*</m:t>
            </m:r>
          </m:sup>
        </m:sSup>
      </m:oMath>
      <w:r>
        <w:t xml:space="preserve">Cluster bootstrap 95% CI across the 67 drone clusters is [0.500, 0.643], spanning chance (0.50).</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Heading2"/>
      </w:pPr>
      <w:bookmarkStart w:id="46" w:name="_0c9e7e04e6c31fefd3494b28729aa56a3255cc6"/>
      <w:r>
        <w:rPr>
          <w:rStyle w:val="SectionNumber"/>
        </w:rPr>
        <w:t xml:space="preserve">5.4</w:t>
      </w:r>
      <w:r>
        <w:tab/>
      </w:r>
      <w:r>
        <w:t xml:space="preserve">Factorial optimism audit (exploratory)</w:t>
      </w:r>
      <w:bookmarkEnd w:id="46"/>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Round 14 review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which explains why grouping made no difference in Step 1, where most normal drones contribute one flight. The crash-window cut carried a small but non-zero 0.014 [0.007, 0.023], and the fixed 30 s window carried 0.001. Separation against other aircraft persisted at the most conservative setting (0.666 [0.557, 0.770]); replacing other-aircraft flights by the same drones’ earlier flights at matched settings lowered AUC by a further 0.21, to chance.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7"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7"/>
    <w:p>
      <w:pPr>
        <w:pStyle w:val="Heading2"/>
      </w:pPr>
      <w:bookmarkStart w:id="48" w:name="_7d36f114b9234da3ba56cdf6e68d941cb747d23"/>
      <w:r>
        <w:rPr>
          <w:rStyle w:val="SectionNumber"/>
        </w:rPr>
        <w:t xml:space="preserve">5.5</w:t>
      </w:r>
      <w:r>
        <w:tab/>
      </w:r>
      <w:r>
        <w:t xml:space="preserve">Within the same drone and between drones (Q3b, Q3c)</w:t>
      </w:r>
      <w:bookmarkEnd w:id="48"/>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2" w:name="_9361c5dba1dea8da31b0aed692bc5b019a98a7f"/>
    <w:p>
      <w:pPr>
        <w:pStyle w:val="CaptionedFigure"/>
        <w:jc w:val="center"/>
      </w:pPr>
      <w:r>
        <w:drawing>
          <wp:inline>
            <wp:extent cx="4160520" cy="2384920"/>
            <wp:effectExtent b="0" l="0" r="0" t="0"/>
            <wp:docPr descr="" title="" id="50" name="Picture"/>
            <a:graphic>
              <a:graphicData uri="http://schemas.openxmlformats.org/drawingml/2006/picture">
                <pic:pic>
                  <pic:nvPicPr>
                    <pic:cNvPr descr="fig_within_between.png" id="51" name="Picture"/>
                    <pic:cNvPicPr>
                      <a:picLocks noChangeArrowheads="1" noChangeAspect="1"/>
                    </pic:cNvPicPr>
                  </pic:nvPicPr>
                  <pic:blipFill>
                    <a:blip r:embed="rId49"/>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2"/>
    <w:p>
      <w:pPr>
        <w:pStyle w:val="Heading2"/>
      </w:pPr>
      <w:bookmarkStart w:id="53" w:name="_c68dcf7b88a01fcf500c8e00d7b03511ec2fbc1"/>
      <w:r>
        <w:rPr>
          <w:rStyle w:val="SectionNumber"/>
        </w:rPr>
        <w:t xml:space="preserve">5.6</w:t>
      </w:r>
      <w:r>
        <w:tab/>
      </w:r>
      <w:r>
        <w:t xml:space="preserve">Robustness of the between-drone result (exploratory)</w:t>
      </w:r>
      <w:bookmarkEnd w:id="53"/>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(Round 14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so the within-drone, caliper and same-aircraft factorial samples may also contain flights flown after the crash; this has not been audited.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the mean scaled rank was 0.662 with a 95% cluster bootstrap CI of [0.536, 0.789] (control-only clustering yielded [0.587, 0.744]), both of which strictly exclude chance (0.50).</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7" w:name="_f3665d09ec22ddd60812b28fa68e496f60eecb2"/>
    <w:p>
      <w:pPr>
        <w:pStyle w:val="CaptionedFigure"/>
        <w:jc w:val="center"/>
      </w:pPr>
      <w:r>
        <w:drawing>
          <wp:inline>
            <wp:extent cx="4160520" cy="2531605"/>
            <wp:effectExtent b="0" l="0" r="0" t="0"/>
            <wp:docPr descr="" title="" id="55" name="Picture"/>
            <a:graphic>
              <a:graphicData uri="http://schemas.openxmlformats.org/drawingml/2006/picture">
                <pic:pic>
                  <pic:nvPicPr>
                    <pic:cNvPr descr="fig_robustness.png" id="56" name="Picture"/>
                    <pic:cNvPicPr>
                      <a:picLocks noChangeArrowheads="1" noChangeAspect="1"/>
                    </pic:cNvPicPr>
                  </pic:nvPicPr>
                  <pic:blipFill>
                    <a:blip r:embed="rId54"/>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7"/>
    <w:p>
      <w:pPr>
        <w:pStyle w:val="Heading2"/>
      </w:pPr>
      <w:bookmarkStart w:id="58" w:name="_440012d4f1ae87c72168f87fd4eb66e49627717"/>
      <w:r>
        <w:rPr>
          <w:rStyle w:val="SectionNumber"/>
        </w:rPr>
        <w:t xml:space="preserve">5.7</w:t>
      </w:r>
      <w:r>
        <w:tab/>
      </w:r>
      <w:r>
        <w:t xml:space="preserve">Expert diagnoses (Q4)</w:t>
      </w:r>
      <w:bookmarkEnd w:id="58"/>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9"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9"/>
    <w:bookmarkStart w:id="63" w:name="_c0d72e502cb8722b270509e9f977263b14fe2c0"/>
    <w:p>
      <w:pPr>
        <w:pStyle w:val="CaptionedFigure"/>
        <w:jc w:val="center"/>
      </w:pPr>
      <w:r>
        <w:drawing>
          <wp:inline>
            <wp:extent cx="4160520" cy="2603928"/>
            <wp:effectExtent b="0" l="0" r="0" t="0"/>
            <wp:docPr descr="" title="" id="61" name="Picture"/>
            <a:graphic>
              <a:graphicData uri="http://schemas.openxmlformats.org/drawingml/2006/picture">
                <pic:pic>
                  <pic:nvPicPr>
                    <pic:cNvPr descr="fig_forum_causes.png" id="62" name="Picture"/>
                    <pic:cNvPicPr>
                      <a:picLocks noChangeArrowheads="1" noChangeAspect="1"/>
                    </pic:cNvPicPr>
                  </pic:nvPicPr>
                  <pic:blipFill>
                    <a:blip r:embed="rId60"/>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3"/>
    <w:p>
      <w:pPr>
        <w:pStyle w:val="Heading2"/>
      </w:pPr>
      <w:bookmarkStart w:id="64" w:name="_fb365ced420b86c8cd60024101a350b346a0a31"/>
      <w:r>
        <w:rPr>
          <w:rStyle w:val="SectionNumber"/>
        </w:rPr>
        <w:t xml:space="preserve">5.8</w:t>
      </w:r>
      <w:r>
        <w:tab/>
      </w:r>
      <w:r>
        <w:t xml:space="preserve">Exploratory evaluation of language-model review panels (preliminary)</w:t>
      </w:r>
      <w:bookmarkEnd w:id="64"/>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5"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5"/>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6" w:name="_000b339d75a155a848ca0c43e54b0b02b7b82d8"/>
      <w:r>
        <w:rPr>
          <w:rStyle w:val="SectionNumber"/>
        </w:rPr>
        <w:t xml:space="preserve">5.9</w:t>
      </w:r>
      <w:r>
        <w:tab/>
      </w:r>
      <w:r>
        <w:t xml:space="preserve">Analyses added during revision (exploratory)</w:t>
      </w:r>
      <w:bookmarkEnd w:id="66"/>
    </w:p>
    <w:p>
      <w:pPr>
        <w:pStyle w:val="FirstParagraph"/>
      </w:pPr>
      <w:r>
        <w:t xml:space="preserve">To preserve the boundary between pre-declared confirmatory hypotheses (committed to version control on 20–24 October 2026; Table 4)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12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7" w:name="_fb475224272a447d57b77f14dfc8774bb10ba7c"/>
    <w:p>
      <w:pPr>
        <w:pStyle w:val="TableCaption"/>
      </w:pPr>
      <w:r>
        <w:t xml:space="preserve">Table 12.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2.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(0.519–0.604 at</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Round 14 rerun [+0.028, +0.205]</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over case &amp; control clusters; same-day check compared dates only; superseded by the Round 14 GPS check</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Round 14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center"/>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Round 14: 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center"/>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bl>
    <w:bookmarkEnd w:id="67"/>
    <w:p>
      <w:pPr>
        <w:pStyle w:val="Heading1"/>
      </w:pPr>
      <w:bookmarkStart w:id="68" w:name="_5197750e0310900a35791fde6fc3b970851116d"/>
      <w:r>
        <w:rPr>
          <w:rStyle w:val="SectionNumber"/>
        </w:rPr>
        <w:t xml:space="preserve">6</w:t>
      </w:r>
      <w:r>
        <w:tab/>
      </w:r>
      <w:r>
        <w:t xml:space="preserve">Design implications for fleet assurance</w:t>
      </w:r>
      <w:bookmarkEnd w:id="68"/>
    </w:p>
    <w:p>
      <w:pPr>
        <w:pStyle w:val="FirstParagraph"/>
      </w:pPr>
      <w:r>
        <w:t xml:space="preserve">To translate these empirical findings into operational practice, we developed AeroFleet 2.0 (</w:t>
      </w:r>
      <w:hyperlink r:id="rId69">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0"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(§5.3)</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0"/>
    <w:p>
      <w:pPr>
        <w:pStyle w:val="Heading2"/>
      </w:pPr>
      <w:bookmarkStart w:id="71" w:name="_46768506b9d2d22e677daf79594de5255acfb0b"/>
      <w:r>
        <w:rPr>
          <w:rStyle w:val="SectionNumber"/>
        </w:rPr>
        <w:t xml:space="preserve">6.1</w:t>
      </w:r>
      <w:r>
        <w:tab/>
      </w:r>
      <w:r>
        <w:t xml:space="preserve">Recommended reporting checklist for flight-log diagnostics</w:t>
      </w:r>
      <w:bookmarkEnd w:id="71"/>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2"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Consistent with crash-window leakage in individual physical checks (tuning sensitivity fell</w:t>
            </w:r>
            <w:r>
              <w:rPr>
                <w:sz w:val="19"/>
              </w:rPr>
              <w:t xml:space="preserve"> </w:t>
            </w:r>
            <m:oMath>
              <m:r>
                <m:t>7</m:t>
              </m:r>
              <m:r>
                <m:rPr>
                  <m:sty m:val="p"/>
                </m:rPr>
                <m:t>/</m:t>
              </m:r>
              <m:r>
                <m:t>9</m:t>
              </m:r>
              <m:r>
                <m:rPr>
                  <m:sty m:val="p"/>
                </m:rPr>
                <m:t>→</m:t>
              </m:r>
              <m:r>
                <m:t>1</m:t>
              </m:r>
              <m:r>
                <m:rPr>
                  <m:sty m:val="p"/>
                </m:rPr>
                <m:t>/</m:t>
              </m:r>
              <m:r>
                <m:t>9</m:t>
              </m:r>
            </m:oMath>
            <w:r>
              <w:rPr>
                <w:sz w:val="19"/>
              </w:rPr>
              <w:t xml:space="preserve">, exploratory; clipping fell 37%), though cross-sectional AUC was stable (</w:t>
            </w:r>
            <m:oMath>
              <m:r>
                <m:t>0.88</m:t>
              </m:r>
              <m:r>
                <m:rPr>
                  <m:sty m:val="p"/>
                </m:rPr>
                <m:t>→</m:t>
              </m:r>
              <m:r>
                <m:t>0.87</m:t>
              </m:r>
            </m:oMath>
            <w:r>
              <w:rPr>
                <w:sz w:val="19"/>
              </w:rPr>
              <w:t xml:space="preserve">,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cross-fold identity memorization; grouping made no difference where most normal drones contribute one flight (</w:t>
            </w:r>
            <m:oMath>
              <m:r>
                <m:t>0.884</m:t>
              </m:r>
            </m:oMath>
            <w:r>
              <w:rPr>
                <w:sz w:val="19"/>
              </w:rPr>
              <w:t xml:space="preserve"> </w:t>
            </w:r>
            <w:r>
              <w:rPr>
                <w:sz w:val="19"/>
              </w:rPr>
              <w:t xml:space="preserve">vs</w:t>
            </w:r>
            <w:r>
              <w:rPr>
                <w:sz w:val="19"/>
              </w:rPr>
              <w:t xml:space="preserve"> </w:t>
            </w:r>
            <m:oMath>
              <m:r>
                <m:t>0.883</m:t>
              </m:r>
            </m:oMath>
            <w:r>
              <w:rPr>
                <w:sz w:val="19"/>
              </w:rPr>
              <w:t xml:space="preserve">), but in the factorial audit it was the only material factor, lowering AUC by 0.062 [0.034, 0.087], mostly where comparison drones contribute several flights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though in uncurated archives an uncalipered longitudinal baseline alone yielded no detectable precursor signal (AUC 0.569, cluster CI [0.500, 0.643]) without duration matching.</w:t>
            </w:r>
          </w:p>
        </w:tc>
      </w:tr>
      <w:tr>
        <w:tc>
          <w:tcPr/>
          <w:p>
            <w:pPr>
              <w:pStyle w:val="Compact"/>
              <w:spacing w:line="240" w:lineRule="auto"/>
              <w:jc w:val="left"/>
            </w:pPr>
            <w:r>
              <w:rPr>
                <w:sz w:val="19"/>
              </w:rPr>
              <w:t xml:space="preserve">4. Duration caliper matching</w:t>
            </w:r>
          </w:p>
        </w:tc>
        <w:tc>
          <w:tcPr/>
          <w:p>
            <w:pPr>
              <w:pStyle w:val="Compact"/>
              <w:spacing w:line="240" w:lineRule="auto"/>
              <w:jc w:val="left"/>
            </w:pPr>
            <w:r>
              <w:rPr>
                <w:sz w:val="19"/>
              </w:rPr>
              <w:t xml:space="preserve">Enforce duration matching ratio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rPr>
                <w:sz w:val="19"/>
              </w:rPr>
              <w:t xml:space="preserve"> </w:t>
            </w:r>
            <w:r>
              <w:rPr>
                <w:sz w:val="19"/>
              </w:rPr>
              <w:t xml:space="preserve">to</w:t>
            </w:r>
            <w:r>
              <w:rPr>
                <w:sz w:val="19"/>
              </w:rPr>
              <w:t xml:space="preserve"> </w:t>
            </w:r>
            <m:oMath>
              <m:r>
                <m:rPr>
                  <m:sty m:val="p"/>
                </m:rPr>
                <m:t>≤</m:t>
              </m:r>
              <m:r>
                <m:t>0.50</m:t>
              </m:r>
            </m:oMath>
            <w:r>
              <w:rPr>
                <w:sz w:val="19"/>
              </w:rPr>
              <w:t xml:space="preserve">)</w:t>
            </w:r>
          </w:p>
        </w:tc>
        <w:tc>
          <w:tcPr/>
          <w:p>
            <w:pPr>
              <w:pStyle w:val="Compact"/>
              <w:spacing w:line="240" w:lineRule="auto"/>
              <w:jc w:val="left"/>
            </w:pPr>
            <w:r>
              <w:rPr>
                <w:sz w:val="19"/>
              </w:rPr>
              <w:t xml:space="preserve">Aborted/short incident flights induce spurious duration separation; caliper matching lifts within-drone AUC by</w:t>
            </w:r>
            <w:r>
              <w:rPr>
                <w:sz w:val="19"/>
              </w:rPr>
              <w:t xml:space="preserve"> </w:t>
            </w:r>
            <m:oMath>
              <m:r>
                <m:rPr>
                  <m:sty m:val="p"/>
                </m:rPr>
                <m:t>+</m:t>
              </m:r>
              <m:r>
                <m:t>0.110</m:t>
              </m:r>
            </m:oMath>
            <w:r>
              <w:rPr>
                <w:sz w:val="19"/>
              </w:rPr>
              <w:t xml:space="preserve"> </w:t>
            </w:r>
            <w:r>
              <w:rPr>
                <w:sz w:val="19"/>
              </w:rPr>
              <w:t xml:space="preserve">[+0.028, +0.205], and by</w:t>
            </w:r>
            <w:r>
              <w:rPr>
                <w:sz w:val="19"/>
              </w:rPr>
              <w:t xml:space="preserve"> </w:t>
            </w:r>
            <m:oMath>
              <m:r>
                <m:rPr>
                  <m:sty m:val="p"/>
                </m:rPr>
                <m:t>+</m:t>
              </m:r>
              <m:r>
                <m:t>0.077</m:t>
              </m:r>
            </m:oMath>
            <w:r>
              <w:rPr>
                <w:sz w:val="19"/>
              </w:rPr>
              <w:t xml:space="preserve"> </w:t>
            </w:r>
            <w:r>
              <w:rPr>
                <w:sz w:val="19"/>
              </w:rPr>
              <w:t xml:space="preserve">[+0.013, +0.204] without duration-linked features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2"/>
    <w:p>
      <w:pPr>
        <w:pStyle w:val="Heading1"/>
      </w:pPr>
      <w:bookmarkStart w:id="73" w:name="_074802e0e16f6322e726b21f081c01c392e8fbd"/>
      <w:r>
        <w:rPr>
          <w:rStyle w:val="SectionNumber"/>
        </w:rPr>
        <w:t xml:space="preserve">7</w:t>
      </w:r>
      <w:r>
        <w:tab/>
      </w:r>
      <w:r>
        <w:t xml:space="preserve">Discussion</w:t>
      </w:r>
      <w:bookmarkEnd w:id="73"/>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across cut-offs yielded AUCs of 0.366–0.603 (upper bounds 0.519–0.724), with upper bounds of 0.519–0.604 at</w:t>
      </w:r>
      <w:r>
        <w:t xml:space="preserve"> </w:t>
      </w:r>
      <m:oMath>
        <m:r>
          <m:t>m</m:t>
        </m:r>
        <m:r>
          <m:rPr>
            <m:sty m:val="p"/>
          </m:rPr>
          <m:t>≥</m:t>
        </m:r>
        <m:r>
          <m:t>10</m:t>
        </m:r>
      </m:oMath>
      <w:r>
        <w:t xml:space="preserve"> s, giving no evidence that non-linear trees separate the classes.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vehicle-grouped cross-validation (0.884) and crash-window removal (0.860) made no detectable difference on that sample.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identical 372 flights of the multi-flight cohort, cross-sectional evaluation (0.529 [0.453, 0.607]) and within-drone Group-CV (0.569 [0.493, 0.645]; cluster bootstrap 95% CI [0.500, 0.643]; pairwise mean AUC 0.592 [0.516, 0.692]) yielded overlapping intervals (the cluster bootstrap interval touches chance at 0.500, while the pairwise interval extends down to near-chance at 0.516), indicating that uncalipered matching yields no detectable precursor signal in this cohort. However, controlling for feature-window duration within drones via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from 0.532 to 0.642 (</w:t>
      </w:r>
      <m:oMath>
        <m:r>
          <m:rPr>
            <m:sty m:val="p"/>
          </m:rPr>
          <m:t>+</m:t>
        </m:r>
        <m:r>
          <m:t>0.110</m:t>
        </m:r>
      </m:oMath>
      <w:r>
        <w:t xml:space="preserve"> </w:t>
      </w:r>
      <w:r>
        <w:t xml:space="preserve">on the exact same 36 airframes; paired cluster bootstrap 95% CI [+0.028, +0.205] with reproducible folds), suggesting that baseline duration differences between crash and non-crash flights may mask within-drone precursor detection in this cohort; without the duration-linked clipping, tilt and voltage-sag features the lift is</w:t>
      </w:r>
      <w:r>
        <w:t xml:space="preserve"> </w:t>
      </w:r>
      <m:oMath>
        <m:r>
          <m:rPr>
            <m:sty m:val="p"/>
          </m:rPr>
          <m:t>+</m:t>
        </m:r>
        <m:r>
          <m:t>0.077</m:t>
        </m:r>
      </m:oMath>
      <w:r>
        <w:t xml:space="preserve"> </w:t>
      </w:r>
      <w:r>
        <w:t xml:space="preserve">[+0.013, +0.204], so the gain is not carried only by them, although a fixed 30 s window did not reproduce it.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4" w:name="_82b82981e21bad8167d56d1f0b74a832e215810"/>
      <w:r>
        <w:rPr>
          <w:rStyle w:val="SectionNumber"/>
        </w:rPr>
        <w:t xml:space="preserve">8</w:t>
      </w:r>
      <w:r>
        <w:tab/>
      </w:r>
      <w:r>
        <w:t xml:space="preserve">Threats to validity</w:t>
      </w:r>
      <w:bookmarkEnd w:id="74"/>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Flight order.</w:t>
      </w:r>
      <w:r>
        <w:t xml:space="preserve"> </w:t>
      </w:r>
      <w:r>
        <w:t xml:space="preserve">Earlier flights were selected by calendar date. GPS times showed that 47 of 95 crash-day exposure flights in the between-drone sample were flown after the crash; the between-drone result held without them (§5.5), but the within-drone, caliper and same-aircraft samples have not been audited for the same problem.</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5" w:name="_0cf7f8e9027f9f9352f3019b4ede1d43d537ff7"/>
      <w:r>
        <w:rPr>
          <w:rStyle w:val="SectionNumber"/>
        </w:rPr>
        <w:t xml:space="preserve">9</w:t>
      </w:r>
      <w:r>
        <w:tab/>
      </w:r>
      <w:r>
        <w:t xml:space="preserve">Conclusion</w:t>
      </w:r>
      <w:bookmarkEnd w:id="75"/>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0.38–0.60, upper bounds</w:t>
      </w:r>
      <w:r>
        <w:t xml:space="preserve"> </w:t>
      </w:r>
      <m:oMath>
        <m:r>
          <m:rPr>
            <m:sty m:val="p"/>
          </m:rPr>
          <m:t>≤</m:t>
        </m:r>
        <m:r>
          <m:t>0.724</m:t>
        </m:r>
      </m:oMath>
      <w:r>
        <w:t xml:space="preserve">, 0.519–0.604 at</w:t>
      </w:r>
      <w:r>
        <w:t xml:space="preserve"> </w:t>
      </w:r>
      <m:oMath>
        <m:r>
          <m:t>m</m:t>
        </m:r>
        <m:r>
          <m:rPr>
            <m:sty m:val="p"/>
          </m:rPr>
          <m:t>≥</m:t>
        </m:r>
        <m:r>
          <m:t>10</m:t>
        </m:r>
      </m:oMath>
      <w:r>
        <w:t xml:space="preserve"> s)</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A factorial audit of 32 evaluation settings attributed 0.21 of the apparent AUC to evaluation choices; only grouping folds by vehicle was individually material (0.06), the crash set and the choice of normal flights could not be separated, and separation against other aircraft persisted at 0.67 until each drone was compared with its own earlier flights.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6" w:name="_84dc18e74b75db6057c8c16a8f70e097972540a"/>
      <w:r>
        <w:t xml:space="preserve">Declaration of competing interest</w:t>
      </w:r>
      <w:bookmarkEnd w:id="76"/>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7" w:name="_1f74eb43af444059c7518034463b6c89b1cacf4"/>
      <w:r>
        <w:t xml:space="preserve">Declaration of generative AI and AI-assisted technologies in the manuscript preparation process</w:t>
      </w:r>
      <w:bookmarkEnd w:id="77"/>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8" w:name="_ea5c66868f283220c19382d0fdd5a852ec570ca"/>
      <w:r>
        <w:t xml:space="preserve">Data availability</w:t>
      </w:r>
      <w:bookmarkEnd w:id="78"/>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9">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9" w:name="_funding"/>
      <w:r>
        <w:t xml:space="preserve">Funding</w:t>
      </w:r>
      <w:bookmarkEnd w:id="79"/>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0" w:name="_bibliography"/>
      <w:r>
        <w:t xml:space="preserve">References</w:t>
      </w:r>
      <w:bookmarkEnd w:id="80"/>
    </w:p>
    <w:bookmarkStart w:id="136" w:name="_refs"/>
    <w:bookmarkStart w:id="81"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1"/>
    <w:bookmarkStart w:id="82"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2"/>
    <w:bookmarkStart w:id="83"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3"/>
    <w:bookmarkStart w:id="84"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4"/>
    <w:bookmarkStart w:id="86"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5">
        <w:r>
          <w:rPr>
            <w:rStyle w:val="Hyperlink"/>
          </w:rPr>
          <w:t xml:space="preserve">10.1109/ICSE55347.2025.00223</w:t>
        </w:r>
      </w:hyperlink>
      <w:r>
        <w:t xml:space="preserve">.</w:t>
      </w:r>
    </w:p>
    <w:bookmarkEnd w:id="86"/>
    <w:bookmarkStart w:id="88"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7">
        <w:r>
          <w:rPr>
            <w:rStyle w:val="Hyperlink"/>
          </w:rPr>
          <w:t xml:space="preserve">10.1016/j.fsidi.2026.302051</w:t>
        </w:r>
      </w:hyperlink>
      <w:r>
        <w:t xml:space="preserve">.</w:t>
      </w:r>
    </w:p>
    <w:bookmarkEnd w:id="88"/>
    <w:bookmarkStart w:id="89"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9"/>
    <w:bookmarkStart w:id="91"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0">
        <w:r>
          <w:rPr>
            <w:rStyle w:val="Hyperlink"/>
          </w:rPr>
          <w:t xml:space="preserve">10.1145/2382577.2382579</w:t>
        </w:r>
      </w:hyperlink>
      <w:r>
        <w:t xml:space="preserve">.</w:t>
      </w:r>
    </w:p>
    <w:bookmarkEnd w:id="91"/>
    <w:bookmarkStart w:id="93"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2">
        <w:r>
          <w:rPr>
            <w:rStyle w:val="Hyperlink"/>
          </w:rPr>
          <w:t xml:space="preserve">10.1016/j.patter.2023.100804</w:t>
        </w:r>
      </w:hyperlink>
      <w:r>
        <w:t xml:space="preserve">.</w:t>
      </w:r>
    </w:p>
    <w:bookmarkEnd w:id="93"/>
    <w:bookmarkStart w:id="95"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4">
        <w:r>
          <w:rPr>
            <w:rStyle w:val="Hyperlink"/>
          </w:rPr>
          <w:t xml:space="preserve">10.1177/0278364920966642</w:t>
        </w:r>
      </w:hyperlink>
      <w:r>
        <w:t xml:space="preserve">.</w:t>
      </w:r>
    </w:p>
    <w:bookmarkEnd w:id="95"/>
    <w:bookmarkStart w:id="97"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6">
        <w:r>
          <w:rPr>
            <w:rStyle w:val="Hyperlink"/>
          </w:rPr>
          <w:t xml:space="preserve">10.1177/02783649241305153</w:t>
        </w:r>
      </w:hyperlink>
      <w:r>
        <w:t xml:space="preserve">.</w:t>
      </w:r>
    </w:p>
    <w:bookmarkEnd w:id="97"/>
    <w:bookmarkStart w:id="98"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8"/>
    <w:bookmarkStart w:id="100"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9">
        <w:r>
          <w:rPr>
            <w:rStyle w:val="Hyperlink"/>
          </w:rPr>
          <w:t xml:space="preserve">10.3390/aerospace3030022</w:t>
        </w:r>
      </w:hyperlink>
      <w:r>
        <w:t xml:space="preserve">.</w:t>
      </w:r>
    </w:p>
    <w:bookmarkEnd w:id="100"/>
    <w:bookmarkStart w:id="101"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1"/>
    <w:bookmarkStart w:id="103"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2">
        <w:r>
          <w:rPr>
            <w:rStyle w:val="Hyperlink"/>
          </w:rPr>
          <w:t xml:space="preserve">10.1109/ICRA.2015.7140074</w:t>
        </w:r>
      </w:hyperlink>
      <w:r>
        <w:t xml:space="preserve">.</w:t>
      </w:r>
    </w:p>
    <w:bookmarkEnd w:id="103"/>
    <w:bookmarkStart w:id="104"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8"/>
    <w:bookmarkStart w:id="120"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9">
        <w:r>
          <w:rPr>
            <w:rStyle w:val="Hyperlink"/>
          </w:rPr>
          <w:t xml:space="preserve">https://proceedings.mlr.press/v235/du24e.html</w:t>
        </w:r>
      </w:hyperlink>
      <w:r>
        <w:t xml:space="preserve">.</w:t>
      </w:r>
    </w:p>
    <w:bookmarkEnd w:id="120"/>
    <w:bookmarkStart w:id="122"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1">
        <w:r>
          <w:rPr>
            <w:rStyle w:val="Hyperlink"/>
          </w:rPr>
          <w:t xml:space="preserve">10.1145/3605764.3623985</w:t>
        </w:r>
      </w:hyperlink>
      <w:r>
        <w:t xml:space="preserve">.</w:t>
      </w:r>
    </w:p>
    <w:bookmarkEnd w:id="122"/>
    <w:bookmarkStart w:id="124"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23">
        <w:r>
          <w:rPr>
            <w:rStyle w:val="Hyperlink"/>
          </w:rPr>
          <w:t xml:space="preserve">10.1109/TNNLS.2013.2292894</w:t>
        </w:r>
      </w:hyperlink>
      <w:r>
        <w:t xml:space="preserve">.</w:t>
      </w:r>
    </w:p>
    <w:bookmarkEnd w:id="124"/>
    <w:bookmarkStart w:id="126"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5">
        <w:r>
          <w:rPr>
            <w:rStyle w:val="Hyperlink"/>
          </w:rPr>
          <w:t xml:space="preserve">10.1214/09-STS313</w:t>
        </w:r>
      </w:hyperlink>
      <w:r>
        <w:t xml:space="preserve">.</w:t>
      </w:r>
    </w:p>
    <w:bookmarkEnd w:id="126"/>
    <w:bookmarkStart w:id="128"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7">
        <w:r>
          <w:rPr>
            <w:rStyle w:val="Hyperlink"/>
          </w:rPr>
          <w:t xml:space="preserve">10.1073/pnas.1708274114</w:t>
        </w:r>
      </w:hyperlink>
      <w:r>
        <w:t xml:space="preserve">.</w:t>
      </w:r>
    </w:p>
    <w:bookmarkEnd w:id="128"/>
    <w:bookmarkStart w:id="130"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9">
        <w:r>
          <w:rPr>
            <w:rStyle w:val="Hyperlink"/>
          </w:rPr>
          <w:t xml:space="preserve">10.1148/radiology.143.1.7063747</w:t>
        </w:r>
      </w:hyperlink>
      <w:r>
        <w:t xml:space="preserve">.</w:t>
      </w:r>
    </w:p>
    <w:bookmarkEnd w:id="130"/>
    <w:bookmarkStart w:id="132"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1">
        <w:r>
          <w:rPr>
            <w:rStyle w:val="Hyperlink"/>
          </w:rPr>
          <w:t xml:space="preserve">10.1214/aoms/1177730491</w:t>
        </w:r>
      </w:hyperlink>
      <w:r>
        <w:t xml:space="preserve">.</w:t>
      </w:r>
    </w:p>
    <w:bookmarkEnd w:id="132"/>
    <w:bookmarkStart w:id="133"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33"/>
    <w:bookmarkStart w:id="135"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34">
        <w:r>
          <w:rPr>
            <w:rStyle w:val="Hyperlink"/>
          </w:rPr>
          <w:t xml:space="preserve">https://www.jstor.org/stable/4615733</w:t>
        </w:r>
      </w:hyperlink>
      <w:r>
        <w:t xml:space="preserve">.</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png"/><Relationship Id="rId54" Type="http://schemas.openxmlformats.org/officeDocument/2006/relationships/image" Target="media/rId54.png"/><Relationship Id="rId33" Type="http://schemas.openxmlformats.org/officeDocument/2006/relationships/image" Target="media/rId33.png"/><Relationship Id="rId17" Type="http://schemas.openxmlformats.org/officeDocument/2006/relationships/image" Target="media/rId17.png"/><Relationship Id="rId49" Type="http://schemas.openxmlformats.org/officeDocument/2006/relationships/image" Target="media/rId49.png"/><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2026-10-27T08:16:10Z</dcterms:created>
  <dcterms:modified xsi:type="dcterms:W3CDTF">2026-10-27T08:16:10Z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