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show whether the pilot or the aircraft caused a drone crash, and which drones will fail next. We tested both on 590 crash logs from a 479,547-flight PX4 archive, declaring confirmatory tests in version control before running them (</w:t>
      </w:r>
      <m:oMath>
        <m:sSup>
          <m:e>
            <m:r>
              <m:t>​</m:t>
            </m:r>
          </m:e>
          <m:sup>
            <m:r>
              <m:rPr>
                <m:sty m:val="p"/>
              </m:rPr>
              <m:t>†</m:t>
            </m:r>
          </m:sup>
        </m:sSup>
      </m:oMath>
      <w:r>
        <w:t xml:space="preserve">marks exploratory analyses added after the declared protocol). A fixed attribution rule reached 0.47 balanced accuracy on 112 held-out crashes (pass mark 0.70), and was inconclusive on 43 expert-diagnosed logs.</w:t>
      </w:r>
      <w:r>
        <w:t xml:space="preserve"> </w:t>
      </w:r>
      <m:oMath>
        <m:sSup>
          <m:e>
            <m:r>
              <m:t>​</m:t>
            </m:r>
          </m:e>
          <m:sup>
            <m:r>
              <m:rPr>
                <m:sty m:val="p"/>
              </m:rPr>
              <m:t>†</m:t>
            </m:r>
          </m:sup>
        </m:sSup>
      </m:oMath>
      <w:r>
        <w:t xml:space="preserve">Logistic models and trees stayed near chance (AUC 0.42–0.59); with 36 pilot-labelled crashes, only an AUC of 0.72 or more was detectable.</w:t>
      </w:r>
      <w:r>
        <w:t xml:space="preserve"> </w:t>
      </w:r>
      <m:oMath>
        <m:sSup>
          <m:e>
            <m:r>
              <m:t>​</m:t>
            </m:r>
          </m:e>
          <m:sup>
            <m:r>
              <m:rPr>
                <m:sty m:val="p"/>
              </m:rPr>
              <m:t>†</m:t>
            </m:r>
          </m:sup>
        </m:sSup>
      </m:oMath>
      <w:r>
        <w:t xml:space="preserve">In a factorial audit of 32 evaluation settings, apparent crash-detection AUC fell by 0.21 [0.06, 0.34] (0.88 to 0.67), of which 0.06 came from grouping folds by vehicle; crash-window leakage was small overall but larger among the 40 crashes with a confirmed crash moment.</w:t>
      </w:r>
      <w:r>
        <w:t xml:space="preserve"> </w:t>
      </w:r>
      <m:oMath>
        <m:sSup>
          <m:e>
            <m:r>
              <m:t>​</m:t>
            </m:r>
          </m:e>
          <m:sup>
            <m:r>
              <m:rPr>
                <m:sty m:val="p"/>
              </m:rPr>
              <m:t>†</m:t>
            </m:r>
          </m:sup>
        </m:sSup>
      </m:oMath>
      <w:r>
        <w:t xml:space="preserve">Dates cannot order flights within a day: by GPS time, 44–55% of dated crash-day</w:t>
      </w:r>
      <w:r>
        <w:t xml:space="preserve"> </w:t>
      </w:r>
      <w:r>
        <w:t xml:space="preserve">“earlier”</w:t>
      </w:r>
      <w:r>
        <w:t xml:space="preserve"> </w:t>
      </w:r>
      <w:r>
        <w:t xml:space="preserve">flights were flown after the crash. Crash flights showed no warning against the same drone’s earlier flights. Drones that later crashed vibrated more than matched drones (mean rank 0.67;</w:t>
      </w:r>
      <w:r>
        <w:t xml:space="preserve"> </w:t>
      </w:r>
      <m:oMath>
        <m:sSup>
          <m:e>
            <m:r>
              <m:t>​</m:t>
            </m:r>
          </m:e>
          <m:sup>
            <m:r>
              <m:rPr>
                <m:sty m:val="p"/>
              </m:rPr>
              <m:t>†</m:t>
            </m:r>
          </m:sup>
        </m:sSup>
      </m:oMath>
      <m:oMath>
        <m:r>
          <m:t>p</m:t>
        </m:r>
        <m:r>
          <m:rPr>
            <m:sty m:val="p"/>
          </m:rPr>
          <m:t>=</m:t>
        </m:r>
        <m:r>
          <m:t>0.012</m:t>
        </m:r>
      </m:oMath>
      <w:r>
        <w:t xml:space="preserve"> </w:t>
      </w:r>
      <w:r>
        <w:t xml:space="preserve">with one set per airframe, Holm-adjusted 0.08), a suggestive basis for inspection ranking, not crash warning. We give a reporting checklist and an evidence-first fleet-assurance design.</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Both were tested. Crash-window leakage was small for model accuracy overall (0.014 of AUC in the factorial audit), largely because only 40 of 148 crash logs have a clear crash moment; among those it was larger (a 0.10 drop on the leak curve) but not statistically established; grouping cross-validation folds by vehicle mattered more, and comparing each drone with its own earlier flights mattered most. 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are as follows.</w:t>
      </w:r>
      <w:r>
        <w:t xml:space="preserve"> </w:t>
      </w:r>
      <w:r>
        <w:t xml:space="preserve">(i) </w:t>
      </w:r>
      <m:oMath>
        <m:sSup>
          <m:e>
            <m:r>
              <m:t>​</m:t>
            </m:r>
          </m:e>
          <m:sup>
            <m:r>
              <m:rPr>
                <m:sty m:val="p"/>
              </m:rPr>
              <m:t>†</m:t>
            </m:r>
          </m:sup>
        </m:sSup>
      </m:oMath>
      <w:r>
        <w:t xml:space="preserve">A factorial audit of evaluation choices for crash-log classifiers. Across 32 settings, apparent crash-vs-normal AUC fell by 0.21 [0.06, 0.34] (0.88 to 0.67); grouping folds by vehicle was the only material factor, and crash-window leakage was small overall but larger among crashes with a confirmed crash moment (Sections 5.4 and 5.3).</w:t>
      </w:r>
      <w:r>
        <w:t xml:space="preserve"> </w:t>
      </w:r>
      <w:r>
        <w:t xml:space="preserve">(ii) </w:t>
      </w:r>
      <m:oMath>
        <m:sSup>
          <m:e>
            <m:r>
              <m:t>​</m:t>
            </m:r>
          </m:e>
          <m:sup>
            <m:r>
              <m:rPr>
                <m:sty m:val="p"/>
              </m:rPr>
              <m:t>†</m:t>
            </m:r>
          </m:sup>
        </m:sSup>
      </m:oMath>
      <w:r>
        <w:t xml:space="preserve">A data-integrity hazard in public log archives: date-only ordering cannot order same-day flights, and by GPS time 44–55% of dated crash-day</w:t>
      </w:r>
      <w:r>
        <w:t xml:space="preserve"> </w:t>
      </w:r>
      <w:r>
        <w:t xml:space="preserve">“earlier”</w:t>
      </w:r>
      <w:r>
        <w:t xml:space="preserve"> </w:t>
      </w:r>
      <w:r>
        <w:t xml:space="preserve">flights were flown after the crash; over half of crash-rated logs have a later log from the same flight controller. Removing post-crash flights left the declared conclusions in place but removed an apparent within-drone effect, which we withdraw (Sections 5.5 and 8).</w:t>
      </w:r>
      <w:r>
        <w:t xml:space="preserve"> </w:t>
      </w:r>
      <w:r>
        <w:t xml:space="preserve">(iii) A small validation set of real PX4 crash logs with independent expert diagnoses (148 threads coded twice,</w:t>
      </w:r>
      <w:r>
        <w:t xml:space="preserve"> </w:t>
      </w:r>
      <m:oMath>
        <m:r>
          <m:t>κ</m:t>
        </m:r>
        <m:r>
          <m:rPr>
            <m:sty m:val="p"/>
          </m:rPr>
          <m:t>≥</m:t>
        </m:r>
        <m:r>
          <m:t>0.73</m:t>
        </m:r>
      </m:oMath>
      <w:r>
        <w:t xml:space="preserve">; 43 downloadable logs, 9 with uploader labels).</w:t>
      </w:r>
      <w:r>
        <w:t xml:space="preserve"> </w:t>
      </w:r>
      <w:r>
        <w:t xml:space="preserve">(iv) Declared and exploratory tests showing that, with these features, rules and labels, logs did not separate pilot-caused from aircraft-caused crashes: the fixed rule reached 0.47 balanced accuracy on held-out crashes, and exploratory logistic models and depth-3 trees gave AUC 0.42–0.59 with approximate upper bounds</w:t>
      </w:r>
      <w:r>
        <w:t xml:space="preserve"> </w:t>
      </w:r>
      <m:oMath>
        <m:r>
          <m:rPr>
            <m:sty m:val="p"/>
          </m:rPr>
          <m:t>≤</m:t>
        </m:r>
        <m:r>
          <m:t>0.69</m:t>
        </m:r>
      </m:oMath>
      <w:r>
        <w:t xml:space="preserve">, below the</w:t>
      </w:r>
      <w:r>
        <w:t xml:space="preserve"> </w:t>
      </w:r>
      <m:oMath>
        <m:r>
          <m:rPr>
            <m:sty m:val="p"/>
          </m:rPr>
          <m:t>≈</m:t>
        </m:r>
        <m:r>
          <m:t>0.8</m:t>
        </m:r>
      </m:oMath>
      <w:r>
        <w:t xml:space="preserve"> </w:t>
      </w:r>
      <w:r>
        <w:t xml:space="preserve">a verdict needs (Section 5.2).</w:t>
      </w:r>
      <w:r>
        <w:t xml:space="preserve"> </w:t>
      </w:r>
      <w:r>
        <w:t xml:space="preserve">(v) A suggestive screening signal: drones that later crashed vibrated more than matched drones on ordinary flights (mean rank 0.67;</w:t>
      </w:r>
      <w:r>
        <w:t xml:space="preserve"> </w:t>
      </w:r>
      <m:oMath>
        <m:r>
          <m:t>p</m:t>
        </m:r>
        <m:r>
          <m:rPr>
            <m:sty m:val="p"/>
          </m:rPr>
          <m:t>=</m:t>
        </m:r>
        <m:r>
          <m:t>0.012</m:t>
        </m:r>
      </m:oMath>
      <w:r>
        <w:t xml:space="preserve"> </w:t>
      </w:r>
      <w:r>
        <w:t xml:space="preserve">clustered by airframe, Holm 0.08), useful for ranking airframes for inspection, not for warning of a crash.</w:t>
      </w:r>
      <w:r>
        <w:t xml:space="preserve"> </w:t>
      </w:r>
      <w:r>
        <w:t xml:space="preserve">(vi) A recommended reporting checklist for log-based diagnostics and an evidence-first design for fleet-assurance tools.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Wang et al. collected 178 real abnormal PX4 and ArduPilot logs from software-bug incidents and studied those that led to crashes</w:t>
      </w:r>
      <w:r>
        <w:t xml:space="preserve"> </w:t>
      </w:r>
      <w:r>
        <w:t xml:space="preserve">[</w:t>
      </w:r>
      <w:hyperlink w:anchor="_950e388298cdb3fb08e5b74428870c5b4c838aa">
        <w:r>
          <w:rPr>
            <w:rStyle w:val="Hyperlink"/>
          </w:rPr>
          <w:t xml:space="preserve">19</w:t>
        </w:r>
      </w:hyperlink>
      <w:r>
        <w:t xml:space="preserve">]</w:t>
      </w:r>
      <w:r>
        <w:t xml:space="preserve">; their labels are software root causes. To our knowledge, none of these resources labels real crashes by pilot-versus-aircraft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Wang et al. </w:t>
            </w:r>
            <w:r>
              <w:rPr>
                <w:sz w:val="19"/>
              </w:rPr>
              <w:t xml:space="preserve">[</w:t>
            </w:r>
            <w:hyperlink w:anchor="_950e388298cdb3fb08e5b74428870c5b4c838aa">
              <w:r>
                <w:rPr>
                  <w:rStyle w:val="Hyperlink"/>
                </w:rPr>
                <w:t xml:space="preserve">19</w:t>
              </w:r>
            </w:hyperlink>
            <w:r>
              <w:rPr>
                <w:sz w:val="19"/>
              </w:rPr>
              <w:t xml:space="preserve">]</w:t>
            </w:r>
          </w:p>
        </w:tc>
        <w:tc>
          <w:tcPr/>
          <w:p>
            <w:pPr>
              <w:pStyle w:val="Compact"/>
              <w:spacing w:line="240" w:lineRule="auto"/>
              <w:jc w:val="left"/>
            </w:pPr>
            <w:r>
              <w:rPr>
                <w:sz w:val="19"/>
              </w:rPr>
              <w:t xml:space="preserve">178 real abnormal PX4/ArduPilot logs</w:t>
            </w:r>
          </w:p>
        </w:tc>
        <w:tc>
          <w:tcPr/>
          <w:p>
            <w:pPr>
              <w:pStyle w:val="Compact"/>
              <w:spacing w:line="240" w:lineRule="auto"/>
              <w:jc w:val="left"/>
            </w:pPr>
            <w:r>
              <w:rPr>
                <w:sz w:val="19"/>
              </w:rPr>
              <w:t xml:space="preserve">Software-bug root causes</w:t>
            </w:r>
          </w:p>
        </w:tc>
        <w:tc>
          <w:tcPr/>
          <w:p>
            <w:pPr>
              <w:pStyle w:val="Compact"/>
              <w:spacing w:line="240" w:lineRule="auto"/>
              <w:jc w:val="left"/>
            </w:pPr>
            <w:r>
              <w:rPr>
                <w:sz w:val="19"/>
              </w:rPr>
              <w:t xml:space="preserve">Partly (software bugs only; not responsibility)</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and a later study collected 178 abnormal PX4 and ArduPilot flight logs from real software-bug incidents</w:t>
      </w:r>
      <w:r>
        <w:t xml:space="preserve"> </w:t>
      </w:r>
      <w:r>
        <w:t xml:space="preserve">[</w:t>
      </w:r>
      <w:hyperlink w:anchor="_950e388298cdb3fb08e5b74428870c5b4c838aa">
        <w:r>
          <w:rPr>
            <w:rStyle w:val="Hyperlink"/>
          </w:rPr>
          <w:t xml:space="preserve">19</w:t>
        </w:r>
      </w:hyperlink>
      <w:r>
        <w:t xml:space="preserve">]</w:t>
      </w:r>
      <w:r>
        <w:t xml:space="preserve">. MAYDAY argues that flight logs record only high-level control states, so an accident whose cause lies in the control program often cannot be traced from the log alone; it adds program-level logging and traced 10 ArduPilot accidents to control-semantic bugs</w:t>
      </w:r>
      <w:r>
        <w:t xml:space="preserve"> </w:t>
      </w:r>
      <w:r>
        <w:t xml:space="preserve">[</w:t>
      </w:r>
      <w:hyperlink w:anchor="_28fc3a5fe4ab4d700ff5d5013cf5016c3615a4e">
        <w:r>
          <w:rPr>
            <w:rStyle w:val="Hyperlink"/>
          </w:rPr>
          <w:t xml:space="preserve">24</w:t>
        </w:r>
      </w:hyperlink>
      <w:r>
        <w:t xml:space="preserve">]</w:t>
      </w:r>
      <w:r>
        <w:t xml:space="preserve">. Our negative attribution result is the statistical counterpart of that argument for pilot-versus-aircraft calls. Recent work recovers and parses damaged ArduPilot, PX4 and Betaflight logs for forensic use</w:t>
      </w:r>
      <w:r>
        <w:t xml:space="preserve"> </w:t>
      </w:r>
      <w:r>
        <w:t xml:space="preserve">[</w:t>
      </w:r>
      <w:hyperlink w:anchor="_d4ad44bf9b3d266a94b61d09f97230334249200">
        <w:r>
          <w:rPr>
            <w:rStyle w:val="Hyperlink"/>
          </w:rPr>
          <w:t xml:space="preserve">25</w:t>
        </w:r>
      </w:hyperlink>
      <w:r>
        <w:t xml:space="preserve">]</w:t>
      </w:r>
      <w:r>
        <w:t xml:space="preserve">, and diagnoses battery-induced crashes from hexacopter flight logs in controlled scenarios</w:t>
      </w:r>
      <w:r>
        <w:t xml:space="preserve"> </w:t>
      </w:r>
      <w:r>
        <w:t xml:space="preserve">[</w:t>
      </w:r>
      <w:hyperlink w:anchor="_c31a8d3d1228c558f290994c7b0f9dadcd70167">
        <w:r>
          <w:rPr>
            <w:rStyle w:val="Hyperlink"/>
          </w:rPr>
          <w:t xml:space="preserve">26</w:t>
        </w:r>
      </w:hyperlink>
      <w:r>
        <w:t xml:space="preserve">]</w:t>
      </w:r>
      <w:r>
        <w:t xml:space="preserve">; both study logs under known conditions rather than an uncurated archive. Gryphon extracts critical events from ArduPilot logs with a six-step forensic method that ends in a timeline</w:t>
      </w:r>
      <w:r>
        <w:t xml:space="preserve"> </w:t>
      </w:r>
      <w:r>
        <w:t xml:space="preserve">[</w:t>
      </w:r>
      <w:hyperlink w:anchor="_db271caa090a7def1254596a62a362b0608337f">
        <w:r>
          <w:rPr>
            <w:rStyle w:val="Hyperlink"/>
          </w:rPr>
          <w:t xml:space="preserve">27</w:t>
        </w:r>
      </w:hyperlink>
      <w:r>
        <w:t xml:space="preserve">]</w:t>
      </w:r>
      <w:r>
        <w:t xml:space="preserve">; AeroFleet’s evidence timeline follows the same principle and adds no attribution.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28</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29</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w:t>
      </w:r>
      <w:r>
        <w:t xml:space="preserve">and to UAV forensic investigation</w:t>
      </w:r>
      <w:r>
        <w:t xml:space="preserve"> </w:t>
      </w:r>
      <w:r>
        <w:t xml:space="preserve">[</w:t>
      </w:r>
      <w:hyperlink w:anchor="_b71485d7ca39b77d2f8c60f2e52a354c8c113b0">
        <w:r>
          <w:rPr>
            <w:rStyle w:val="Hyperlink"/>
          </w:rPr>
          <w:t xml:space="preserve">30</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31</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32</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in bearing fault diagnosis, splitting by segment rather than by physical bearing inflates reported accuracy, and bearing-wise partitioning is proposed as the fix</w:t>
      </w:r>
      <w:r>
        <w:t xml:space="preserve"> </w:t>
      </w:r>
      <w:r>
        <w:t xml:space="preserve">[</w:t>
      </w:r>
      <w:hyperlink w:anchor="_1347ffcfa7cf605bba5af95142b3cba7f0abdc4">
        <w:r>
          <w:rPr>
            <w:rStyle w:val="Hyperlink"/>
          </w:rPr>
          <w:t xml:space="preserve">33</w:t>
        </w:r>
      </w:hyperlink>
      <w:r>
        <w:t xml:space="preserve">]</w:t>
      </w:r>
      <w:r>
        <w:t xml:space="preserve">. Grouping folds by unit is therefore not new; what we add is a measurement of how much it, and four other evaluation choices, change results on real crash logs; label noise</w:t>
      </w:r>
      <w:r>
        <w:t xml:space="preserve"> </w:t>
      </w:r>
      <w:r>
        <w:t xml:space="preserve">likewise biases evaluation</w:t>
      </w:r>
      <w:r>
        <w:t xml:space="preserve"> </w:t>
      </w:r>
      <w:r>
        <w:t xml:space="preserve">[</w:t>
      </w:r>
      <w:hyperlink w:anchor="_ab8841c06958c924804c38799fc8ccd94ea102a">
        <w:r>
          <w:rPr>
            <w:rStyle w:val="Hyperlink"/>
          </w:rPr>
          <w:t xml:space="preserve">34</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35</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36</w:t>
        </w:r>
      </w:hyperlink>
      <w:r>
        <w:t xml:space="preserve">]</w:t>
      </w:r>
      <w:r>
        <w:t xml:space="preserve">. We apply these ideas</w:t>
      </w:r>
      <w:r>
        <w:t xml:space="preserve"> </w:t>
      </w:r>
      <w:r>
        <w:t xml:space="preserve">together as an evaluation protocol for drone logs.</w:t>
      </w:r>
    </w:p>
    <w:p>
      <w:pPr>
        <w:pStyle w:val="BodyText"/>
      </w:pPr>
      <w:r>
        <w:rPr>
          <w:b/>
          <w:bCs/>
        </w:rPr>
        <w:t xml:space="preserve">Literature search.</w:t>
      </w:r>
      <w:r>
        <w:t xml:space="preserve"> </w:t>
      </w:r>
      <w:r>
        <w:t xml:space="preserve">One author searched IEEE Xplore, the ACM Digital Library, ScienceDirect, arXiv and Google Scholar for 2016–2026 with three query strings (crash logs and attribution; leakage and cross-validation in UAV anomaly detection; vibration-based maintenance), recorded with the inclusion rules in the released literature-search protocol (26 October 2026). Four closely related studies</w:t>
      </w:r>
      <w:r>
        <w:t xml:space="preserve"> </w:t>
      </w:r>
      <w:r>
        <w:t xml:space="preserve">[</w:t>
      </w:r>
      <w:hyperlink w:anchor="_950e388298cdb3fb08e5b74428870c5b4c838aa">
        <w:r>
          <w:rPr>
            <w:rStyle w:val="Hyperlink"/>
          </w:rPr>
          <w:t xml:space="preserve">19</w:t>
        </w:r>
      </w:hyperlink>
      <w:r>
        <w:t xml:space="preserve">,</w:t>
      </w:r>
      <w:hyperlink w:anchor="_28fc3a5fe4ab4d700ff5d5013cf5016c3615a4e">
        <w:r>
          <w:rPr>
            <w:rStyle w:val="Hyperlink"/>
          </w:rPr>
          <w:t xml:space="preserve">24</w:t>
        </w:r>
      </w:hyperlink>
      <w:r>
        <w:t xml:space="preserve">,</w:t>
      </w:r>
      <w:hyperlink w:anchor="_db271caa090a7def1254596a62a362b0608337f">
        <w:r>
          <w:rPr>
            <w:rStyle w:val="Hyperlink"/>
          </w:rPr>
          <w:t xml:space="preserve">27</w:t>
        </w:r>
      </w:hyperlink>
      <w:r>
        <w:t xml:space="preserve">,</w:t>
      </w:r>
      <w:hyperlink w:anchor="_1347ffcfa7cf605bba5af95142b3cba7f0abdc4">
        <w:r>
          <w:rPr>
            <w:rStyle w:val="Hyperlink"/>
          </w:rPr>
          <w:t xml:space="preserve">33</w:t>
        </w:r>
      </w:hyperlink>
      <w:r>
        <w:t xml:space="preserve">]</w:t>
      </w:r>
      <w:r>
        <w:t xml:space="preserve"> </w:t>
      </w:r>
      <w:r>
        <w:t xml:space="preserve">were missed by that search and added on 27 October. Forward citation chasing on three of them (Semantic Scholar, 27 October 2026) added three more</w:t>
      </w:r>
      <w:r>
        <w:t xml:space="preserve"> </w:t>
      </w:r>
      <w:r>
        <w:t xml:space="preserve">[</w:t>
      </w:r>
      <w:hyperlink w:anchor="_d4ad44bf9b3d266a94b61d09f97230334249200">
        <w:r>
          <w:rPr>
            <w:rStyle w:val="Hyperlink"/>
          </w:rPr>
          <w:t xml:space="preserve">25</w:t>
        </w:r>
      </w:hyperlink>
      <w:r>
        <w:t xml:space="preserve">,</w:t>
      </w:r>
      <w:hyperlink w:anchor="_c31a8d3d1228c558f290994c7b0f9dadcd70167">
        <w:r>
          <w:rPr>
            <w:rStyle w:val="Hyperlink"/>
          </w:rPr>
          <w:t xml:space="preserve">26</w:t>
        </w:r>
      </w:hyperlink>
      <w:r>
        <w:t xml:space="preserve">,</w:t>
      </w:r>
      <w:hyperlink w:anchor="_b71485d7ca39b77d2f8c60f2e52a354c8c113b0">
        <w:r>
          <w:rPr>
            <w:rStyle w:val="Hyperlink"/>
          </w:rPr>
          <w:t xml:space="preserve">30</w:t>
        </w:r>
      </w:hyperlink>
      <w:r>
        <w:t xml:space="preserve">]</w:t>
      </w:r>
      <w:r>
        <w:t xml:space="preserve">; chasing for MAYDAY could not be completed through the public API. The search is not a systematic review.</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duration</w:t>
      </w:r>
      <w:r>
        <w:t xml:space="preserve"> </w:t>
      </w:r>
      <m:oMath>
        <m:r>
          <m:rPr>
            <m:sty m:val="p"/>
          </m:rPr>
          <m:t>≥</m:t>
        </m:r>
        <m:r>
          <m:t>10</m:t>
        </m:r>
      </m:oMath>
      <w:r>
        <w:t xml:space="preserve"> s and complete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5.7).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5.7).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(Table 4). Where a test reused logs already downloaded for an earlier test, the protocol records it as declared before running, not before download (exploratory analyses added after the declared protocol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5.9.</w:t>
      </w:r>
    </w:p>
    <w:bookmarkStart w:id="25" w:name="_1109c9b174200475a1caee43f99c27cd27b62f9"/>
    <w:p>
      <w:pPr>
        <w:pStyle w:val="TableCaption"/>
      </w:pPr>
      <w:r>
        <w:t xml:space="preserve">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w:t>
      </w:r>
    </w:p>
    <w:tbl>
      <w:tblPr>
        <w:tblStyle w:val="Table"/>
        <w:tblW w:type="pct" w:w="5000"/>
        <w:tblLook w:firstRow="1" w:lastRow="0" w:firstColumn="0" w:lastColumn="0" w:noHBand="0" w:noVBand="0" w:val="0020"/>
        <w:tblCaption w:val="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Test</w:t>
            </w:r>
          </w:p>
        </w:tc>
        <w:tc>
          <w:tcPr/>
          <w:p>
            <w:pPr>
              <w:pStyle w:val="Compact"/>
              <w:spacing w:line="240" w:lineRule="auto"/>
              <w:jc w:val="left"/>
            </w:pPr>
            <w:r>
              <w:rPr>
                <w:sz w:val="19"/>
              </w:rPr>
              <w:t xml:space="preserve">Focus (script)</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Results committed</w:t>
            </w:r>
          </w:p>
        </w:tc>
        <w:tc>
          <w:tcPr/>
          <w:p>
            <w:pPr>
              <w:pStyle w:val="Compact"/>
              <w:spacing w:line="240" w:lineRule="auto"/>
              <w:jc w:val="left"/>
            </w:pPr>
            <w:r>
              <w:rPr>
                <w:sz w:val="19"/>
              </w:rPr>
              <w:t xml:space="preserve">Status</w:t>
            </w:r>
          </w:p>
        </w:tc>
      </w:tr>
      <w:tr>
        <w:tc>
          <w:tcPr/>
          <w:p>
            <w:pPr>
              <w:pStyle w:val="Compact"/>
              <w:spacing w:line="240" w:lineRule="auto"/>
              <w:jc w:val="left"/>
            </w:pPr>
            <w:r>
              <w:rPr>
                <w:sz w:val="19"/>
              </w:rPr>
              <w:t xml:space="preserve">Q1</w:t>
            </w:r>
          </w:p>
        </w:tc>
        <w:tc>
          <w:tcPr/>
          <w:p>
            <w:pPr>
              <w:pStyle w:val="Compact"/>
              <w:spacing w:line="240" w:lineRule="auto"/>
              <w:jc w:val="left"/>
            </w:pPr>
            <w:r>
              <w:rPr>
                <w:sz w:val="19"/>
              </w:rPr>
              <w:t xml:space="preserve">Protections disabled, Fisher exact (</w:t>
            </w:r>
            <w:r>
              <w:rPr>
                <w:rStyle w:val="VerbatimChar"/>
                <w:sz w:val="19"/>
              </w:rPr>
              <w:t xml:space="preserve">analyze.py</w:t>
            </w:r>
            <w:r>
              <w:rPr>
                <w:sz w:val="19"/>
              </w:rPr>
              <w:t xml:space="preserve">)</w:t>
            </w:r>
          </w:p>
        </w:tc>
        <w:tc>
          <w:tcPr>
            <w:gridSpan w:val="2"/>
          </w:tcPr>
          <w:p>
            <w:pPr>
              <w:pStyle w:val="Compact"/>
              <w:spacing w:line="240" w:lineRule="auto"/>
              <w:jc w:val="left"/>
            </w:pPr>
            <w:r>
              <w:rPr>
                <w:rStyle w:val="VerbatimChar"/>
                <w:sz w:val="19"/>
              </w:rPr>
              <w:t xml:space="preserve">d755cca</w:t>
            </w:r>
            <w:r>
              <w:rPr>
                <w:sz w:val="19"/>
              </w:rPr>
              <w:t xml:space="preserve"> </w:t>
            </w:r>
            <w:r>
              <w:rPr>
                <w:sz w:val="19"/>
              </w:rPr>
              <w:t xml:space="preserve">20 Oct 17:23:31 (code and result together)</w:t>
            </w:r>
          </w:p>
        </w:tc>
        <w:tc>
          <w:tcPr/>
          <w:p>
            <w:pPr>
              <w:pStyle w:val="Compact"/>
              <w:spacing w:line="240" w:lineRule="auto"/>
              <w:jc w:val="left"/>
            </w:pPr>
            <w:r>
              <w:rPr>
                <w:sz w:val="19"/>
              </w:rPr>
              <w:t xml:space="preserve">First pass, not declared before running</w:t>
            </w:r>
          </w:p>
        </w:tc>
      </w:tr>
      <w:tr>
        <w:tc>
          <w:tcPr/>
          <w:p>
            <w:pPr>
              <w:pStyle w:val="Compact"/>
              <w:spacing w:line="240" w:lineRule="auto"/>
              <w:jc w:val="left"/>
            </w:pPr>
            <w:r>
              <w:rPr>
                <w:sz w:val="19"/>
              </w:rPr>
              <w:t xml:space="preserve">Q2 dev</w:t>
            </w:r>
          </w:p>
        </w:tc>
        <w:tc>
          <w:tcPr/>
          <w:p>
            <w:pPr>
              <w:pStyle w:val="Compact"/>
              <w:spacing w:line="240" w:lineRule="auto"/>
              <w:jc w:val="left"/>
            </w:pPr>
            <w:r>
              <w:rPr>
                <w:sz w:val="19"/>
              </w:rPr>
              <w:t xml:space="preserve">Attribution rule, clipping and manual-mode signs (</w:t>
            </w:r>
            <w:r>
              <w:rPr>
                <w:rStyle w:val="VerbatimChar"/>
                <w:sz w:val="19"/>
              </w:rPr>
              <w:t xml:space="preserve">pilot_vs_drone.py</w:t>
            </w:r>
            <w:r>
              <w:rPr>
                <w:sz w:val="19"/>
              </w:rPr>
              <w:t xml:space="preserve">)</w:t>
            </w:r>
          </w:p>
        </w:tc>
        <w:tc>
          <w:tcPr/>
          <w:p>
            <w:pPr>
              <w:pStyle w:val="Compact"/>
              <w:spacing w:line="240" w:lineRule="auto"/>
              <w:jc w:val="left"/>
            </w:pPr>
            <w:r>
              <w:rPr>
                <w:rStyle w:val="VerbatimChar"/>
                <w:sz w:val="19"/>
              </w:rPr>
              <w:t xml:space="preserve">63bc72e</w:t>
            </w:r>
            <w:r>
              <w:rPr>
                <w:sz w:val="19"/>
              </w:rPr>
              <w:t xml:space="preserve"> </w:t>
            </w:r>
            <w:r>
              <w:rPr>
                <w:sz w:val="19"/>
              </w:rPr>
              <w:t xml:space="preserve">20 Oct 17:25:49</w:t>
            </w:r>
          </w:p>
        </w:tc>
        <w:tc>
          <w:tcPr/>
          <w:p>
            <w:pPr>
              <w:pStyle w:val="Compact"/>
              <w:spacing w:line="240" w:lineRule="auto"/>
              <w:jc w:val="left"/>
            </w:pPr>
            <w:r>
              <w:rPr>
                <w:rStyle w:val="VerbatimChar"/>
                <w:sz w:val="19"/>
              </w:rPr>
              <w:t xml:space="preserve">19a9318</w:t>
            </w:r>
            <w:r>
              <w:rPr>
                <w:sz w:val="19"/>
              </w:rPr>
              <w:t xml:space="preserve"> </w:t>
            </w:r>
            <w:r>
              <w:rPr>
                <w:sz w:val="19"/>
              </w:rPr>
              <w:t xml:space="preserve">17:26:57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Q2 held</w:t>
            </w:r>
          </w:p>
        </w:tc>
        <w:tc>
          <w:tcPr/>
          <w:p>
            <w:pPr>
              <w:pStyle w:val="Compact"/>
              <w:spacing w:line="240" w:lineRule="auto"/>
              <w:jc w:val="left"/>
            </w:pPr>
            <w:r>
              <w:rPr>
                <w:sz w:val="19"/>
              </w:rPr>
              <w:t xml:space="preserve">Held-out rule replication (</w:t>
            </w:r>
            <w:r>
              <w:rPr>
                <w:rStyle w:val="VerbatimChar"/>
                <w:sz w:val="19"/>
              </w:rPr>
              <w:t xml:space="preserve">holdout_test.py</w:t>
            </w:r>
            <w:r>
              <w:rPr>
                <w:sz w:val="19"/>
              </w:rPr>
              <w:t xml:space="preserve">)</w:t>
            </w:r>
          </w:p>
        </w:tc>
        <w:tc>
          <w:tcPr/>
          <w:p>
            <w:pPr>
              <w:pStyle w:val="Compact"/>
              <w:spacing w:line="240" w:lineRule="auto"/>
              <w:jc w:val="left"/>
            </w:pPr>
            <w:r>
              <w:rPr>
                <w:rStyle w:val="VerbatimChar"/>
                <w:sz w:val="19"/>
              </w:rPr>
              <w:t xml:space="preserve">af6fab2</w:t>
            </w:r>
            <w:r>
              <w:rPr>
                <w:sz w:val="19"/>
              </w:rPr>
              <w:t xml:space="preserve"> </w:t>
            </w:r>
            <w:r>
              <w:rPr>
                <w:sz w:val="19"/>
              </w:rPr>
              <w:t xml:space="preserve">20 Oct 17:28:42</w:t>
            </w:r>
          </w:p>
        </w:tc>
        <w:tc>
          <w:tcPr/>
          <w:p>
            <w:pPr>
              <w:pStyle w:val="Compact"/>
              <w:spacing w:line="240" w:lineRule="auto"/>
              <w:jc w:val="left"/>
            </w:pPr>
            <w:r>
              <w:rPr>
                <w:rStyle w:val="VerbatimChar"/>
                <w:sz w:val="19"/>
              </w:rPr>
              <w:t xml:space="preserve">da92ec3</w:t>
            </w:r>
            <w:r>
              <w:rPr>
                <w:sz w:val="19"/>
              </w:rPr>
              <w:t xml:space="preserve"> </w:t>
            </w:r>
            <w:r>
              <w:rPr>
                <w:sz w:val="19"/>
              </w:rPr>
              <w:t xml:space="preserve">17:40:02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0</m:t>
              </m:r>
            </m:oMath>
          </w:p>
        </w:tc>
        <w:tc>
          <w:tcPr/>
          <w:p>
            <w:pPr>
              <w:pStyle w:val="Compact"/>
              <w:spacing w:line="240" w:lineRule="auto"/>
              <w:jc w:val="left"/>
            </w:pPr>
            <w:r>
              <w:rPr>
                <w:sz w:val="19"/>
              </w:rPr>
              <w:t xml:space="preserve">Expert fault checks (</w:t>
            </w:r>
            <w:r>
              <w:rPr>
                <w:rStyle w:val="VerbatimChar"/>
                <w:sz w:val="19"/>
              </w:rPr>
              <w:t xml:space="preserve">test_flight_check.py</w:t>
            </w:r>
            <w:r>
              <w:rPr>
                <w:sz w:val="19"/>
              </w:rPr>
              <w:t xml:space="preserve">)</w:t>
            </w:r>
          </w:p>
        </w:tc>
        <w:tc>
          <w:tcPr/>
          <w:p>
            <w:pPr>
              <w:pStyle w:val="Compact"/>
              <w:spacing w:line="240" w:lineRule="auto"/>
              <w:jc w:val="left"/>
            </w:pPr>
            <w:r>
              <w:rPr>
                <w:rStyle w:val="VerbatimChar"/>
                <w:sz w:val="19"/>
              </w:rPr>
              <w:t xml:space="preserve">4475c8c</w:t>
            </w:r>
            <w:r>
              <w:rPr>
                <w:sz w:val="19"/>
              </w:rPr>
              <w:t xml:space="preserve"> </w:t>
            </w:r>
            <w:r>
              <w:rPr>
                <w:sz w:val="19"/>
              </w:rPr>
              <w:t xml:space="preserve">20 Oct 21:39:26</w:t>
            </w:r>
          </w:p>
        </w:tc>
        <w:tc>
          <w:tcPr/>
          <w:p>
            <w:pPr>
              <w:pStyle w:val="Compact"/>
              <w:spacing w:line="240" w:lineRule="auto"/>
              <w:jc w:val="left"/>
            </w:pPr>
            <w:r>
              <w:rPr>
                <w:rStyle w:val="VerbatimChar"/>
                <w:sz w:val="19"/>
              </w:rPr>
              <w:t xml:space="preserve">da5038b</w:t>
            </w:r>
            <w:r>
              <w:rPr>
                <w:sz w:val="19"/>
              </w:rPr>
              <w:t xml:space="preserve"> </w:t>
            </w:r>
            <w:r>
              <w:rPr>
                <w:sz w:val="19"/>
              </w:rPr>
              <w:t xml:space="preserve">21:46:47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sz w:val="19"/>
              </w:rPr>
              <w:t xml:space="preserve">Same checks, last 10 s removed</w:t>
            </w:r>
          </w:p>
        </w:tc>
        <w:tc>
          <w:tcPr/>
          <w:p>
            <w:pPr>
              <w:pStyle w:val="Compact"/>
              <w:spacing w:line="240" w:lineRule="auto"/>
              <w:jc w:val="left"/>
            </w:pPr>
            <w:r>
              <w:rPr>
                <w:rStyle w:val="VerbatimChar"/>
                <w:sz w:val="19"/>
              </w:rPr>
              <w:t xml:space="preserve">0c8ee47</w:t>
            </w:r>
            <w:r>
              <w:rPr>
                <w:sz w:val="19"/>
              </w:rPr>
              <w:t xml:space="preserve"> </w:t>
            </w:r>
            <w:r>
              <w:rPr>
                <w:sz w:val="19"/>
              </w:rPr>
              <w:t xml:space="preserve">20 Oct 21:46:54</w:t>
            </w:r>
          </w:p>
        </w:tc>
        <w:tc>
          <w:tcPr/>
          <w:p>
            <w:pPr>
              <w:pStyle w:val="Compact"/>
              <w:spacing w:line="240" w:lineRule="auto"/>
              <w:jc w:val="left"/>
            </w:pPr>
            <w:r>
              <w:rPr>
                <w:rStyle w:val="VerbatimChar"/>
                <w:sz w:val="19"/>
              </w:rPr>
              <w:t xml:space="preserve">95d873a</w:t>
            </w:r>
            <w:r>
              <w:rPr>
                <w:sz w:val="19"/>
              </w:rPr>
              <w:t xml:space="preserve"> </w:t>
            </w:r>
            <w:r>
              <w:rPr>
                <w:sz w:val="19"/>
              </w:rPr>
              <w:t xml:space="preserve">21:48:02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Q3a</w:t>
            </w:r>
          </w:p>
        </w:tc>
        <w:tc>
          <w:tcPr/>
          <w:p>
            <w:pPr>
              <w:pStyle w:val="Compact"/>
              <w:spacing w:line="240" w:lineRule="auto"/>
              <w:jc w:val="left"/>
            </w:pPr>
            <w:r>
              <w:rPr>
                <w:sz w:val="19"/>
              </w:rPr>
              <w:t xml:space="preserve">Leak curve,</w:t>
            </w:r>
            <w:r>
              <w:rPr>
                <w:sz w:val="19"/>
              </w:rPr>
              <w:t xml:space="preserve"> </w:t>
            </w:r>
            <m:oMath>
              <m:r>
                <m:rPr>
                  <m:sty m:val="p"/>
                </m:rPr>
                <m:t>Δ</m:t>
              </m:r>
              <m:r>
                <m:rPr>
                  <m:sty m:val="p"/>
                </m:rPr>
                <m:t>≥</m:t>
              </m:r>
              <m:r>
                <m:t>0.10</m:t>
              </m:r>
            </m:oMath>
            <w:r>
              <w:rPr>
                <w:sz w:val="19"/>
              </w:rPr>
              <w:t xml:space="preserve"> </w:t>
            </w:r>
            <w:r>
              <w:rPr>
                <w:sz w:val="19"/>
              </w:rPr>
              <w:t xml:space="preserve">(</w:t>
            </w:r>
            <w:r>
              <w:rPr>
                <w:rStyle w:val="VerbatimChar"/>
                <w:sz w:val="19"/>
              </w:rPr>
              <w:t xml:space="preserve">leak_curve.py</w:t>
            </w:r>
            <w:r>
              <w:rPr>
                <w:sz w:val="19"/>
              </w:rPr>
              <w:t xml:space="preserve">)</w:t>
            </w:r>
          </w:p>
        </w:tc>
        <w:tc>
          <w:tcPr/>
          <w:p>
            <w:pPr>
              <w:pStyle w:val="Compact"/>
              <w:spacing w:line="240" w:lineRule="auto"/>
              <w:jc w:val="left"/>
            </w:pPr>
            <w:r>
              <w:rPr>
                <w:rStyle w:val="VerbatimChar"/>
                <w:sz w:val="19"/>
              </w:rPr>
              <w:t xml:space="preserve">d5d56c7</w:t>
            </w:r>
            <w:r>
              <w:rPr>
                <w:sz w:val="19"/>
              </w:rPr>
              <w:t xml:space="preserve"> </w:t>
            </w:r>
            <w:r>
              <w:rPr>
                <w:sz w:val="19"/>
              </w:rPr>
              <w:t xml:space="preserve">23 Oct 11:17:11</w:t>
            </w:r>
          </w:p>
        </w:tc>
        <w:tc>
          <w:tcPr/>
          <w:p>
            <w:pPr>
              <w:pStyle w:val="Compact"/>
              <w:spacing w:line="240" w:lineRule="auto"/>
              <w:jc w:val="left"/>
            </w:pPr>
            <w:r>
              <w:rPr>
                <w:rStyle w:val="VerbatimChar"/>
                <w:sz w:val="19"/>
              </w:rPr>
              <w:t xml:space="preserve">1ecb4c9</w:t>
            </w:r>
            <w:r>
              <w:rPr>
                <w:sz w:val="19"/>
              </w:rPr>
              <w:t xml:space="preserve"> </w:t>
            </w:r>
            <w:r>
              <w:rPr>
                <w:sz w:val="19"/>
              </w:rPr>
              <w:t xml:space="preserve">11:19:07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Q3b</w:t>
            </w:r>
          </w:p>
        </w:tc>
        <w:tc>
          <w:tcPr/>
          <w:p>
            <w:pPr>
              <w:pStyle w:val="Compact"/>
              <w:spacing w:line="240" w:lineRule="auto"/>
              <w:jc w:val="left"/>
            </w:pPr>
            <w:r>
              <w:rPr>
                <w:sz w:val="19"/>
              </w:rPr>
              <w:t xml:space="preserve">Within-drone vibration and tracking (</w:t>
            </w:r>
            <w:r>
              <w:rPr>
                <w:rStyle w:val="VerbatimChar"/>
                <w:sz w:val="19"/>
              </w:rPr>
              <w:t xml:space="preserve">within_drone.py</w:t>
            </w:r>
            <w:r>
              <w:rPr>
                <w:sz w:val="19"/>
              </w:rPr>
              <w:t xml:space="preserve">)</w:t>
            </w:r>
          </w:p>
        </w:tc>
        <w:tc>
          <w:tcPr/>
          <w:p>
            <w:pPr>
              <w:pStyle w:val="Compact"/>
              <w:spacing w:line="240" w:lineRule="auto"/>
              <w:jc w:val="left"/>
            </w:pPr>
            <w:r>
              <w:rPr>
                <w:rStyle w:val="VerbatimChar"/>
                <w:sz w:val="19"/>
              </w:rPr>
              <w:t xml:space="preserve">8b417d2</w:t>
            </w:r>
            <w:r>
              <w:rPr>
                <w:sz w:val="19"/>
              </w:rPr>
              <w:t xml:space="preserve"> </w:t>
            </w:r>
            <w:r>
              <w:rPr>
                <w:sz w:val="19"/>
              </w:rPr>
              <w:t xml:space="preserve">23 Oct 11:21:19; amended</w:t>
            </w:r>
            <w:r>
              <w:rPr>
                <w:sz w:val="19"/>
              </w:rPr>
              <w:t xml:space="preserve"> </w:t>
            </w:r>
            <w:r>
              <w:rPr>
                <w:rStyle w:val="VerbatimChar"/>
                <w:sz w:val="19"/>
              </w:rPr>
              <w:t xml:space="preserve">f911bcf</w:t>
            </w:r>
            <w:r>
              <w:rPr>
                <w:sz w:val="19"/>
              </w:rPr>
              <w:t xml:space="preserve"> </w:t>
            </w:r>
            <w:r>
              <w:rPr>
                <w:sz w:val="19"/>
              </w:rPr>
              <w:t xml:space="preserve">11:22:21</w:t>
            </w:r>
          </w:p>
        </w:tc>
        <w:tc>
          <w:tcPr/>
          <w:p>
            <w:pPr>
              <w:pStyle w:val="Compact"/>
              <w:spacing w:line="240" w:lineRule="auto"/>
              <w:jc w:val="left"/>
            </w:pPr>
            <w:r>
              <w:rPr>
                <w:rStyle w:val="VerbatimChar"/>
                <w:sz w:val="19"/>
              </w:rPr>
              <w:t xml:space="preserve">c9ebca4</w:t>
            </w:r>
            <w:r>
              <w:rPr>
                <w:sz w:val="19"/>
              </w:rPr>
              <w:t xml:space="preserve"> </w:t>
            </w:r>
            <w:r>
              <w:rPr>
                <w:sz w:val="19"/>
              </w:rPr>
              <w:t xml:space="preserve">12:19:44</w:t>
            </w:r>
          </w:p>
        </w:tc>
        <w:tc>
          <w:tcPr/>
          <w:p>
            <w:pPr>
              <w:pStyle w:val="Compact"/>
              <w:spacing w:line="240" w:lineRule="auto"/>
              <w:jc w:val="left"/>
            </w:pPr>
            <w:r>
              <w:rPr>
                <w:sz w:val="19"/>
              </w:rPr>
              <w:t xml:space="preserve">Confirmatory (amended before download)</w:t>
            </w:r>
          </w:p>
        </w:tc>
      </w:tr>
      <w:tr>
        <w:tc>
          <w:tcPr/>
          <w:p>
            <w:pPr>
              <w:pStyle w:val="Compact"/>
              <w:spacing w:line="240" w:lineRule="auto"/>
              <w:jc w:val="left"/>
            </w:pPr>
            <w:r>
              <w:rPr>
                <w:sz w:val="19"/>
              </w:rPr>
              <w:t xml:space="preserve">Q3c</w:t>
            </w:r>
          </w:p>
        </w:tc>
        <w:tc>
          <w:tcPr/>
          <w:p>
            <w:pPr>
              <w:pStyle w:val="Compact"/>
              <w:spacing w:line="240" w:lineRule="auto"/>
              <w:jc w:val="left"/>
            </w:pPr>
            <w:r>
              <w:rPr>
                <w:sz w:val="19"/>
              </w:rPr>
              <w:t xml:space="preserve">Between-drone vibration and tracking (</w:t>
            </w:r>
            <w:r>
              <w:rPr>
                <w:rStyle w:val="VerbatimChar"/>
                <w:sz w:val="19"/>
              </w:rPr>
              <w:t xml:space="preserve">rough_drone_test.py</w:t>
            </w:r>
            <w:r>
              <w:rPr>
                <w:sz w:val="19"/>
              </w:rPr>
              <w:t xml:space="preserve">)</w:t>
            </w:r>
          </w:p>
        </w:tc>
        <w:tc>
          <w:tcPr/>
          <w:p>
            <w:pPr>
              <w:pStyle w:val="Compact"/>
              <w:spacing w:line="240" w:lineRule="auto"/>
              <w:jc w:val="left"/>
            </w:pPr>
            <w:r>
              <w:rPr>
                <w:rStyle w:val="VerbatimChar"/>
                <w:sz w:val="19"/>
              </w:rPr>
              <w:t xml:space="preserve">d7a6574</w:t>
            </w:r>
            <w:r>
              <w:rPr>
                <w:sz w:val="19"/>
              </w:rPr>
              <w:t xml:space="preserve"> </w:t>
            </w:r>
            <w:r>
              <w:rPr>
                <w:sz w:val="19"/>
              </w:rPr>
              <w:t xml:space="preserve">23 Oct 12:30:19</w:t>
            </w:r>
          </w:p>
        </w:tc>
        <w:tc>
          <w:tcPr/>
          <w:p>
            <w:pPr>
              <w:pStyle w:val="Compact"/>
              <w:spacing w:line="240" w:lineRule="auto"/>
              <w:jc w:val="left"/>
            </w:pPr>
            <w:r>
              <w:rPr>
                <w:rStyle w:val="VerbatimChar"/>
                <w:sz w:val="19"/>
              </w:rPr>
              <w:t xml:space="preserve">a76babb</w:t>
            </w:r>
            <w:r>
              <w:rPr>
                <w:sz w:val="19"/>
              </w:rPr>
              <w:t xml:space="preserve"> </w:t>
            </w:r>
            <w:r>
              <w:rPr>
                <w:sz w:val="19"/>
              </w:rPr>
              <w:t xml:space="preserve">18:15:54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Replication</w:t>
            </w:r>
          </w:p>
        </w:tc>
        <w:tc>
          <w:tcPr/>
          <w:p>
            <w:pPr>
              <w:pStyle w:val="Compact"/>
              <w:spacing w:line="240" w:lineRule="auto"/>
              <w:jc w:val="left"/>
            </w:pPr>
            <w:r>
              <w:rPr>
                <w:sz w:val="19"/>
              </w:rPr>
              <w:t xml:space="preserve">Newer-metric vibration (</w:t>
            </w:r>
            <w:r>
              <w:rPr>
                <w:rStyle w:val="VerbatimChar"/>
                <w:sz w:val="19"/>
              </w:rPr>
              <w:t xml:space="preserve">rough_drone_newer.py</w:t>
            </w:r>
            <w:r>
              <w:rPr>
                <w:sz w:val="19"/>
              </w:rPr>
              <w:t xml:space="preserve">)</w:t>
            </w:r>
          </w:p>
        </w:tc>
        <w:tc>
          <w:tcPr/>
          <w:p>
            <w:pPr>
              <w:pStyle w:val="Compact"/>
              <w:spacing w:line="240" w:lineRule="auto"/>
              <w:jc w:val="left"/>
            </w:pPr>
            <w:r>
              <w:rPr>
                <w:rStyle w:val="VerbatimChar"/>
                <w:sz w:val="19"/>
              </w:rPr>
              <w:t xml:space="preserve">2148644</w:t>
            </w:r>
            <w:r>
              <w:rPr>
                <w:sz w:val="19"/>
              </w:rPr>
              <w:t xml:space="preserve"> </w:t>
            </w:r>
            <w:r>
              <w:rPr>
                <w:sz w:val="19"/>
              </w:rPr>
              <w:t xml:space="preserve">24 Oct 00:00:48</w:t>
            </w:r>
          </w:p>
        </w:tc>
        <w:tc>
          <w:tcPr/>
          <w:p>
            <w:pPr>
              <w:pStyle w:val="Compact"/>
              <w:spacing w:line="240" w:lineRule="auto"/>
              <w:jc w:val="left"/>
            </w:pPr>
            <w:r>
              <w:rPr>
                <w:rStyle w:val="VerbatimChar"/>
                <w:sz w:val="19"/>
              </w:rPr>
              <w:t xml:space="preserve">b25d596</w:t>
            </w:r>
            <w:r>
              <w:rPr>
                <w:sz w:val="19"/>
              </w:rPr>
              <w:t xml:space="preserve"> </w:t>
            </w:r>
            <w:r>
              <w:rPr>
                <w:sz w:val="19"/>
              </w:rPr>
              <w:t xml:space="preserve">00:40:24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Coding</w:t>
            </w:r>
          </w:p>
        </w:tc>
        <w:tc>
          <w:tcPr/>
          <w:p>
            <w:pPr>
              <w:pStyle w:val="Compact"/>
              <w:spacing w:line="240" w:lineRule="auto"/>
              <w:jc w:val="left"/>
            </w:pPr>
            <w:r>
              <w:rPr>
                <w:sz w:val="19"/>
              </w:rPr>
              <w:t xml:space="preserve">Second coder,</w:t>
            </w:r>
            <w:r>
              <w:rPr>
                <w:sz w:val="19"/>
              </w:rPr>
              <w:t xml:space="preserve"> </w:t>
            </w:r>
            <m:oMath>
              <m:r>
                <m:t>κ</m:t>
              </m:r>
              <m:r>
                <m:rPr>
                  <m:sty m:val="p"/>
                </m:rPr>
                <m:t>≥</m:t>
              </m:r>
              <m:r>
                <m:t>0.60</m:t>
              </m:r>
            </m:oMath>
            <w:r>
              <w:rPr>
                <w:sz w:val="19"/>
              </w:rPr>
              <w:t xml:space="preserve"> </w:t>
            </w:r>
            <w:r>
              <w:rPr>
                <w:sz w:val="19"/>
              </w:rPr>
              <w:t xml:space="preserve">(</w:t>
            </w:r>
            <w:r>
              <w:rPr>
                <w:rStyle w:val="VerbatimChar"/>
                <w:sz w:val="19"/>
              </w:rPr>
              <w:t xml:space="preserve">score_forum.py</w:t>
            </w:r>
            <w:r>
              <w:rPr>
                <w:sz w:val="19"/>
              </w:rPr>
              <w:t xml:space="preserve">)</w:t>
            </w:r>
          </w:p>
        </w:tc>
        <w:tc>
          <w:tcPr/>
          <w:p>
            <w:pPr>
              <w:pStyle w:val="Compact"/>
              <w:spacing w:line="240" w:lineRule="auto"/>
              <w:jc w:val="left"/>
            </w:pPr>
            <w:r>
              <w:rPr>
                <w:rStyle w:val="VerbatimChar"/>
                <w:sz w:val="19"/>
              </w:rPr>
              <w:t xml:space="preserve">21af373</w:t>
            </w:r>
            <w:r>
              <w:rPr>
                <w:sz w:val="19"/>
              </w:rPr>
              <w:t xml:space="preserve"> </w:t>
            </w:r>
            <w:r>
              <w:rPr>
                <w:sz w:val="19"/>
              </w:rPr>
              <w:t xml:space="preserve">24 Oct 00:03:29</w:t>
            </w:r>
          </w:p>
        </w:tc>
        <w:tc>
          <w:tcPr/>
          <w:p>
            <w:pPr>
              <w:pStyle w:val="Compact"/>
              <w:spacing w:line="240" w:lineRule="auto"/>
              <w:jc w:val="left"/>
            </w:pPr>
            <w:r>
              <w:rPr>
                <w:rStyle w:val="VerbatimChar"/>
                <w:sz w:val="19"/>
              </w:rPr>
              <w:t xml:space="preserve">a369f83</w:t>
            </w:r>
            <w:r>
              <w:rPr>
                <w:sz w:val="19"/>
              </w:rPr>
              <w:t xml:space="preserve"> </w:t>
            </w:r>
            <w:r>
              <w:rPr>
                <w:sz w:val="19"/>
              </w:rPr>
              <w:t xml:space="preserve">12:16:14</w:t>
            </w:r>
          </w:p>
        </w:tc>
        <w:tc>
          <w:tcPr/>
          <w:p>
            <w:pPr>
              <w:pStyle w:val="Compact"/>
              <w:spacing w:line="240" w:lineRule="auto"/>
              <w:jc w:val="left"/>
            </w:pPr>
            <w:r>
              <w:rPr>
                <w:sz w:val="19"/>
              </w:rPr>
              <w:t xml:space="preserve">Confirmatory</w:t>
            </w:r>
          </w:p>
        </w:tc>
      </w:tr>
    </w:tbl>
    <w:bookmarkEnd w:id="25"/>
    <w:p>
      <w:pPr>
        <w:pStyle w:val="Heading2"/>
      </w:pPr>
      <w:bookmarkStart w:id="26" w:name="_3e02a71fb6433a5b51224604e9029e12073209c"/>
      <w:r>
        <w:rPr>
          <w:rStyle w:val="SectionNumber"/>
        </w:rPr>
        <w:t xml:space="preserve">4.2</w:t>
      </w:r>
      <w:r>
        <w:tab/>
      </w:r>
      <w:r>
        <w:t xml:space="preserve">Crash moment and analysis window</w:t>
      </w:r>
      <w:bookmarkEnd w:id="26"/>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7" w:name="_features"/>
      <w:r>
        <w:rPr>
          <w:rStyle w:val="SectionNumber"/>
        </w:rPr>
        <w:t xml:space="preserve">4.3</w:t>
      </w:r>
      <w:r>
        <w:tab/>
      </w:r>
      <w:r>
        <w:t xml:space="preserve">Features</w:t>
      </w:r>
      <w:bookmarkEnd w:id="27"/>
    </w:p>
    <w:p>
      <w:pPr>
        <w:pStyle w:val="FirstParagraph"/>
      </w:pPr>
      <w:r>
        <w:t xml:space="preserve">Table 5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8" w:name="_0539061cd554f718c415e1281e932bfa97c3551"/>
    <w:p>
      <w:pPr>
        <w:pStyle w:val="TableCaption"/>
      </w:pPr>
      <w:r>
        <w:t xml:space="preserve">Table 5. Features computed on each analysis window.</w:t>
      </w:r>
    </w:p>
    <w:tbl>
      <w:tblPr>
        <w:tblStyle w:val="Table"/>
        <w:tblW w:type="pct" w:w="5000"/>
        <w:tblLook w:firstRow="1" w:lastRow="0" w:firstColumn="0" w:lastColumn="0" w:noHBand="0" w:noVBand="0" w:val="0020"/>
        <w:tblCaption w:val="Table 5.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8"/>
    <w:p>
      <w:pPr>
        <w:pStyle w:val="Heading2"/>
      </w:pPr>
      <w:bookmarkStart w:id="29" w:name="_tests"/>
      <w:r>
        <w:rPr>
          <w:rStyle w:val="SectionNumber"/>
        </w:rPr>
        <w:t xml:space="preserve">4.4</w:t>
      </w:r>
      <w:r>
        <w:tab/>
      </w:r>
      <w:r>
        <w:t xml:space="preserve">Tests</w:t>
      </w:r>
      <w:bookmarkEnd w:id="29"/>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37</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Logistic models, stumps and trees are exploratory; their uncertainty is assessed against a permutation null that refits the whole cross-validation (Section 5.2).</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38</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39</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5.8.</w:t>
      </w:r>
    </w:p>
    <w:p>
      <w:pPr>
        <w:pStyle w:val="BodyText"/>
      </w:pPr>
      <w:r>
        <w:rPr>
          <w:b/>
          <w:bCs/>
        </w:rPr>
        <w:t xml:space="preserve">Multiplicity.</w:t>
      </w:r>
      <w:r>
        <w:t xml:space="preserve"> </w:t>
      </w:r>
      <w:r>
        <w:t xml:space="preserve">Seven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40</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 The Q1 settings comparison came from a first-pass analysis whose code and result were committed together (Table 4), so it is not confirmatory; it is kept in the Holm set, which makes the adjustment of the other tests conservative.</w:t>
      </w:r>
    </w:p>
    <w:p>
      <w:pPr>
        <w:pStyle w:val="Heading1"/>
      </w:pPr>
      <w:bookmarkStart w:id="30" w:name="_a28f169358a053f7b171a621bd02ee9ea3d1d28"/>
      <w:r>
        <w:rPr>
          <w:rStyle w:val="SectionNumber"/>
        </w:rPr>
        <w:t xml:space="preserve">5</w:t>
      </w:r>
      <w:r>
        <w:tab/>
      </w:r>
      <w:r>
        <w:t xml:space="preserve">Results</w:t>
      </w:r>
      <w:bookmarkEnd w:id="30"/>
    </w:p>
    <w:p>
      <w:pPr>
        <w:pStyle w:val="Heading2"/>
      </w:pPr>
      <w:bookmarkStart w:id="31" w:name="_b5aaa7ca938fd555382c3a03c84ed52c113cbc5"/>
      <w:r>
        <w:rPr>
          <w:rStyle w:val="SectionNumber"/>
        </w:rPr>
        <w:t xml:space="preserve">5.1</w:t>
      </w:r>
      <w:r>
        <w:tab/>
      </w:r>
      <w:r>
        <w:t xml:space="preserve">Configuration settings (Q1)</w:t>
      </w:r>
      <w:bookmarkEnd w:id="31"/>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This comparison comes from a first-pass analysis whose code and result were committed together, so it is reported as a descriptive result rather than a declared test (Table 4).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2" w:name="_67b7d8605d9b5ee82b7c7436e75c8e2c5476655"/>
      <w:r>
        <w:rPr>
          <w:rStyle w:val="SectionNumber"/>
        </w:rPr>
        <w:t xml:space="preserve">5.2</w:t>
      </w:r>
      <w:r>
        <w:tab/>
      </w:r>
      <w:r>
        <w:t xml:space="preserve">Attributing a crash to the pilot or the aircraft (Q2)</w:t>
      </w:r>
      <w:bookmarkEnd w:id="32"/>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6).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 cross-validated logistic regression (mean AUC over five repeats of stratified 5-fold CV, the declared leak-curve scheme) gave 0.49 at</w:t>
      </w:r>
      <w:r>
        <w:t xml:space="preserve"> </w:t>
      </w:r>
      <m:oMath>
        <m:r>
          <m:t>m</m:t>
        </m:r>
        <m:r>
          <m:rPr>
            <m:sty m:val="p"/>
          </m:rPr>
          <m:t>=</m:t>
        </m:r>
        <m:r>
          <m:t>0</m:t>
        </m:r>
      </m:oMath>
      <w:r>
        <w:t xml:space="preserve"> s and 0.42–0.52 across cut-offs; on the constant 89-crash subset it gave 0.45–0.46.</w:t>
      </w:r>
      <w:r>
        <w:t xml:space="preserve"> </w:t>
      </w:r>
      <m:oMath>
        <m:sSup>
          <m:e>
            <m:r>
              <m:t>​</m:t>
            </m:r>
          </m:e>
          <m:sup>
            <m:r>
              <m:rPr>
                <m:sty m:val="p"/>
              </m:rPr>
              <m:t>†</m:t>
            </m:r>
          </m:sup>
        </m:sSup>
      </m:oMath>
      <w:r>
        <w:t xml:space="preserve">Earlier versions reported pooled AUCs (0.408–0.501) with a bootstrap that did not refit the model, which understated the uncertainty. We therefore compared each observed AUC with a permutation null that refits the full cross-validation for each of 200 label shuffles (second robustness audit, declared in</w:t>
      </w:r>
      <w:r>
        <w:t xml:space="preserve"> </w:t>
      </w:r>
      <w:r>
        <w:rPr>
          <w:rStyle w:val="VerbatimChar"/>
        </w:rPr>
        <w:t xml:space="preserve">6fff27d</w:t>
      </w:r>
      <w:r>
        <w:t xml:space="preserve">). The null SD was 0.063–0.085 for logistic regression and 0.044–0.065 for depth-3 trees. No cell had a permutation</w:t>
      </w:r>
      <w:r>
        <w:t xml:space="preserve"> </w:t>
      </w:r>
      <m:oMath>
        <m:r>
          <m:t>p</m:t>
        </m:r>
      </m:oMath>
      <w:r>
        <w:t xml:space="preserve"> </w:t>
      </w:r>
      <w:r>
        <w:t xml:space="preserve">below 0.05. Approximate upper bounds, observed AUC</w:t>
      </w:r>
      <w:r>
        <w:t xml:space="preserve"> </w:t>
      </w:r>
      <m:oMath>
        <m:r>
          <m:rPr>
            <m:sty m:val="p"/>
          </m:rPr>
          <m:t>+</m:t>
        </m:r>
        <m:r>
          <m:t>1.96</m:t>
        </m:r>
      </m:oMath>
      <w:r>
        <w:t xml:space="preserve"> </w:t>
      </w:r>
      <w:r>
        <w:t xml:space="preserve">null SD, were 0.58–0.65 for logistic regression and 0.54–0.69 for trees; they are approximate because the null SD measures the spread without a signal, not the standard error at the observed AUC. The best tree cell (</w:t>
      </w:r>
      <m:oMath>
        <m:r>
          <m:t>m</m:t>
        </m:r>
        <m:r>
          <m:rPr>
            <m:sty m:val="p"/>
          </m:rPr>
          <m:t>=</m:t>
        </m:r>
        <m:r>
          <m:t>5</m:t>
        </m:r>
      </m:oMath>
      <w:r>
        <w:t xml:space="preserve"> s, AUC 0.593,</w:t>
      </w:r>
      <w:r>
        <w:t xml:space="preserve"> </w:t>
      </w:r>
      <m:oMath>
        <m:r>
          <m:t>p</m:t>
        </m:r>
        <m:r>
          <m:rPr>
            <m:sty m:val="p"/>
          </m:rPr>
          <m:t>=</m:t>
        </m:r>
        <m:r>
          <m:t>0.055</m:t>
        </m:r>
      </m:oMath>
      <w:r>
        <w:t xml:space="preserve">) is one of 24 comparisons, so the trees cannot rule out a modest signal. With 36 pilot-labelled crashes and the refit null SD at</w:t>
      </w:r>
      <w:r>
        <w:t xml:space="preserve"> </w:t>
      </w:r>
      <m:oMath>
        <m:r>
          <m:t>m</m:t>
        </m:r>
        <m:r>
          <m:rPr>
            <m:sty m:val="p"/>
          </m:rPr>
          <m:t>=</m:t>
        </m:r>
        <m:r>
          <m:t>0</m:t>
        </m:r>
      </m:oMath>
      <w:r>
        <w:t xml:space="preserve"> s (0.080), 80% power requires an AUC of about 0.72 (</w:t>
      </w:r>
      <m:oMath>
        <m:r>
          <m:t>0.5</m:t>
        </m:r>
        <m:r>
          <m:rPr>
            <m:sty m:val="p"/>
          </m:rPr>
          <m:t>+</m:t>
        </m:r>
        <m:r>
          <m:t>2.80</m:t>
        </m:r>
        <m:r>
          <m:rPr>
            <m:sty m:val="p"/>
          </m:rPr>
          <m:t>×</m:t>
        </m:r>
        <m:r>
          <m:t>0.080</m:t>
        </m:r>
      </m:oMath>
      <w:r>
        <w:t xml:space="preserve">). An operational attribution verdict would need an AUC of about 0.8 or higher, which no model approaches. Earlier tree values of 0.379 and 0.366 at</w:t>
      </w:r>
      <w:r>
        <w:t xml:space="preserve"> </w:t>
      </w:r>
      <m:oMath>
        <m:r>
          <m:t>m</m:t>
        </m:r>
        <m:r>
          <m:rPr>
            <m:sty m:val="p"/>
          </m:rPr>
          <m:t>=</m:t>
        </m:r>
        <m:r>
          <m:t>10</m:t>
        </m:r>
      </m:oMath>
      <w:r>
        <w:t xml:space="preserve"> </w:t>
      </w:r>
      <w:r>
        <w:t xml:space="preserve">and 30 s scored predictions averaged across repeats; averaging per-repeat AUCs gives 0.463 and 0.430. Only the fixed rule was prospectively declared; logistic models, decision stumps and depth-3 trees are exploratory.</w:t>
      </w:r>
      <w:r>
        <w:t xml:space="preserve"> </w:t>
      </w:r>
      <m:oMath>
        <m:sSup>
          <m:e>
            <m:r>
              <m:t>​</m:t>
            </m:r>
          </m:e>
          <m:sup>
            <m:r>
              <m:rPr>
                <m:sty m:val="p"/>
              </m:rPr>
              <m:t>†</m:t>
            </m:r>
          </m:sup>
        </m:sSup>
      </m:oMath>
      <w:r>
        <w:t xml:space="preserve">Against the same refitting null, stumps gave 0.447 at</w:t>
      </w:r>
      <w:r>
        <w:t xml:space="preserve"> </w:t>
      </w:r>
      <m:oMath>
        <m:r>
          <m:t>m</m:t>
        </m:r>
        <m:r>
          <m:rPr>
            <m:sty m:val="p"/>
          </m:rPr>
          <m:t>=</m:t>
        </m:r>
        <m:r>
          <m:t>0</m:t>
        </m:r>
      </m:oMath>
      <w:r>
        <w:t xml:space="preserve"> s and 0.481 at</w:t>
      </w:r>
      <w:r>
        <w:t xml:space="preserve"> </w:t>
      </w:r>
      <m:oMath>
        <m:r>
          <m:t>m</m:t>
        </m:r>
        <m:r>
          <m:rPr>
            <m:sty m:val="p"/>
          </m:rPr>
          <m:t>=</m:t>
        </m:r>
        <m:r>
          <m:t>10</m:t>
        </m:r>
      </m:oMath>
      <w:r>
        <w:t xml:space="preserve"> s (approximate upper bounds 0.54 and 0.59;</w:t>
      </w:r>
      <w:r>
        <w:t xml:space="preserve"> </w:t>
      </w:r>
      <m:oMath>
        <m:r>
          <m:t>p</m:t>
        </m:r>
        <m:r>
          <m:rPr>
            <m:sty m:val="p"/>
          </m:rPr>
          <m:t>=</m:t>
        </m:r>
        <m:r>
          <m:t>0.77</m:t>
        </m:r>
      </m:oMath>
      <w:r>
        <w:t xml:space="preserve"> </w:t>
      </w:r>
      <w:r>
        <w:t xml:space="preserve">and 0.47), replacing earlier values (0.430, 0.413) computed on predictions averaged across repeats.</w:t>
      </w:r>
    </w:p>
    <w:p>
      <w:pPr>
        <w:pStyle w:val="BodyText"/>
      </w:pPr>
      <w:r>
        <w:t xml:space="preserve">If an operator requires not merely statistical separation from chance but confirmation that performance excludes a mediocre baseline (</w:t>
      </w:r>
      <m:oMath>
        <m:r>
          <m:rPr>
            <m:nor/>
          </m:rPr>
          <m:t>AUC</m:t>
        </m:r>
        <m:r>
          <m:rPr>
            <m:sty m:val="p"/>
          </m:rPr>
          <m:t>≤</m:t>
        </m:r>
        <m:r>
          <m:t>0.80</m:t>
        </m:r>
      </m:oMath>
      <w:r>
        <w:t xml:space="preserve">) via a 95% confidence lower bound under an operational target of 0.85 (</w:t>
      </w:r>
      <m:oMath>
        <m:r>
          <m:t>0.85</m:t>
        </m:r>
        <m:r>
          <m:rPr>
            <m:sty m:val="p"/>
          </m:rPr>
          <m:t>−</m:t>
        </m:r>
        <m:r>
          <m:t>1.96</m:t>
        </m:r>
        <m:r>
          <m:rPr>
            <m:sty m:val="p"/>
          </m:rPr>
          <m:t>×</m:t>
        </m:r>
        <m:r>
          <m:rPr>
            <m:nor/>
          </m:rPr>
          <m:t>SE</m:t>
        </m:r>
        <m:r>
          <m:rPr>
            <m:sty m:val="p"/>
          </m:rPr>
          <m:t>≥</m:t>
        </m:r>
        <m:r>
          <m:t>0.80</m:t>
        </m:r>
        <m:r>
          <m:rPr>
            <m:sty m:val="p"/>
          </m:rPr>
          <m:t>⟹</m:t>
        </m:r>
        <m:r>
          <m:rPr>
            <m:nor/>
          </m:rPr>
          <m:t>SE</m:t>
        </m:r>
        <m:r>
          <m:rPr>
            <m:sty m:val="p"/>
          </m:rPr>
          <m:t>≤</m:t>
        </m:r>
        <m:r>
          <m:t>0.0255</m:t>
        </m:r>
      </m:oMath>
      <w:r>
        <w:t xml:space="preserve">), the Hanley–McNeil standard error,</w:t>
      </w:r>
      <w:r>
        <w:t xml:space="preserve"> </w:t>
      </w:r>
      <m:oMath>
        <m:sSup>
          <m:e>
            <m:r>
              <m:rPr>
                <m:nor/>
              </m:rPr>
              <m:t>SE</m:t>
            </m:r>
          </m:e>
          <m:sup>
            <m:r>
              <m:t>2</m:t>
            </m:r>
          </m:sup>
        </m:sSup>
        <m:r>
          <m:rPr>
            <m:sty m:val="p"/>
          </m:rPr>
          <m:t>=</m:t>
        </m:r>
        <m:r>
          <m:rPr>
            <m:sty m:val="p"/>
          </m:rPr>
          <m:t>[</m:t>
        </m:r>
        <m:r>
          <m:t>A</m:t>
        </m:r>
        <m:r>
          <m:rPr>
            <m:sty m:val="p"/>
          </m:rPr>
          <m:t>(</m:t>
        </m:r>
        <m:r>
          <m:t>1</m:t>
        </m:r>
        <m:r>
          <m:rPr>
            <m:sty m:val="p"/>
          </m:rPr>
          <m:t>−</m:t>
        </m:r>
        <m:r>
          <m:t>A</m:t>
        </m:r>
        <m:r>
          <m:rPr>
            <m:sty m:val="p"/>
          </m:rPr>
          <m:t>)</m:t>
        </m:r>
        <m:r>
          <m:rPr>
            <m:sty m:val="p"/>
          </m:rPr>
          <m:t>+</m:t>
        </m:r>
        <m:r>
          <m:rPr>
            <m:sty m:val="p"/>
          </m:rPr>
          <m:t>(</m:t>
        </m:r>
        <m:sSub>
          <m:e>
            <m:r>
              <m:t>n</m:t>
            </m:r>
          </m:e>
          <m:sub>
            <m:r>
              <m:t>p</m:t>
            </m:r>
          </m:sub>
        </m:sSub>
        <m:r>
          <m:rPr>
            <m:sty m:val="p"/>
          </m:rPr>
          <m:t>−</m:t>
        </m:r>
        <m:r>
          <m:t>1</m:t>
        </m:r>
        <m:r>
          <m:rPr>
            <m:sty m:val="p"/>
          </m:rPr>
          <m:t>)</m:t>
        </m:r>
        <m:r>
          <m:rPr>
            <m:sty m:val="p"/>
          </m:rPr>
          <m:t>(</m:t>
        </m:r>
        <m:sSub>
          <m:e>
            <m:r>
              <m:t>Q</m:t>
            </m:r>
          </m:e>
          <m:sub>
            <m:r>
              <m:t>1</m:t>
            </m:r>
          </m:sub>
        </m:sSub>
        <m:r>
          <m:rPr>
            <m:sty m:val="p"/>
          </m:rPr>
          <m:t>−</m:t>
        </m:r>
        <m:sSup>
          <m:e>
            <m:r>
              <m:t>A</m:t>
            </m:r>
          </m:e>
          <m:sup>
            <m:r>
              <m:t>2</m:t>
            </m:r>
          </m:sup>
        </m:sSup>
        <m:r>
          <m:rPr>
            <m:sty m:val="p"/>
          </m:rPr>
          <m:t>)</m:t>
        </m:r>
        <m:r>
          <m:rPr>
            <m:sty m:val="p"/>
          </m:rPr>
          <m:t>+</m:t>
        </m:r>
        <m:r>
          <m:rPr>
            <m:sty m:val="p"/>
          </m:rPr>
          <m:t>(</m:t>
        </m:r>
        <m:sSub>
          <m:e>
            <m:r>
              <m:t>n</m:t>
            </m:r>
          </m:e>
          <m:sub>
            <m:r>
              <m:t>a</m:t>
            </m:r>
          </m:sub>
        </m:sSub>
        <m:r>
          <m:rPr>
            <m:sty m:val="p"/>
          </m:rPr>
          <m:t>−</m:t>
        </m:r>
        <m:r>
          <m:t>1</m:t>
        </m:r>
        <m:r>
          <m:rPr>
            <m:sty m:val="p"/>
          </m:rPr>
          <m:t>)</m:t>
        </m:r>
        <m:r>
          <m:rPr>
            <m:sty m:val="p"/>
          </m:rPr>
          <m:t>(</m:t>
        </m:r>
        <m:sSub>
          <m:e>
            <m:r>
              <m:t>Q</m:t>
            </m:r>
          </m:e>
          <m:sub>
            <m:r>
              <m:t>2</m:t>
            </m:r>
          </m:sub>
        </m:sSub>
        <m:r>
          <m:rPr>
            <m:sty m:val="p"/>
          </m:rPr>
          <m:t>−</m:t>
        </m:r>
        <m:sSup>
          <m:e>
            <m:r>
              <m:t>A</m:t>
            </m:r>
          </m:e>
          <m:sup>
            <m:r>
              <m:t>2</m:t>
            </m:r>
          </m:sup>
        </m:sSup>
        <m:r>
          <m:rPr>
            <m:sty m:val="p"/>
          </m:rPr>
          <m:t>)</m:t>
        </m:r>
        <m:r>
          <m:rPr>
            <m:sty m:val="p"/>
          </m:rPr>
          <m:t>]</m:t>
        </m:r>
        <m:r>
          <m:rPr>
            <m:sty m:val="p"/>
          </m:rPr>
          <m:t>/</m:t>
        </m:r>
        <m:r>
          <m:rPr>
            <m:sty m:val="p"/>
          </m:rPr>
          <m:t>(</m:t>
        </m:r>
        <m:sSub>
          <m:e>
            <m:r>
              <m:t>n</m:t>
            </m:r>
          </m:e>
          <m:sub>
            <m:r>
              <m:t>p</m:t>
            </m:r>
          </m:sub>
        </m:sSub>
        <m:sSub>
          <m:e>
            <m:r>
              <m:t>n</m:t>
            </m:r>
          </m:e>
          <m:sub>
            <m:r>
              <m:t>a</m:t>
            </m:r>
          </m:sub>
        </m:sSub>
        <m:r>
          <m:rPr>
            <m:sty m:val="p"/>
          </m:rPr>
          <m:t>)</m:t>
        </m:r>
      </m:oMath>
      <w:r>
        <w:t xml:space="preserve"> </w:t>
      </w:r>
      <w:r>
        <w:t xml:space="preserve">with</w:t>
      </w:r>
      <w:r>
        <w:t xml:space="preserve"> </w:t>
      </w:r>
      <m:oMath>
        <m:r>
          <m:t>A</m:t>
        </m:r>
        <m:r>
          <m:rPr>
            <m:sty m:val="p"/>
          </m:rPr>
          <m:t>=</m:t>
        </m:r>
        <m:r>
          <m:t>0.85</m:t>
        </m:r>
      </m:oMath>
      <w:r>
        <w:t xml:space="preserve">,</w:t>
      </w:r>
      <w:r>
        <w:t xml:space="preserve"> </w:t>
      </w:r>
      <m:oMath>
        <m:sSub>
          <m:e>
            <m:r>
              <m:t>Q</m:t>
            </m:r>
          </m:e>
          <m:sub>
            <m:r>
              <m:t>1</m:t>
            </m:r>
          </m:sub>
        </m:sSub>
        <m:r>
          <m:rPr>
            <m:sty m:val="p"/>
          </m:rPr>
          <m:t>=</m:t>
        </m:r>
        <m:r>
          <m:t>A</m:t>
        </m:r>
        <m:r>
          <m:rPr>
            <m:sty m:val="p"/>
          </m:rPr>
          <m:t>/</m:t>
        </m:r>
        <m:r>
          <m:rPr>
            <m:sty m:val="p"/>
          </m:rPr>
          <m:t>(</m:t>
        </m:r>
        <m:r>
          <m:t>2</m:t>
        </m:r>
        <m:r>
          <m:rPr>
            <m:sty m:val="p"/>
          </m:rPr>
          <m:t>−</m:t>
        </m:r>
        <m:r>
          <m:t>A</m:t>
        </m:r>
        <m:r>
          <m:rPr>
            <m:sty m:val="p"/>
          </m:rPr>
          <m:t>)</m:t>
        </m:r>
      </m:oMath>
      <w:r>
        <w:t xml:space="preserve">,</w:t>
      </w:r>
      <w:r>
        <w:t xml:space="preserve"> </w:t>
      </w:r>
      <m:oMath>
        <m:sSub>
          <m:e>
            <m:r>
              <m:t>Q</m:t>
            </m:r>
          </m:e>
          <m:sub>
            <m:r>
              <m:t>2</m:t>
            </m:r>
          </m:sub>
        </m:sSub>
        <m:r>
          <m:rPr>
            <m:sty m:val="p"/>
          </m:rPr>
          <m:t>=</m:t>
        </m:r>
        <m:r>
          <m:t>2</m:t>
        </m:r>
        <m:sSup>
          <m:e>
            <m:r>
              <m:t>A</m:t>
            </m:r>
          </m:e>
          <m:sup>
            <m:r>
              <m:t>2</m:t>
            </m:r>
          </m:sup>
        </m:sSup>
        <m:r>
          <m:rPr>
            <m:sty m:val="p"/>
          </m:rPr>
          <m:t>/</m:t>
        </m:r>
        <m:r>
          <m:rPr>
            <m:sty m:val="p"/>
          </m:rPr>
          <m:t>(</m:t>
        </m:r>
        <m:r>
          <m:t>1</m:t>
        </m:r>
        <m:r>
          <m:rPr>
            <m:sty m:val="p"/>
          </m:rPr>
          <m:t>+</m:t>
        </m:r>
        <m:r>
          <m:t>A</m:t>
        </m:r>
        <m:r>
          <m:rPr>
            <m:sty m:val="p"/>
          </m:rPr>
          <m:t>)</m:t>
        </m:r>
      </m:oMath>
      <w:r>
        <w:t xml:space="preserve"> </w:t>
      </w:r>
      <w:r>
        <w:t xml:space="preserve">and the observed 3.1 aircraft crashes per pilot crash (</w:t>
      </w:r>
      <m:oMath>
        <m:sSub>
          <m:e>
            <m:r>
              <m:t>n</m:t>
            </m:r>
          </m:e>
          <m:sub>
            <m:r>
              <m:t>a</m:t>
            </m:r>
          </m:sub>
        </m:sSub>
        <m:r>
          <m:rPr>
            <m:sty m:val="p"/>
          </m:rPr>
          <m:t>=</m:t>
        </m:r>
        <m:r>
          <m:t>3.1</m:t>
        </m:r>
        <m:r>
          <m:t> </m:t>
        </m:r>
        <m:sSub>
          <m:e>
            <m:r>
              <m:t>n</m:t>
            </m:r>
          </m:e>
          <m:sub>
            <m:r>
              <m:t>p</m:t>
            </m:r>
          </m:sub>
        </m:sSub>
      </m:oMath>
      <w:r>
        <w:t xml:space="preserve">), meets this criterion at about</w:t>
      </w:r>
      <w:r>
        <w:t xml:space="preserve"> </w:t>
      </w:r>
      <m:oMath>
        <m:sSub>
          <m:e>
            <m:r>
              <m:t>n</m:t>
            </m:r>
          </m:e>
          <m:sub>
            <m:r>
              <m:t>p</m:t>
            </m:r>
          </m:sub>
        </m:sSub>
        <m:r>
          <m:rPr>
            <m:sty m:val="p"/>
          </m:rPr>
          <m:t>=</m:t>
        </m:r>
        <m:r>
          <m:t>100</m:t>
        </m:r>
      </m:oMath>
      <w:r>
        <w:t xml:space="preserve"> </w:t>
      </w:r>
      <w:r>
        <w:t xml:space="preserve">independently verified pilot-fault crashes (</w:t>
      </w:r>
      <m:oMath>
        <m:r>
          <m:rPr>
            <m:nor/>
          </m:rPr>
          <m:t>SE</m:t>
        </m:r>
        <m:r>
          <m:rPr>
            <m:sty m:val="p"/>
          </m:rPr>
          <m:t>≈</m:t>
        </m:r>
        <m:r>
          <m:t>0.025</m:t>
        </m:r>
      </m:oMath>
      <w:r>
        <w:t xml:space="preserve">); 80% power to exclude 0.80 when the true AUC is 0.85 (</w:t>
      </w:r>
      <m:oMath>
        <m:r>
          <m:rPr>
            <m:nor/>
          </m:rPr>
          <m:t>SE</m:t>
        </m:r>
        <m:r>
          <m:rPr>
            <m:sty m:val="p"/>
          </m:rPr>
          <m:t>≤</m:t>
        </m:r>
        <m:r>
          <m:t>0.05</m:t>
        </m:r>
        <m:r>
          <m:rPr>
            <m:sty m:val="p"/>
          </m:rPr>
          <m:t>/</m:t>
        </m:r>
        <m:r>
          <m:t>2.80</m:t>
        </m:r>
        <m:r>
          <m:rPr>
            <m:sty m:val="p"/>
          </m:rPr>
          <m:t>=</m:t>
        </m:r>
        <m:r>
          <m:t>0.018</m:t>
        </m:r>
      </m:oMath>
      <w:r>
        <w:t xml:space="preserve">) needs about 200 (</w:t>
      </w:r>
      <m:oMath>
        <m:r>
          <m:rPr>
            <m:nor/>
          </m:rPr>
          <m:t>SE</m:t>
        </m:r>
        <m:r>
          <m:rPr>
            <m:sty m:val="p"/>
          </m:rPr>
          <m:t>≈</m:t>
        </m:r>
        <m:r>
          <m:t>0.018</m:t>
        </m:r>
      </m:oMath>
      <w:r>
        <w:t xml:space="preserve">). Both are far beyond the 36 available in the modelling sample (SE 0.042 at</w:t>
      </w:r>
      <w:r>
        <w:t xml:space="preserve"> </w:t>
      </w:r>
      <m:oMath>
        <m:sSub>
          <m:e>
            <m:r>
              <m:t>n</m:t>
            </m:r>
          </m:e>
          <m:sub>
            <m:r>
              <m:t>p</m:t>
            </m:r>
          </m:sub>
        </m:sSub>
        <m:r>
          <m:rPr>
            <m:sty m:val="p"/>
          </m:rPr>
          <m:t>=</m:t>
        </m:r>
        <m:r>
          <m:t>36</m:t>
        </m:r>
      </m:oMath>
      <w:r>
        <w:t xml:space="preserve">). An earlier version stated 250, which applied the null-hypothesis variance at AUC 0.85. We therefore report that these rules, models and labels give no usable attribution signal under the evaluated setup, not that attribution is fundamentally impossible.</w:t>
      </w:r>
    </w:p>
    <w:bookmarkStart w:id="36" w:name="_049e4e3e8c6150f6efca473eb560bdd9d2e8e6a"/>
    <w:p>
      <w:pPr>
        <w:pStyle w:val="CaptionedFigure"/>
        <w:jc w:val="center"/>
      </w:pPr>
      <w:r>
        <w:drawing>
          <wp:inline>
            <wp:extent cx="4160520" cy="2627404"/>
            <wp:effectExtent b="0" l="0" r="0" t="0"/>
            <wp:docPr descr="" title="" id="34" name="Picture"/>
            <a:graphic>
              <a:graphicData uri="http://schemas.openxmlformats.org/drawingml/2006/picture">
                <pic:pic>
                  <pic:nvPicPr>
                    <pic:cNvPr descr="fig_sign_rates.png" id="35" name="Picture"/>
                    <pic:cNvPicPr>
                      <a:picLocks noChangeArrowheads="1" noChangeAspect="1"/>
                    </pic:cNvPicPr>
                  </pic:nvPicPr>
                  <pic:blipFill>
                    <a:blip r:embed="rId33"/>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6"/>
    <w:bookmarkStart w:id="37" w:name="_febe7c87a633d14485235b1c570b7dc3553a6bb"/>
    <w:p>
      <w:pPr>
        <w:pStyle w:val="TableCaption"/>
      </w:pPr>
      <w:r>
        <w:t xml:space="preserve">Table 6. Tests, their declared pass marks and outcomes. Holm adjustment over the seven</w:t>
      </w:r>
      <w:r>
        <w:t xml:space="preserve"> </w:t>
      </w:r>
      <m:oMath>
        <m:r>
          <m:t>p</m:t>
        </m:r>
      </m:oMath>
      <w:r>
        <w:t xml:space="preserve">-valued tests.</w:t>
      </w:r>
      <w:r>
        <w:t xml:space="preserve"> </w:t>
      </w:r>
      <m:oMath>
        <m:sSup>
          <m:e>
            <m:r>
              <m:t>​</m:t>
            </m:r>
          </m:e>
          <m:sup>
            <m:r>
              <m:rPr>
                <m:sty m:val="p"/>
              </m:rPr>
              <m:t>‡</m:t>
            </m:r>
          </m:sup>
        </m:sSup>
      </m:oMath>
      <w:r>
        <w:t xml:space="preserve">First-pass analysis, not declared before running (Table 4).</w:t>
      </w:r>
    </w:p>
    <w:tbl>
      <w:tblPr>
        <w:tblStyle w:val="Table"/>
        <w:tblW w:type="pct" w:w="5000"/>
        <w:tblLook w:firstRow="1" w:lastRow="0" w:firstColumn="0" w:lastColumn="0" w:noHBand="0" w:noVBand="0" w:val="0020"/>
        <w:tblCaption w:val="Table 6. Tests, their declared pass marks and outcomes. Holm adjustment over the seven p-valued tests. ^\ddaggerFirst-pass analysis, not declared before running (Table 4)."/>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m:oMath>
              <m:sSup>
                <m:e>
                  <m:r>
                    <m:t>​</m:t>
                  </m:r>
                </m:e>
                <m:sup>
                  <m:r>
                    <m:rPr>
                      <m:sty m:val="p"/>
                    </m:rPr>
                    <m:t>‡</m:t>
                  </m:r>
                </m:sup>
              </m:sSup>
            </m:oMath>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r>
              <w:rPr>
                <w:sz w:val="19"/>
              </w:rPr>
              <w:t xml:space="preserve">;</w:t>
            </w:r>
            <w:r>
              <w:rPr>
                <w:sz w:val="19"/>
              </w:rPr>
              <w:t xml:space="preserve"> </w:t>
            </w:r>
            <m:oMath>
              <m:sSup>
                <m:e>
                  <m:r>
                    <m:t>​</m:t>
                  </m:r>
                </m:e>
                <m:sup>
                  <m:r>
                    <m:rPr>
                      <m:sty m:val="p"/>
                    </m:rPr>
                    <m:t>†</m:t>
                  </m:r>
                </m:sup>
              </m:sSup>
            </m:oMath>
            <w:r>
              <w:rPr>
                <w:sz w:val="19"/>
              </w:rPr>
              <w:t xml:space="preserve">clustered</w:t>
            </w:r>
            <w:r>
              <w:rPr>
                <w:sz w:val="19"/>
              </w:rPr>
              <w:t xml:space="preserve"> </w:t>
            </w:r>
            <m:oMath>
              <m:r>
                <m:t>p</m:t>
              </m:r>
              <m:r>
                <m:rPr>
                  <m:sty m:val="p"/>
                </m:rPr>
                <m:t>=</m:t>
              </m:r>
              <m:r>
                <m:t>0.012</m:t>
              </m:r>
            </m:oMath>
          </w:p>
        </w:tc>
        <w:tc>
          <w:tcPr/>
          <w:p>
            <w:pPr>
              <w:pStyle w:val="Compact"/>
              <w:spacing w:line="240" w:lineRule="auto"/>
              <w:jc w:val="center"/>
            </w:pPr>
            <w:r>
              <w:rPr>
                <w:sz w:val="19"/>
              </w:rPr>
              <w:t xml:space="preserve">0.016;</w:t>
            </w:r>
            <w:r>
              <w:rPr>
                <w:sz w:val="19"/>
              </w:rPr>
              <w:t xml:space="preserve"> </w:t>
            </w:r>
            <m:oMath>
              <m:sSup>
                <m:e>
                  <m:r>
                    <m:t>​</m:t>
                  </m:r>
                </m:e>
                <m:sup>
                  <m:r>
                    <m:rPr>
                      <m:sty m:val="p"/>
                    </m:rPr>
                    <m:t>†</m:t>
                  </m:r>
                </m:sup>
              </m:sSup>
            </m:oMath>
            <w:r>
              <w:rPr>
                <w:sz w:val="19"/>
              </w:rPr>
              <w:t xml:space="preserve">0.08</w:t>
            </w:r>
          </w:p>
        </w:tc>
        <w:tc>
          <w:tcPr/>
          <w:p>
            <w:pPr>
              <w:pStyle w:val="Compact"/>
              <w:spacing w:line="240" w:lineRule="auto"/>
              <w:jc w:val="left"/>
            </w:pPr>
            <w:r>
              <w:rPr>
                <w:sz w:val="19"/>
              </w:rPr>
              <w:t xml:space="preserve">Supported as declared; suggestive once clustered by airframe;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7"/>
    <w:p>
      <w:pPr>
        <w:pStyle w:val="Heading2"/>
      </w:pPr>
      <w:bookmarkStart w:id="38" w:name="_656df57dd7f44abd09b995cf6c71ccccfcfebca"/>
      <w:r>
        <w:rPr>
          <w:rStyle w:val="SectionNumber"/>
        </w:rPr>
        <w:t xml:space="preserve">5.3</w:t>
      </w:r>
      <w:r>
        <w:tab/>
      </w:r>
      <w:r>
        <w:t xml:space="preserve">The crash window (Q3a)</w:t>
      </w:r>
      <w:bookmarkEnd w:id="38"/>
    </w:p>
    <w:p>
      <w:pPr>
        <w:pStyle w:val="FirstParagraph"/>
      </w:pPr>
      <w:bookmarkStart w:id="39" w:name="_1e20f1cb57d10c86a321ab56efaae6939bfa530"/>
      <w:bookmarkEnd w:id="39"/>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8).</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8).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(sign: more than 50 clipping counts before</w:t>
      </w:r>
      <w:r>
        <w:t xml:space="preserve"> </w:t>
      </w:r>
      <m:oMath>
        <m:sSub>
          <m:e>
            <m:r>
              <m:t>t</m:t>
            </m:r>
          </m:e>
          <m:sub>
            <m:r>
              <m:t>c</m:t>
            </m:r>
          </m:sub>
        </m:sSub>
      </m:oMath>
      <w:r>
        <w:t xml:space="preserve">; denominator: all 139 normal flights. Fig. 2 uses the held-out sample with only logs that record clipping in the denominator, 7 of 48 normal flights, 15%).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5.7).</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8</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7 reports a step-by-step decomposition, regenerated with fixed seeds</w:t>
      </w:r>
      <m:oMath>
        <m:sSup>
          <m:e>
            <m:r>
              <m:t>​</m:t>
            </m:r>
          </m:e>
          <m:sup>
            <m:r>
              <m:rPr>
                <m:sty m:val="p"/>
              </m:rPr>
              <m:t>†</m:t>
            </m:r>
          </m:sup>
        </m:sSup>
      </m:oMath>
      <w:r>
        <w:t xml:space="preserve">. In this sample crash and normal flights never share a vehicle (the 39 normal flights removed in the factorial audit share vehicles with the separate within-drone crashes, not with these 148), but 185 of the 287 flights come from 34 vehicles with several flights each (one contributes 39), so ungrouped folds let the model recognise individual vehicles within a class. Grouping folds by vehicle (Step 1) lowers the AUC from 0.882 to 0.826; an earlier version reported 0.884 for this step, which we could not reproduce with vehicle identifiers. On the constant cohort of 213 flights, grouped folds give 0.833 at</w:t>
      </w:r>
      <w:r>
        <w:t xml:space="preserve"> </w:t>
      </w:r>
      <m:oMath>
        <m:r>
          <m:t>m</m:t>
        </m:r>
        <m:r>
          <m:rPr>
            <m:sty m:val="p"/>
          </m:rPr>
          <m:t>=</m:t>
        </m:r>
        <m:r>
          <m:t>0</m:t>
        </m:r>
      </m:oMath>
      <w:r>
        <w:t xml:space="preserve"> s (Step 1b), so removing the final 10 s or 30 s (Steps 2 and 3) lowers AUC only to 0.799 and 0.791; with grouped folds at all six cut-offs on this cohort the drop from</w:t>
      </w:r>
      <w:r>
        <w:t xml:space="preserve"> </w:t>
      </w:r>
      <m:oMath>
        <m:r>
          <m:t>m</m:t>
        </m:r>
        <m:r>
          <m:rPr>
            <m:sty m:val="p"/>
          </m:rPr>
          <m:t>=</m:t>
        </m:r>
        <m:r>
          <m:t>0</m:t>
        </m:r>
      </m:oMath>
      <w:r>
        <w:t xml:space="preserve"> </w:t>
      </w:r>
      <w:r>
        <w:t xml:space="preserve">to 10 s is 0.035, so the declared leak criterion still fails (Section 5.3). while removing tilt and stick features (Step 4) lowers the AUC to 0.738. An earlier exploratory step scored the 67 multi-flight crashes against other-aircraft normals and reported AUC 0.522 [0.413, 0.615]; that comparison mixed feature extractors and cut-offs between crash and control flights and is superseded by the factorial audit below, where the same crashes against matched other-aircraft flights under one extractor give 0.623 [0.523, 0.716] (Table 7, Step 4b). The 67 within-drone crashes are not a subset of the 103 multi-history crashes: only 10 of the 67 are in the 148-crash sample. To test whether the 0.88 cross-sectional separation was an artifact carried solely by single-history crashes (vehicles with no earlier flights in the archive: maiden flights, bench tests), we scored single-history crashes (</w:t>
      </w:r>
      <m:oMath>
        <m:r>
          <m:t>n</m:t>
        </m:r>
        <m:r>
          <m:rPr>
            <m:sty m:val="p"/>
          </m:rPr>
          <m:t>=</m:t>
        </m:r>
        <m:r>
          <m:t>45</m:t>
        </m:r>
      </m:oMath>
      <w:r>
        <w:t xml:space="preserve">) and multi-history crashes (</w:t>
      </w:r>
      <m:oMath>
        <m:r>
          <m:t>n</m:t>
        </m:r>
        <m:r>
          <m:rPr>
            <m:sty m:val="p"/>
          </m:rPr>
          <m:t>=</m:t>
        </m:r>
        <m:r>
          <m:t>103</m:t>
        </m:r>
      </m:oMath>
      <w:r>
        <w:t xml:space="preserve">) from the Step 0 sample separately against the 139 normal flights. Both subsets yielded high cross-sectional separation: single-history crashes reached AUC</w:t>
      </w:r>
      <w:r>
        <w:t xml:space="preserve"> </w:t>
      </w:r>
      <m:oMath>
        <m:r>
          <m:t>0.835</m:t>
        </m:r>
        <m:r>
          <m:rPr>
            <m:sty m:val="p"/>
          </m:rPr>
          <m:t>±</m:t>
        </m:r>
        <m:r>
          <m:t>0.010</m:t>
        </m:r>
      </m:oMath>
      <w:r>
        <w:t xml:space="preserve"> </w:t>
      </w:r>
      <w:r>
        <w:t xml:space="preserve">(</w:t>
      </w:r>
      <m:oMath>
        <m:r>
          <m:rPr>
            <m:sty m:val="p"/>
          </m:rPr>
          <m:t>±</m:t>
        </m:r>
      </m:oMath>
      <w:r>
        <w:t xml:space="preserve"> </w:t>
      </w:r>
      <w:r>
        <w:t xml:space="preserve">is the SD over five CV repeats here and below) at</w:t>
      </w:r>
      <w:r>
        <w:t xml:space="preserve"> </w:t>
      </w:r>
      <m:oMath>
        <m:r>
          <m:t>m</m:t>
        </m:r>
        <m:r>
          <m:rPr>
            <m:sty m:val="p"/>
          </m:rPr>
          <m:t>=</m:t>
        </m:r>
        <m:r>
          <m:t>0</m:t>
        </m:r>
      </m:oMath>
      <w:r>
        <w:t xml:space="preserve"> s (</w:t>
      </w:r>
      <m:oMath>
        <m:r>
          <m:t>0.801</m:t>
        </m:r>
        <m:r>
          <m:rPr>
            <m:sty m:val="p"/>
          </m:rPr>
          <m:t>±</m:t>
        </m:r>
        <m:r>
          <m:t>0.020</m:t>
        </m:r>
      </m:oMath>
      <w:r>
        <w:t xml:space="preserve"> </w:t>
      </w:r>
      <w:r>
        <w:t xml:space="preserve">at</w:t>
      </w:r>
      <w:r>
        <w:t xml:space="preserve"> </w:t>
      </w:r>
      <m:oMath>
        <m:r>
          <m:t>m</m:t>
        </m:r>
        <m:r>
          <m:rPr>
            <m:sty m:val="p"/>
          </m:rPr>
          <m:t>=</m:t>
        </m:r>
        <m:r>
          <m:t>10</m:t>
        </m:r>
      </m:oMath>
      <w:r>
        <w:t xml:space="preserve"> s), while multi-history crashes reached AUC</w:t>
      </w:r>
      <w:r>
        <w:t xml:space="preserve"> </w:t>
      </w:r>
      <m:oMath>
        <m:r>
          <m:t>0.891</m:t>
        </m:r>
        <m:r>
          <m:rPr>
            <m:sty m:val="p"/>
          </m:rPr>
          <m:t>±</m:t>
        </m:r>
        <m:r>
          <m:t>0.007</m:t>
        </m:r>
      </m:oMath>
      <w:r>
        <w:t xml:space="preserve"> </w:t>
      </w:r>
      <w:r>
        <w:t xml:space="preserve">(</w:t>
      </w:r>
      <m:oMath>
        <m:r>
          <m:t>0.884</m:t>
        </m:r>
        <m:r>
          <m:rPr>
            <m:sty m:val="p"/>
          </m:rPr>
          <m:t>±</m:t>
        </m:r>
        <m:r>
          <m:t>0.010</m:t>
        </m:r>
      </m:oMath>
      <w:r>
        <w:t xml:space="preserve"> </w:t>
      </w:r>
      <w:r>
        <w:t xml:space="preserve">at</w:t>
      </w:r>
      <w:r>
        <w:t xml:space="preserve"> </w:t>
      </w:r>
      <m:oMath>
        <m:r>
          <m:t>m</m:t>
        </m:r>
        <m:r>
          <m:rPr>
            <m:sty m:val="p"/>
          </m:rPr>
          <m:t>=</m:t>
        </m:r>
        <m:r>
          <m:t>10</m:t>
        </m:r>
      </m:oMath>
      <w:r>
        <w:t xml:space="preserve"> s). This indicates that the 0.88 headline AUC is not an artifact confined to maiden flights; rather, cross-sectional separation may reflect duration and flight-envelope differences across the archive (window duration alone gives AUC 0.662).</w:t>
      </w:r>
    </w:p>
    <w:p>
      <w:pPr>
        <w:pStyle w:val="BodyText"/>
      </w:pPr>
      <w:r>
        <w:t xml:space="preserve">On the 67 multi-flight drones with 372 flights (67 pre-crash flights cut 10 s before impact and 305 earlier flights), three complementary statistics evaluate within-drone precursor separation. Evaluated across flights, stratified folds give 0.546 [0.485, 0.605] (Step 5) and folds grouped by drone 0.559 [0.512, 0.617] (Step 6), regenerated with fixed seeds; an earlier, non-reproducible run gave 0.569 with a cluster interval of [0.500, 0.643].</w:t>
      </w:r>
      <w:r>
        <w:t xml:space="preserve"> </w:t>
      </w:r>
      <m:oMath>
        <m:sSup>
          <m:e>
            <m:r>
              <m:t>​</m:t>
            </m:r>
          </m:e>
          <m:sup>
            <m:r>
              <m:rPr>
                <m:sty m:val="p"/>
              </m:rPr>
              <m:t>†</m:t>
            </m:r>
          </m:sup>
        </m:sSup>
      </m:oMath>
      <w:r>
        <w:t xml:space="preserve">After removing the 85 earlier flights that GPS time shows were flown after the crash (Section 5.5; declared audit</w:t>
      </w:r>
      <w:r>
        <w:t xml:space="preserve"> </w:t>
      </w:r>
      <w:r>
        <w:rPr>
          <w:rStyle w:val="VerbatimChar"/>
        </w:rPr>
        <w:t xml:space="preserve">0d38f5d</w:t>
      </w:r>
      <w:r>
        <w:t xml:space="preserve">), Step 6 gives 0.582 [0.524, 0.658] on 57 drones (Step 6b). The same comparison on recomputed features (the factorial audit’s same-aircraft cell) gives 0.507 [0.436, 0.582]. We therefore describe the within-drone model result as at most a weak signal that depends on the feature pipeline.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Evaluating within-drone Group-CV across calipers (</w:t>
      </w:r>
      <m:oMath>
        <m:r>
          <m:t>ϵ</m:t>
        </m:r>
        <m:r>
          <m:rPr>
            <m:sty m:val="p"/>
          </m:rPr>
          <m:t>=</m:t>
        </m:r>
        <m:r>
          <m:rPr>
            <m:sty m:val="p"/>
          </m:rPr>
          <m:t>|</m:t>
        </m:r>
        <m:r>
          <m:rPr>
            <m:sty m:val="p"/>
          </m:rPr>
          <m:t>Δ</m:t>
        </m:r>
        <m:r>
          <m:rPr>
            <m:sty m:val="p"/>
          </m:rPr>
          <m:t>ln</m:t>
        </m:r>
        <m:r>
          <m:rPr>
            <m:sty m:val="p"/>
          </m:rPr>
          <m:t>(</m:t>
        </m:r>
        <m:r>
          <m:rPr>
            <m:nor/>
          </m:rPr>
          <m:t>duration</m:t>
        </m:r>
        <m:r>
          <m:rPr>
            <m:sty m:val="p"/>
          </m:rPr>
          <m:t>)</m:t>
        </m:r>
        <m:r>
          <m:rPr>
            <m:sty m:val="p"/>
          </m:rPr>
          <m:t>|</m:t>
        </m:r>
        <m:r>
          <m:rPr>
            <m:sty m:val="p"/>
          </m:rPr>
          <m:t>∈</m:t>
        </m:r>
        <m:r>
          <m:rPr>
            <m:sty m:val="p"/>
          </m:rPr>
          <m:t>[</m:t>
        </m:r>
        <m:r>
          <m:t>0.10</m:t>
        </m:r>
        <m:r>
          <m:rPr>
            <m:sty m:val="p"/>
          </m:rPr>
          <m:t>,</m:t>
        </m:r>
        <m:r>
          <m:t>1.00</m:t>
        </m:r>
        <m:r>
          <m:rPr>
            <m:sty m:val="p"/>
          </m:rPr>
          <m:t>]</m:t>
        </m:r>
      </m:oMath>
      <w:r>
        <w:t xml:space="preserve">) reveals a smooth gradient: at</w:t>
      </w:r>
      <w:r>
        <w:t xml:space="preserve"> </w:t>
      </w:r>
      <m:oMath>
        <m:r>
          <m:t>ϵ</m:t>
        </m:r>
        <m:r>
          <m:rPr>
            <m:sty m:val="p"/>
          </m:rPr>
          <m:t>=</m:t>
        </m:r>
        <m:r>
          <m:t>0.10</m:t>
        </m:r>
      </m:oMath>
      <w:r>
        <w:t xml:space="preserve"> </w:t>
      </w:r>
      <w:r>
        <w:t xml:space="preserve">(</w:t>
      </w:r>
      <m:oMath>
        <m:r>
          <m:t>n</m:t>
        </m:r>
        <m:r>
          <m:rPr>
            <m:sty m:val="p"/>
          </m:rPr>
          <m:t>=</m:t>
        </m:r>
        <m:r>
          <m:t>27</m:t>
        </m:r>
      </m:oMath>
      <w:r>
        <w:t xml:space="preserve"> </w:t>
      </w:r>
      <w:r>
        <w:t xml:space="preserve">airframes), matched AUC is 0.580; at</w:t>
      </w:r>
      <w:r>
        <w:t xml:space="preserve"> </w:t>
      </w:r>
      <m:oMath>
        <m:r>
          <m:t>ϵ</m:t>
        </m:r>
        <m:r>
          <m:rPr>
            <m:sty m:val="p"/>
          </m:rPr>
          <m:t>=</m:t>
        </m:r>
        <m:r>
          <m:t>0.20</m:t>
        </m:r>
      </m:oMath>
      <w:r>
        <w:t xml:space="preserve"> </w:t>
      </w:r>
      <w:r>
        <w:t xml:space="preserve">(</w:t>
      </w:r>
      <m:oMath>
        <m:r>
          <m:t>n</m:t>
        </m:r>
        <m:r>
          <m:rPr>
            <m:sty m:val="p"/>
          </m:rPr>
          <m:t>=</m:t>
        </m:r>
        <m:r>
          <m:t>34</m:t>
        </m:r>
      </m:oMath>
      <w:r>
        <w:t xml:space="preserve">), 0.590; at</w:t>
      </w:r>
      <w:r>
        <w:t xml:space="preserve"> </w:t>
      </w:r>
      <m:oMath>
        <m:r>
          <m:t>ϵ</m:t>
        </m:r>
        <m:r>
          <m:rPr>
            <m:sty m:val="p"/>
          </m:rPr>
          <m:t>=</m:t>
        </m:r>
        <m:r>
          <m:t>0.25</m:t>
        </m:r>
      </m:oMath>
      <w:r>
        <w:t xml:space="preserve"> </w:t>
      </w:r>
      <w:r>
        <w:t xml:space="preserve">(</w:t>
      </w:r>
      <m:oMath>
        <m:r>
          <m:t>n</m:t>
        </m:r>
        <m:r>
          <m:rPr>
            <m:sty m:val="p"/>
          </m:rPr>
          <m:t>=</m:t>
        </m:r>
        <m:r>
          <m:t>36</m:t>
        </m:r>
      </m:oMath>
      <w:r>
        <w:t xml:space="preserve">), 0.604 (5-seed average 0.642 vs. 0.532 unmatched, lift</w:t>
      </w:r>
      <w:r>
        <w:t xml:space="preserve"> </w:t>
      </w:r>
      <m:oMath>
        <m:r>
          <m:rPr>
            <m:sty m:val="p"/>
          </m:rPr>
          <m:t>Δ</m:t>
        </m:r>
        <m:r>
          <m:rPr>
            <m:sty m:val="p"/>
          </m:rPr>
          <m:t>=</m:t>
        </m:r>
        <m:r>
          <m:rPr>
            <m:sty m:val="p"/>
          </m:rPr>
          <m:t>+</m:t>
        </m:r>
        <m:r>
          <m:t>0.110</m:t>
        </m:r>
      </m:oMath>
      <w:r>
        <w:t xml:space="preserve">;</w:t>
      </w:r>
      <w:r>
        <w:t xml:space="preserve"> </w:t>
      </w:r>
      <m:oMath>
        <m:sSup>
          <m:e>
            <m:r>
              <m:t>​</m:t>
            </m:r>
          </m:e>
          <m:sup>
            <m:r>
              <m:rPr>
                <m:sty m:val="p"/>
              </m:rPr>
              <m:t>†</m:t>
            </m:r>
          </m:sup>
        </m:sSup>
      </m:oMath>
      <w:r>
        <w:t xml:space="preserve">a declared rerun with reproducible folds gave 0.636 vs. 0.526, lift</w:t>
      </w:r>
      <w:r>
        <w:t xml:space="preserve"> </w:t>
      </w:r>
      <m:oMath>
        <m:r>
          <m:rPr>
            <m:sty m:val="p"/>
          </m:rPr>
          <m:t>+</m:t>
        </m:r>
        <m:r>
          <m:t>0.110</m:t>
        </m:r>
      </m:oMath>
      <w:r>
        <w:t xml:space="preserve">, paired cluster bootstrap 95% CI [+0.028, +0.205], replacing an earlier interval of [+0.074, +0.238] computed on a fold draw that cannot be reproduced); at</w:t>
      </w:r>
      <w:r>
        <w:t xml:space="preserve"> </w:t>
      </w:r>
      <m:oMath>
        <m:r>
          <m:t>ϵ</m:t>
        </m:r>
        <m:r>
          <m:rPr>
            <m:sty m:val="p"/>
          </m:rPr>
          <m:t>=</m:t>
        </m:r>
        <m:r>
          <m:t>0.50</m:t>
        </m:r>
      </m:oMath>
      <w:r>
        <w:t xml:space="preserve"> </w:t>
      </w:r>
      <w:r>
        <w:t xml:space="preserve">(</w:t>
      </w:r>
      <m:oMath>
        <m:r>
          <m:t>n</m:t>
        </m:r>
        <m:r>
          <m:rPr>
            <m:sty m:val="p"/>
          </m:rPr>
          <m:t>=</m:t>
        </m:r>
        <m:r>
          <m:t>45</m:t>
        </m:r>
      </m:oMath>
      <w:r>
        <w:t xml:space="preserve">), 0.596; rising to parity with unmatched at</w:t>
      </w:r>
      <w:r>
        <w:t xml:space="preserve"> </w:t>
      </w:r>
      <m:oMath>
        <m:r>
          <m:t>ϵ</m:t>
        </m:r>
        <m:r>
          <m:rPr>
            <m:sty m:val="p"/>
          </m:rPr>
          <m:t>=</m:t>
        </m:r>
        <m:r>
          <m:t>1.00</m:t>
        </m:r>
      </m:oMath>
      <w:r>
        <w:t xml:space="preserve"> </w:t>
      </w:r>
      <w:r>
        <w:t xml:space="preserve">(0.568 vs. 0.564). Univariate feature evaluation on the 36 airframes showed that the caliper gain is carried primarily by accelerometer clipping (</w:t>
      </w:r>
      <m:oMath>
        <m:r>
          <m:rPr>
            <m:sty m:val="p"/>
          </m:rPr>
          <m:t>+</m:t>
        </m:r>
        <m:r>
          <m:t>0.068</m:t>
        </m:r>
      </m:oMath>
      <w:r>
        <w:t xml:space="preserve">), tilt envelope (</w:t>
      </w:r>
      <m:oMath>
        <m:r>
          <m:rPr>
            <m:sty m:val="p"/>
          </m:rPr>
          <m:t>+</m:t>
        </m:r>
        <m:r>
          <m:t>0.037</m:t>
        </m:r>
      </m:oMath>
      <w:r>
        <w:t xml:space="preserve">), and voltage sag (</w:t>
      </w:r>
      <m:oMath>
        <m:r>
          <m:rPr>
            <m:sty m:val="p"/>
          </m:rPr>
          <m:t>+</m:t>
        </m:r>
        <m:r>
          <m:t>0.031</m:t>
        </m:r>
      </m:oMath>
      <w:r>
        <w:t xml:space="preserve">).</w:t>
      </w:r>
      <w:r>
        <w:t xml:space="preserve"> </w:t>
      </w:r>
      <m:oMath>
        <m:sSup>
          <m:e>
            <m:r>
              <m:t>​</m:t>
            </m:r>
          </m:e>
          <m:sup>
            <m:r>
              <m:rPr>
                <m:sty m:val="p"/>
              </m:rPr>
              <m:t>†</m:t>
            </m:r>
          </m:sup>
        </m:sSup>
      </m:oMath>
      <w:r>
        <w:t xml:space="preserve">Without these three features the lift is</w:t>
      </w:r>
      <w:r>
        <w:t xml:space="preserve"> </w:t>
      </w:r>
      <m:oMath>
        <m:r>
          <m:rPr>
            <m:sty m:val="p"/>
          </m:rPr>
          <m:t>+</m:t>
        </m:r>
        <m:r>
          <m:t>0.077</m:t>
        </m:r>
      </m:oMath>
      <w:r>
        <w:t xml:space="preserve"> </w:t>
      </w:r>
      <w:r>
        <w:t xml:space="preserve">[+0.013, +0.204] (5 seeds; seed 42 alone</w:t>
      </w:r>
      <w:r>
        <w:t xml:space="preserve"> </w:t>
      </w:r>
      <m:oMath>
        <m:r>
          <m:rPr>
            <m:sty m:val="p"/>
          </m:rPr>
          <m:t>+</m:t>
        </m:r>
        <m:r>
          <m:t>0.062</m:t>
        </m:r>
      </m:oMath>
      <w:r>
        <w:t xml:space="preserve"> </w:t>
      </w:r>
      <w:r>
        <w:t xml:space="preserve">[</w:t>
      </w:r>
      <m:oMath>
        <m:r>
          <m:rPr>
            <m:sty m:val="p"/>
          </m:rPr>
          <m:t>−</m:t>
        </m:r>
        <m:r>
          <m:t>0.008</m:t>
        </m:r>
      </m:oMath>
      <w:r>
        <w:t xml:space="preserve">, +0.132]) and the matched within-drone AUC is 0.573. This meets the declared criterion for the reading that duration differences mask within-drone precursors (lift</w:t>
      </w:r>
      <w:r>
        <w:t xml:space="preserve"> </w:t>
      </w:r>
      <m:oMath>
        <m:r>
          <m:rPr>
            <m:sty m:val="p"/>
          </m:rPr>
          <m:t>≥</m:t>
        </m:r>
        <m:r>
          <m:t>0.05</m:t>
        </m:r>
      </m:oMath>
      <w:r>
        <w:t xml:space="preserve">, interval excluding zero), but the lift is smaller and less stable than with all features, and a fixed 30 s window did not reproduce it (§5.4).</w:t>
      </w:r>
      <w:r>
        <w:t xml:space="preserve"> </w:t>
      </w:r>
      <m:oMath>
        <m:sSup>
          <m:e>
            <m:r>
              <m:t>​</m:t>
            </m:r>
          </m:e>
          <m:sup>
            <m:r>
              <m:rPr>
                <m:sty m:val="p"/>
              </m:rPr>
              <m:t>†</m:t>
            </m:r>
          </m:sup>
        </m:sSup>
      </m:oMath>
      <w:r>
        <w:t xml:space="preserve">The caliper sample also contained flights flown after the crash. Without them 24 airframes remain, and the lift is</w:t>
      </w:r>
      <w:r>
        <w:t xml:space="preserve"> </w:t>
      </w:r>
      <m:oMath>
        <m:r>
          <m:rPr>
            <m:sty m:val="p"/>
          </m:rPr>
          <m:t>+</m:t>
        </m:r>
        <m:r>
          <m:t>0.086</m:t>
        </m:r>
      </m:oMath>
      <w:r>
        <w:t xml:space="preserve"> </w:t>
      </w:r>
      <w:r>
        <w:t xml:space="preserve">[</w:t>
      </w:r>
      <m:oMath>
        <m:r>
          <m:rPr>
            <m:sty m:val="p"/>
          </m:rPr>
          <m:t>−</m:t>
        </m:r>
        <m:r>
          <m:t>0.064</m:t>
        </m:r>
      </m:oMath>
      <w:r>
        <w:t xml:space="preserve">, +0.184] with all features and</w:t>
      </w:r>
      <w:r>
        <w:t xml:space="preserve"> </w:t>
      </w:r>
      <m:oMath>
        <m:r>
          <m:rPr>
            <m:sty m:val="p"/>
          </m:rPr>
          <m:t>+</m:t>
        </m:r>
        <m:r>
          <m:t>0.063</m:t>
        </m:r>
      </m:oMath>
      <w:r>
        <w:t xml:space="preserve"> </w:t>
      </w:r>
      <w:r>
        <w:t xml:space="preserve">[</w:t>
      </w:r>
      <m:oMath>
        <m:r>
          <m:rPr>
            <m:sty m:val="p"/>
          </m:rPr>
          <m:t>−</m:t>
        </m:r>
        <m:r>
          <m:t>0.087</m:t>
        </m:r>
      </m:oMath>
      <w:r>
        <w:t xml:space="preserve">, +0.159] without the three duration-linked features. Under its declared criterion the masking reading loses support. The lift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w:t>
      </w:r>
    </w:p>
    <w:bookmarkStart w:id="40" w:name="_5384c23fe540f64e7f70d79e466547294e389bd"/>
    <w:p>
      <w:pPr>
        <w:pStyle w:val="TableCaption"/>
      </w:pPr>
      <w:r>
        <w:t xml:space="preserve">Table 7. Decomposition of model separation between crash and normal flights.</w:t>
      </w:r>
      <w:r>
        <w:t xml:space="preserve"> </w:t>
      </w:r>
      <m:oMath>
        <m:sSup>
          <m:e>
            <m:r>
              <m:t>​</m:t>
            </m:r>
          </m:e>
          <m:sup>
            <m:r>
              <m:rPr>
                <m:sty m:val="p"/>
              </m:rPr>
              <m:t>†</m:t>
            </m:r>
          </m:sup>
        </m:sSup>
      </m:oMath>
      <w:r>
        <w:t xml:space="preserve">All values regenerated from committed scripts with fixed seeds (second robustness audit,</w:t>
      </w:r>
      <w:r>
        <w:t xml:space="preserve"> </w:t>
      </w:r>
      <w:r>
        <w:rPr>
          <w:rStyle w:val="VerbatimChar"/>
        </w:rPr>
        <w:t xml:space="preserve">6fff27d</w:t>
      </w:r>
      <w:r>
        <w:t xml:space="preserve">: seeds 42–46, clusters sorted before fold assignment, 95% cluster bootstrap over vehicles with 2,000 resamples; Step 4b from the factorial audit). Earlier, not reproducible values were 0.883, 0.884, 0.860, 0.874, 0.831, 0.529 and 0.569 for Steps 0–6.</w:t>
      </w:r>
    </w:p>
    <w:tbl>
      <w:tblPr>
        <w:tblStyle w:val="Table"/>
        <w:tblW w:type="pct" w:w="5000"/>
        <w:tblLook w:firstRow="1" w:lastRow="0" w:firstColumn="0" w:lastColumn="0" w:noHBand="0" w:noVBand="0" w:val="0020"/>
        <w:tblCaption w:val="Table 7. Decomposition of model separation between crash and normal flights. ^\daggerAll values regenerated from committed scripts with fixed seeds (second robustness audit, 6fff27d: seeds 42–46, clusters sorted before fold assignment, 95% cluster bootstrap over vehicles with 2,000 resamples; Step 4b from the factorial audit). Earlier, not reproducible values were 0.883, 0.884, 0.860, 0.874, 0.831, 0.529 and 0.569 for Steps 0–6."/>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0.882 [0.776, 0.935]</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0.826 [0.726, 0.895]</w:t>
            </w:r>
          </w:p>
        </w:tc>
      </w:tr>
      <w:tr>
        <w:tc>
          <w:tcPr/>
          <w:p>
            <w:pPr>
              <w:pStyle w:val="Compact"/>
              <w:spacing w:line="240" w:lineRule="auto"/>
              <w:jc w:val="left"/>
            </w:pPr>
            <w:r>
              <w:rPr>
                <w:sz w:val="19"/>
              </w:rPr>
              <w:t xml:space="preserve">1b</w:t>
            </w:r>
          </w:p>
        </w:tc>
        <w:tc>
          <w:tcPr/>
          <w:p>
            <w:pPr>
              <w:pStyle w:val="Compact"/>
              <w:spacing w:line="240" w:lineRule="auto"/>
              <w:jc w:val="left"/>
            </w:pPr>
            <w:r>
              <w:rPr>
                <w:sz w:val="19"/>
              </w:rPr>
              <w:t xml:space="preserve">Same, constant cohort (</w:t>
            </w:r>
            <m:oMath>
              <m:r>
                <m:t>m</m:t>
              </m:r>
              <m:r>
                <m:rPr>
                  <m:sty m:val="p"/>
                </m:rPr>
                <m:t>=</m:t>
              </m:r>
              <m:r>
                <m:t>0</m:t>
              </m:r>
            </m:oMath>
            <w:r>
              <w:rPr>
                <w:sz w:val="19"/>
              </w:rPr>
              <w:t xml:space="preserve"> s)</w:t>
            </w:r>
            <m:oMath>
              <m:sSup>
                <m:e>
                  <m:r>
                    <m:t>​</m:t>
                  </m:r>
                </m:e>
                <m:sup>
                  <m:r>
                    <m:rPr>
                      <m:sty m:val="p"/>
                    </m:rPr>
                    <m:t>†</m:t>
                  </m:r>
                </m:sup>
              </m:sSup>
            </m:oMath>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0.833 [0.730, 0.914]</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0.799 [0.668, 0.891]</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0.791 [0.662, 0.889]</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features (</w:t>
            </w:r>
            <m:oMath>
              <m:r>
                <m:t>m</m:t>
              </m:r>
              <m:r>
                <m:rPr>
                  <m:sty m:val="p"/>
                </m:rPr>
                <m:t>=</m:t>
              </m:r>
              <m:r>
                <m:t>0</m:t>
              </m:r>
            </m:oMath>
            <w:r>
              <w:rPr>
                <w:sz w:val="19"/>
              </w:rPr>
              <w:t xml:space="preserve"> s), grouped</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0.738 [0.648, 0.827]</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67 within-drone crashes vs. matched other-aircraft flights, one extractor (</w:t>
            </w:r>
            <m:oMath>
              <m:r>
                <m:t>m</m:t>
              </m:r>
              <m:r>
                <m:rPr>
                  <m:sty m:val="p"/>
                </m:rPr>
                <m:t>=</m:t>
              </m:r>
              <m:r>
                <m:t>10</m:t>
              </m:r>
            </m:oMath>
            <w:r>
              <w:rPr>
                <w:sz w:val="19"/>
              </w:rPr>
              <w:t xml:space="preserve"> s, grouped)</w:t>
            </w:r>
          </w:p>
        </w:tc>
        <w:tc>
          <w:tcPr/>
          <w:p>
            <w:pPr>
              <w:pStyle w:val="Compact"/>
              <w:spacing w:line="240" w:lineRule="auto"/>
              <w:jc w:val="center"/>
            </w:pPr>
            <w:r>
              <w:rPr>
                <w:sz w:val="19"/>
              </w:rPr>
              <w:t xml:space="preserve">67 crash, 311 normal</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67 within-drone crashes vs. own earlier flights, stratified</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0.546 [0.485, 0.605]</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Same, folds grouped by drone</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0.559 [0.512, 0.617]</w:t>
            </w:r>
          </w:p>
        </w:tc>
      </w:tr>
      <w:tr>
        <w:tc>
          <w:tcPr/>
          <w:p>
            <w:pPr>
              <w:pStyle w:val="Compact"/>
              <w:spacing w:line="240" w:lineRule="auto"/>
              <w:jc w:val="left"/>
            </w:pPr>
            <w:r>
              <w:rPr>
                <w:sz w:val="19"/>
              </w:rPr>
              <w:t xml:space="preserve">6b</w:t>
            </w:r>
          </w:p>
        </w:tc>
        <w:tc>
          <w:tcPr/>
          <w:p>
            <w:pPr>
              <w:pStyle w:val="Compact"/>
              <w:spacing w:line="240" w:lineRule="auto"/>
              <w:jc w:val="left"/>
            </w:pPr>
            <w:r>
              <w:rPr>
                <w:sz w:val="19"/>
              </w:rPr>
              <w:t xml:space="preserve">Step 6 without earlier flights flown after the crash (GPS time)</w:t>
            </w:r>
          </w:p>
        </w:tc>
        <w:tc>
          <w:tcPr/>
          <w:p>
            <w:pPr>
              <w:pStyle w:val="Compact"/>
              <w:spacing w:line="240" w:lineRule="auto"/>
              <w:jc w:val="center"/>
            </w:pPr>
            <w:r>
              <w:rPr>
                <w:sz w:val="19"/>
              </w:rPr>
              <w:t xml:space="preserve">57 crash, 227 earlier</w:t>
            </w:r>
          </w:p>
        </w:tc>
        <w:tc>
          <w:tcPr/>
          <w:p>
            <w:pPr>
              <w:pStyle w:val="Compact"/>
              <w:spacing w:line="240" w:lineRule="auto"/>
              <w:jc w:val="center"/>
            </w:pPr>
            <w:r>
              <w:rPr>
                <w:sz w:val="19"/>
              </w:rPr>
              <w:t xml:space="preserve">0.582 [0.524, 0.658]</w:t>
            </w:r>
          </w:p>
        </w:tc>
      </w:tr>
    </w:tbl>
    <w:bookmarkEnd w:id="40"/>
    <w:p>
      <w:pPr>
        <w:pStyle w:val="FirstParagraph"/>
      </w:pPr>
      <w:r>
        <w:t xml:space="preserve">Step 4b supersedes an earlier value of 0.522 that mixed feature extractors between crash and control flights. The paired comparison of other-aircraft and own earlier flights uses one pipeline (recomputed features,</w:t>
      </w:r>
      <w:r>
        <w:t xml:space="preserve"> </w:t>
      </w:r>
      <m:oMath>
        <m:r>
          <m:t>m</m:t>
        </m:r>
        <m:r>
          <m:rPr>
            <m:sty m:val="p"/>
          </m:rPr>
          <m:t>=</m:t>
        </m:r>
        <m:r>
          <m:t>10</m:t>
        </m:r>
      </m:oMath>
      <w:r>
        <w:t xml:space="preserve"> s, full window, grouped) on the same 67 crashes: Step 4b’s 0.623 against 0.539 for own earlier flights (not Step 6’s 0.559, which uses stored features) gives</w:t>
      </w:r>
      <w:r>
        <w:t xml:space="preserve"> </w:t>
      </w:r>
      <m:oMath>
        <m:r>
          <m:rPr>
            <m:sty m:val="p"/>
          </m:rPr>
          <m:t>+</m:t>
        </m:r>
        <m:r>
          <m:t>0.083</m:t>
        </m:r>
      </m:oMath>
      <w:r>
        <w:t xml:space="preserve"> </w:t>
      </w:r>
      <w:r>
        <w:t xml:space="preserve">[</w:t>
      </w:r>
      <m:oMath>
        <m:r>
          <m:rPr>
            <m:sty m:val="p"/>
          </m:rPr>
          <m:t>−</m:t>
        </m:r>
        <m:r>
          <m:t>0.007</m:t>
        </m:r>
      </m:oMath>
      <w:r>
        <w:t xml:space="preserve">, 0.166]; without post-crash flights the own-flight cell is 0.510 and the difference</w:t>
      </w:r>
      <w:r>
        <w:t xml:space="preserve"> </w:t>
      </w:r>
      <m:oMath>
        <m:r>
          <m:rPr>
            <m:sty m:val="p"/>
          </m:rPr>
          <m:t>+</m:t>
        </m:r>
        <m:r>
          <m:t>0.113</m:t>
        </m:r>
      </m:oMath>
      <w:r>
        <w:t xml:space="preserve"> </w:t>
      </w:r>
      <w:r>
        <w:t xml:space="preserve">[0.029, 0.212]. The 0.507 quoted elsewhere is the same comparison on the factorial audit’s constant subset (Section 5.4).</w:t>
      </w:r>
    </w:p>
    <w:bookmarkStart w:id="41" w:name="_332204dfa69e2fa6bf2a39cf9288ea52d0052a5"/>
    <w:p>
      <w:pPr>
        <w:pStyle w:val="TableCaption"/>
      </w:pPr>
      <w:r>
        <w:t xml:space="preserve">Table 8.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8.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1"/>
    <w:bookmarkStart w:id="45" w:name="_179740080c2f044957e517342c2187737980646"/>
    <w:p>
      <w:pPr>
        <w:pStyle w:val="CaptionedFigure"/>
        <w:jc w:val="center"/>
      </w:pPr>
      <w:r>
        <w:drawing>
          <wp:inline>
            <wp:extent cx="3840479" cy="2497053"/>
            <wp:effectExtent b="0" l="0" r="0" t="0"/>
            <wp:docPr descr="" title="" id="43" name="Picture"/>
            <a:graphic>
              <a:graphicData uri="http://schemas.openxmlformats.org/drawingml/2006/picture">
                <pic:pic>
                  <pic:nvPicPr>
                    <pic:cNvPr descr="fig_leak_curve.png" id="44" name="Picture"/>
                    <pic:cNvPicPr>
                      <a:picLocks noChangeArrowheads="1" noChangeAspect="1"/>
                    </pic:cNvPicPr>
                  </pic:nvPicPr>
                  <pic:blipFill>
                    <a:blip r:embed="rId42"/>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5"/>
    <w:p>
      <w:pPr>
        <w:pStyle w:val="FirstParagraph"/>
      </w:pPr>
      <w:r>
        <w:rPr>
          <w:b/>
          <w:bCs/>
        </w:rPr>
        <w:t xml:space="preserve">Crashes with a confirmed crash moment</w:t>
      </w:r>
      <m:oMath>
        <m:sSup>
          <m:e>
            <m:r>
              <m:t>​</m:t>
            </m:r>
          </m:e>
          <m:sup>
            <m:r>
              <m:rPr>
                <m:sty m:val="p"/>
              </m:rPr>
              <m:t>†</m:t>
            </m:r>
          </m:sup>
        </m:sSup>
      </m:oMath>
      <w:r>
        <w:rPr>
          <w:b/>
          <w:bCs/>
        </w:rPr>
        <w:t xml:space="preserve">.</w:t>
      </w:r>
      <w:r>
        <w:t xml:space="preserve"> </w:t>
      </w:r>
      <w:bookmarkStart w:id="46" w:name="_461c90a52efe577a4784756b99ffab33b5e8b99"/>
      <w:bookmarkEnd w:id="46"/>
      <w:r>
        <w:t xml:space="preserve"> </w:t>
      </w:r>
      <w:r>
        <w:t xml:space="preserve">The crash moment</w:t>
      </w:r>
      <w:r>
        <w:t xml:space="preserve"> </w:t>
      </w:r>
      <m:oMath>
        <m:sSub>
          <m:e>
            <m:r>
              <m:t>t</m:t>
            </m:r>
          </m:e>
          <m:sub>
            <m:r>
              <m:t>c</m:t>
            </m:r>
          </m:sub>
        </m:sSub>
      </m:oMath>
      <w:r>
        <w:t xml:space="preserve"> </w:t>
      </w:r>
      <w:r>
        <w:t xml:space="preserve">is defined by tilt above</w:t>
      </w:r>
      <w:r>
        <w:t xml:space="preserve"> </w:t>
      </w:r>
      <m:oMath>
        <m:sSup>
          <m:e>
            <m:r>
              <m:t>60</m:t>
            </m:r>
          </m:e>
          <m:sup>
            <m:r>
              <m:rPr>
                <m:sty m:val="p"/>
              </m:rPr>
              <m:t>∘</m:t>
            </m:r>
          </m:sup>
        </m:sSup>
      </m:oMath>
      <w:r>
        <w:t xml:space="preserve">; we call a crash confirmed when that tilt is also followed within 10 s by disarming or a landed or ground-contact flag. Only 40 of the 148 modelled crash logs are confirmed; 32 have the tilt without that follow-up, and in 76 tilt never exceeds</w:t>
      </w:r>
      <w:r>
        <w:t xml:space="preserve"> </w:t>
      </w:r>
      <m:oMath>
        <m:sSup>
          <m:e>
            <m:r>
              <m:t>60</m:t>
            </m:r>
          </m:e>
          <m:sup>
            <m:r>
              <m:rPr>
                <m:sty m:val="p"/>
              </m:rPr>
              <m:t>∘</m:t>
            </m:r>
          </m:sup>
        </m:sSup>
      </m:oMath>
      <w:r>
        <w:t xml:space="preserve">, so</w:t>
      </w:r>
      <w:r>
        <w:t xml:space="preserve"> </w:t>
      </w:r>
      <m:oMath>
        <m:sSub>
          <m:e>
            <m:r>
              <m:t>t</m:t>
            </m:r>
          </m:e>
          <m:sub>
            <m:r>
              <m:t>c</m:t>
            </m:r>
          </m:sub>
        </m:sSub>
      </m:oMath>
      <w:r>
        <w:t xml:space="preserve"> </w:t>
      </w:r>
      <w:r>
        <w:t xml:space="preserve">falls back to the end of the armed period (of the 101 within-drone crashes, 18 are confirmed). Every window analysis is therefore dominated by crashes whose crash moment is uncertain. On the constant cohort with folds grouped by vehicle (89 crashes, 124 normal flights), removing the last 10 s lowered AUC by 0.035 (0.833 to 0.799), so the declared leak criterion (</w:t>
      </w:r>
      <m:oMath>
        <m:r>
          <m:rPr>
            <m:sty m:val="p"/>
          </m:rPr>
          <m:t>≥</m:t>
        </m:r>
        <m:r>
          <m:t>0.10</m:t>
        </m:r>
      </m:oMath>
      <w:r>
        <w:t xml:space="preserve">) still fails. Restricted to the 25 confirmed crashes in that cohort, the drop was 0.103 (0.867 to 0.764), which meets the criterion; in the factorial pipeline the window effect was 0.056 [</w:t>
      </w:r>
      <m:oMath>
        <m:r>
          <m:rPr>
            <m:sty m:val="p"/>
          </m:rPr>
          <m:t>−</m:t>
        </m:r>
        <m:r>
          <m:t>0.010</m:t>
        </m:r>
      </m:oMath>
      <w:r>
        <w:t xml:space="preserve">, 0.139] for confirmed crashes against 0.014 [</w:t>
      </w:r>
      <m:oMath>
        <m:r>
          <m:rPr>
            <m:sty m:val="p"/>
          </m:rPr>
          <m:t>−</m:t>
        </m:r>
        <m:r>
          <m:t>0.027</m:t>
        </m:r>
      </m:oMath>
      <w:r>
        <w:t xml:space="preserve">, 0.038] for all, below the declared materiality rule (third robustness audit,</w:t>
      </w:r>
      <w:r>
        <w:t xml:space="preserve"> </w:t>
      </w:r>
      <w:r>
        <w:rPr>
          <w:rStyle w:val="VerbatimChar"/>
        </w:rPr>
        <w:t xml:space="preserve">48c2fa7</w:t>
      </w:r>
      <w:r>
        <w:t xml:space="preserve">). Crash-window leakage may therefore matter for clear crashes; the small overall effect partly reflects how few logs have a clear crash. Within-drone tests on confirmed crashes have only 8–9 drones and are uninformative (rank 0.43, model 0.52).</w:t>
      </w:r>
      <w:r>
        <w:t xml:space="preserve"> </w:t>
      </w:r>
      <m:oMath>
        <m:sSup>
          <m:e>
            <m:r>
              <m:t>​</m:t>
            </m:r>
          </m:e>
          <m:sup>
            <m:r>
              <m:rPr>
                <m:sty m:val="p"/>
              </m:rPr>
              <m:t>†</m:t>
            </m:r>
          </m:sup>
        </m:sSup>
      </m:oMath>
      <w:r>
        <w:t xml:space="preserve">One author then judged, by eye, the traces of 50 randomly drawn crash logs (tilt and altitude around</w:t>
      </w:r>
      <w:r>
        <w:t xml:space="preserve"> </w:t>
      </w:r>
      <m:oMath>
        <m:sSub>
          <m:e>
            <m:r>
              <m:t>t</m:t>
            </m:r>
          </m:e>
          <m:sub>
            <m:r>
              <m:t>c</m:t>
            </m:r>
          </m:sub>
        </m:sSub>
      </m:oMath>
      <w:r>
        <w:t xml:space="preserve">; declared check</w:t>
      </w:r>
      <w:r>
        <w:t xml:space="preserve"> </w:t>
      </w:r>
      <w:r>
        <w:rPr>
          <w:rStyle w:val="VerbatimChar"/>
        </w:rPr>
        <w:t xml:space="preserve">97974ad</w:t>
      </w:r>
      <w:r>
        <w:t xml:space="preserve">, one reviewer, not blind to the automatic label). Of 26 tilt-defined crash moments, 21 were judged correct (11 of the 12 confirmed and 10 of the 14 unconfirmed; the others were mostly too early); of 24 fallback crash moments, 18 showed no crash at all in the log, 2 were correct, 2 too late and 2 unclear. The confirmed rule is therefore precise (11 of 12; exact 95% CI 62–100%) but misses about half the real crashes (11 of 23), and most crash-rated logs without a tilt event do not contain the crash: the rating describes the flight session, not the log.</w:t>
      </w:r>
    </w:p>
    <w:p>
      <w:pPr>
        <w:pStyle w:val="Heading2"/>
      </w:pPr>
      <w:bookmarkStart w:id="47" w:name="_0c9e7e04e6c31fefd3494b28729aa56a3255cc6"/>
      <w:r>
        <w:rPr>
          <w:rStyle w:val="SectionNumber"/>
        </w:rPr>
        <w:t xml:space="preserve">5.4</w:t>
      </w:r>
      <w:r>
        <w:tab/>
      </w:r>
      <w:r>
        <w:t xml:space="preserve">Factorial optimism audit (exploratory)</w:t>
      </w:r>
      <w:bookmarkEnd w:id="47"/>
    </w:p>
    <w:p>
      <w:pPr>
        <w:pStyle w:val="FirstParagraph"/>
      </w:pPr>
      <m:oMath>
        <m:sSup>
          <m:e>
            <m:r>
              <m:t>​</m:t>
            </m:r>
          </m:e>
          <m:sup>
            <m:r>
              <m:rPr>
                <m:sty m:val="p"/>
              </m:rPr>
              <m:t>†</m:t>
            </m:r>
          </m:sup>
        </m:sSup>
      </m:oMath>
      <w:r>
        <w:t xml:space="preserve">The steps of Table 7 change several things at once, and their samples were built with different feature extractors. To find what the crash-vs-normal AUC depends on, we declared a factorial audit after the main analyses (commit</w:t>
      </w:r>
      <w:r>
        <w:t xml:space="preserve"> </w:t>
      </w:r>
      <w:r>
        <w:rPr>
          <w:rStyle w:val="VerbatimChar"/>
        </w:rPr>
        <w:t xml:space="preserve">3c34530</w:t>
      </w:r>
      <w:r>
        <w:t xml:space="preserve">; amended</w:t>
      </w:r>
      <w:r>
        <w:t xml:space="preserve"> </w:t>
      </w:r>
      <w:r>
        <w:rPr>
          <w:rStyle w:val="VerbatimChar"/>
        </w:rPr>
        <w:t xml:space="preserve">f6ba424</w:t>
      </w:r>
      <w:r>
        <w:t xml:space="preserve"> </w:t>
      </w:r>
      <w:r>
        <w:t xml:space="preserve">to a float32 tolerance after its extractor check aborted on rounding differences; run 27 October 2026). Every flight was re-extracted from the raw log by one extractor, and five two-level factors were crossed: crash set (103 multi-history crashes vs. the 67 within-drone crashes), comparison flights (uploader-rated good/great normals vs. unrated flights from drones with no crash-rated log, matched to the within-drone cases on hardware, PX4 version and vehicle type), crash-window cut (</w:t>
      </w:r>
      <m:oMath>
        <m:r>
          <m:t>m</m:t>
        </m:r>
        <m:r>
          <m:rPr>
            <m:sty m:val="p"/>
          </m:rPr>
          <m:t>=</m:t>
        </m:r>
        <m:r>
          <m:t>0</m:t>
        </m:r>
      </m:oMath>
      <w:r>
        <w:t xml:space="preserve"> </w:t>
      </w:r>
      <w:r>
        <w:t xml:space="preserve">vs. 10 s), fold scheme (stratified by flight vs. grouped by vehicle) and window (full flight vs. first 30 s airborne). Normal flights from any crashed vehicle were removed (39 of the 139). Intervals come from one paired two-stage cluster bootstrap (2,000 resamples over crash and control vehicles, models not refitted); a factor was declared material if its share was</w:t>
      </w:r>
      <w:r>
        <w:t xml:space="preserve"> </w:t>
      </w:r>
      <m:oMath>
        <m:r>
          <m:rPr>
            <m:sty m:val="p"/>
          </m:rPr>
          <m:t>≥</m:t>
        </m:r>
        <m:r>
          <m:t>0.05</m:t>
        </m:r>
      </m:oMath>
      <w:r>
        <w:t xml:space="preserve"> </w:t>
      </w:r>
      <w:r>
        <w:t xml:space="preserve">with a 95% interval excluding zero. The declaration passed all abort checks (anchors 0.891 and 0.559; extractor agreement 374/374; label-permutation mean 0.495).</w:t>
      </w:r>
    </w:p>
    <w:p>
      <w:pPr>
        <w:pStyle w:val="BodyText"/>
      </w:pPr>
      <w:r>
        <w:t xml:space="preserve">The declared primary</w:t>
      </w:r>
      <w:r>
        <w:t xml:space="preserve"> </w:t>
      </w:r>
      <m:oMath>
        <m:r>
          <m:t>2</m:t>
        </m:r>
        <m:r>
          <m:rPr>
            <m:sty m:val="p"/>
          </m:rPr>
          <m:t>×</m:t>
        </m:r>
        <m:r>
          <m:t>2</m:t>
        </m:r>
      </m:oMath>
      <w:r>
        <w:t xml:space="preserve"> </w:t>
      </w:r>
      <w:r>
        <w:t xml:space="preserve">(</w:t>
      </w:r>
      <m:oMath>
        <m:r>
          <m:t>m</m:t>
        </m:r>
        <m:r>
          <m:rPr>
            <m:sty m:val="p"/>
          </m:rPr>
          <m:t>=</m:t>
        </m:r>
        <m:r>
          <m:t>10</m:t>
        </m:r>
      </m:oMath>
      <w:r>
        <w:t xml:space="preserve"> s, grouped folds, full window) did not isolate a cause (Table 9): changing the normal flights lowered AUC by 0.094 [</w:t>
      </w:r>
      <m:oMath>
        <m:r>
          <m:rPr>
            <m:sty m:val="p"/>
          </m:rPr>
          <m:t>−</m:t>
        </m:r>
        <m:r>
          <m:t>0.014</m:t>
        </m:r>
      </m:oMath>
      <w:r>
        <w:t xml:space="preserve">, 0.197] and changing the crash set by 0.108 [</w:t>
      </w:r>
      <m:oMath>
        <m:r>
          <m:rPr>
            <m:sty m:val="p"/>
          </m:rPr>
          <m:t>−</m:t>
        </m:r>
        <m:r>
          <m:t>0.037</m:t>
        </m:r>
      </m:oMath>
      <w:r>
        <w:t xml:space="preserve">, 0.224]. Following the pre-declared wording, the AUC depends on the comparison set; the cause is not isolated. On the constant subset (63 and 60 crashes), AUC fell from 0.878 at the most optimistic setting to 0.666 at the most conservative, a drop of 0.212 [0.062, 0.335]. An exact Shapley split assigned 0.062 [0.034, 0.087] of it to vehicle-grouped folds, the only material factor; the effect was concentrated where comparison drones contribute several flights (interaction with comparison set</w:t>
      </w:r>
      <w:r>
        <w:t xml:space="preserve"> </w:t>
      </w:r>
      <m:oMath>
        <m:r>
          <m:rPr>
            <m:sty m:val="p"/>
          </m:rPr>
          <m:t>+</m:t>
        </m:r>
        <m:r>
          <m:t>0.082</m:t>
        </m:r>
      </m:oMath>
      <w:r>
        <w:t xml:space="preserve"> </w:t>
      </w:r>
      <w:r>
        <w:t xml:space="preserve">[0.006, 0.122]), consistent with the regenerated Step 1 of Table 7, where grouping by vehicle lowered the AUC from 0.882 to 0.826. The crash-window cut carried a small but non-zero 0.014 [0.007, 0.023], and the fixed 30 s window carried 0.001. Separation against other aircraft persisted at the most conservative setting (0.666 [0.557, 0.770]); replacing other-aircraft flights by the same drones’ earlier flights at the same settings (first 30 s window,</w:t>
      </w:r>
      <w:r>
        <w:t xml:space="preserve"> </w:t>
      </w:r>
      <m:oMath>
        <m:r>
          <m:t>m</m:t>
        </m:r>
        <m:r>
          <m:rPr>
            <m:sty m:val="p"/>
          </m:rPr>
          <m:t>=</m:t>
        </m:r>
        <m:r>
          <m:t>10</m:t>
        </m:r>
      </m:oMath>
      <w:r>
        <w:t xml:space="preserve"> s, grouped folds) lowered AUC by a further 0.21, from 0.666 to 0.455.</w:t>
      </w:r>
      <w:r>
        <w:t xml:space="preserve"> </w:t>
      </w:r>
      <m:oMath>
        <m:sSup>
          <m:e>
            <m:r>
              <m:t>​</m:t>
            </m:r>
          </m:e>
          <m:sup>
            <m:r>
              <m:rPr>
                <m:sty m:val="p"/>
              </m:rPr>
              <m:t>†</m:t>
            </m:r>
          </m:sup>
        </m:sSup>
      </m:oMath>
      <w:r>
        <w:t xml:space="preserve">On all 67 within-drone crashes with the full window, the paired difference between other-aircraft and own earlier flights is</w:t>
      </w:r>
      <w:r>
        <w:t xml:space="preserve"> </w:t>
      </w:r>
      <m:oMath>
        <m:r>
          <m:rPr>
            <m:sty m:val="p"/>
          </m:rPr>
          <m:t>+</m:t>
        </m:r>
        <m:r>
          <m:t>0.083</m:t>
        </m:r>
      </m:oMath>
      <w:r>
        <w:t xml:space="preserve"> </w:t>
      </w:r>
      <w:r>
        <w:t xml:space="preserve">[</w:t>
      </w:r>
      <m:oMath>
        <m:r>
          <m:rPr>
            <m:sty m:val="p"/>
          </m:rPr>
          <m:t>−</m:t>
        </m:r>
        <m:r>
          <m:t>0.007</m:t>
        </m:r>
      </m:oMath>
      <w:r>
        <w:t xml:space="preserve">, 0.166] (0.623 against 0.539), and</w:t>
      </w:r>
      <w:r>
        <w:t xml:space="preserve"> </w:t>
      </w:r>
      <m:oMath>
        <m:r>
          <m:rPr>
            <m:sty m:val="p"/>
          </m:rPr>
          <m:t>+</m:t>
        </m:r>
        <m:r>
          <m:t>0.113</m:t>
        </m:r>
      </m:oMath>
      <w:r>
        <w:t xml:space="preserve"> </w:t>
      </w:r>
      <w:r>
        <w:t xml:space="preserve">[0.029, 0.212] once earlier flights flown after the crash are removed (0.623 against 0.510, both from the factorial pipeline’s same-aircraft cell; second robustness audit). A fixed 30 s window also did not reproduce the caliper lift within drones (Group-CV 0.455 [0.377, 0.507]); because that window also removes proximity to the crash, it is not a clean test of the masking explanation. One same-drone cell with flight-stratified folds fell below chance (0.393), which we attribute to splitting one drone’s flights across folds and do not interpret.</w:t>
      </w:r>
    </w:p>
    <w:bookmarkStart w:id="48" w:name="_9a7638f5da02df7bc1e91f3d04aa4fe62b352e5"/>
    <w:p>
      <w:pPr>
        <w:pStyle w:val="TableCaption"/>
      </w:pPr>
      <w:r>
        <w:t xml:space="preserve">Table 9.</w:t>
      </w:r>
      <w:r>
        <w:t xml:space="preserve"> </w:t>
      </w:r>
      <m:oMath>
        <m:sSup>
          <m:e>
            <m:r>
              <m:t>​</m:t>
            </m:r>
          </m:e>
          <m:sup>
            <m:r>
              <m:rPr>
                <m:sty m:val="p"/>
              </m:rPr>
              <m:t>†</m:t>
            </m:r>
          </m:sup>
        </m:sSup>
      </m:oMath>
      <w:r>
        <w:t xml:space="preserve">Factorial optimism audit. Top: declared primary</w:t>
      </w:r>
      <w:r>
        <w:t xml:space="preserve"> </w:t>
      </w:r>
      <m:oMath>
        <m:r>
          <m:t>2</m:t>
        </m:r>
        <m:r>
          <m:rPr>
            <m:sty m:val="p"/>
          </m:rPr>
          <m:t>×</m:t>
        </m:r>
        <m:r>
          <m:t>2</m:t>
        </m:r>
      </m:oMath>
      <w:r>
        <w:t xml:space="preserve"> </w:t>
      </w:r>
      <w:r>
        <w:t xml:space="preserve">(103 multi-history and 67 within-drone crashes) (</w:t>
      </w:r>
      <m:oMath>
        <m:r>
          <m:t>m</m:t>
        </m:r>
        <m:r>
          <m:rPr>
            <m:sty m:val="p"/>
          </m:rPr>
          <m:t>=</m:t>
        </m:r>
        <m:r>
          <m:t>10</m:t>
        </m:r>
      </m:oMath>
      <w:r>
        <w:t xml:space="preserve"> s, vehicle-grouped folds, full window). Bottom: exact Shapley split of the 0.212 [0.062, 0.335] AUC drop from the most optimistic to the most conservative other-aircraft setting (constant subset, 63/60 crashes). 95% intervals from a paired two-stage cluster bootstrap.</w:t>
      </w:r>
    </w:p>
    <w:tbl>
      <w:tblPr>
        <w:tblStyle w:val="Table"/>
        <w:tblW w:type="pct" w:w="5000"/>
        <w:tblLook w:firstRow="1" w:lastRow="0" w:firstColumn="0" w:lastColumn="0" w:noHBand="0" w:noVBand="0" w:val="0020"/>
        <w:tblCaption w:val="Table 9. ^\daggerFactorial optimism audit. Top: declared primary 2\times2 (103 multi-history and 67 within-drone crashes) (m=10 s, vehicle-grouped folds, full window). Bottom: exact Shapley split of the 0.212 [0.062, 0.335] AUC drop from the most optimistic to the most conservative other-aircraft setting (constant subset, 63/60 crashes). 95% intervals from a paired two-stage cluster bootstrap."/>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Crashes vs. comparison flights</w:t>
            </w:r>
          </w:p>
        </w:tc>
        <w:tc>
          <w:tcPr/>
          <w:p>
            <w:pPr>
              <w:pStyle w:val="Compact"/>
              <w:spacing w:line="240" w:lineRule="auto"/>
              <w:jc w:val="center"/>
            </w:pPr>
            <w:r>
              <w:rPr>
                <w:sz w:val="19"/>
              </w:rPr>
              <w:t xml:space="preserve">Crashes</w:t>
            </w:r>
          </w:p>
        </w:tc>
        <w:tc>
          <w:tcPr/>
          <w:p>
            <w:pPr>
              <w:pStyle w:val="Compact"/>
              <w:spacing w:line="240" w:lineRule="auto"/>
              <w:jc w:val="center"/>
            </w:pPr>
            <w:r>
              <w:rPr>
                <w:sz w:val="19"/>
              </w:rPr>
              <w:t xml:space="preserve">Comparison</w:t>
            </w:r>
          </w:p>
        </w:tc>
        <w:tc>
          <w:tcPr/>
          <w:p>
            <w:pPr>
              <w:pStyle w:val="Compact"/>
              <w:spacing w:line="240" w:lineRule="auto"/>
              <w:jc w:val="center"/>
            </w:pPr>
            <w:r>
              <w:rPr>
                <w:sz w:val="19"/>
              </w:rPr>
              <w:t xml:space="preserve">AUC [95% CI]</w:t>
            </w:r>
          </w:p>
        </w:tc>
      </w:tr>
      <w:tr>
        <w:tc>
          <w:tcPr/>
          <w:p>
            <w:pPr>
              <w:pStyle w:val="Compact"/>
              <w:spacing w:line="240" w:lineRule="auto"/>
              <w:jc w:val="left"/>
            </w:pPr>
            <w:r>
              <w:rPr>
                <w:sz w:val="19"/>
              </w:rPr>
              <w:t xml:space="preserve">103 vs. rated normals</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0.825 [0.699, 0.908]</w:t>
            </w:r>
          </w:p>
        </w:tc>
      </w:tr>
      <w:tr>
        <w:tc>
          <w:tcPr/>
          <w:p>
            <w:pPr>
              <w:pStyle w:val="Compact"/>
              <w:spacing w:line="240" w:lineRule="auto"/>
              <w:jc w:val="left"/>
            </w:pPr>
            <w:r>
              <w:rPr>
                <w:sz w:val="19"/>
              </w:rPr>
              <w:t xml:space="preserve">103 vs. matched unrated</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0.686 [0.591, 0.777]</w:t>
            </w:r>
          </w:p>
        </w:tc>
      </w:tr>
      <w:tr>
        <w:tc>
          <w:tcPr/>
          <w:p>
            <w:pPr>
              <w:pStyle w:val="Compact"/>
              <w:spacing w:line="240" w:lineRule="auto"/>
              <w:jc w:val="left"/>
            </w:pPr>
            <w:r>
              <w:rPr>
                <w:sz w:val="19"/>
              </w:rPr>
              <w:t xml:space="preserve">67 vs. rated normals</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0.673 [0.540, 0.838]</w:t>
            </w:r>
          </w:p>
        </w:tc>
      </w:tr>
      <w:tr>
        <w:tc>
          <w:tcPr/>
          <w:p>
            <w:pPr>
              <w:pStyle w:val="Compact"/>
              <w:spacing w:line="240" w:lineRule="auto"/>
              <w:jc w:val="left"/>
            </w:pPr>
            <w:r>
              <w:rPr>
                <w:sz w:val="19"/>
              </w:rPr>
              <w:t xml:space="preserve">67 vs. matched unrated</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Factor (optimistic</w:t>
            </w:r>
            <w:r>
              <w:rPr>
                <w:sz w:val="19"/>
              </w:rPr>
              <w:t xml:space="preserve"> </w:t>
            </w:r>
            <m:oMath>
              <m:r>
                <m:rPr>
                  <m:sty m:val="p"/>
                </m:rPr>
                <m:t>→</m:t>
              </m:r>
            </m:oMath>
            <w:r>
              <w:rPr>
                <w:sz w:val="19"/>
              </w:rPr>
              <w:t xml:space="preserve"> </w:t>
            </w:r>
            <w:r>
              <w:rPr>
                <w:sz w:val="19"/>
              </w:rPr>
              <w:t xml:space="preserve">conservative)</w:t>
            </w:r>
          </w:p>
        </w:tc>
        <w:tc>
          <w:tcPr>
            <w:gridSpan w:val="2"/>
          </w:tcPr>
          <w:p>
            <w:pPr>
              <w:pStyle w:val="Compact"/>
              <w:spacing w:line="240" w:lineRule="auto"/>
              <w:jc w:val="center"/>
            </w:pPr>
            <w:r>
              <w:rPr>
                <w:sz w:val="19"/>
              </w:rPr>
              <w:t xml:space="preserve">Shapley share of drop</w:t>
            </w:r>
          </w:p>
        </w:tc>
        <w:tc>
          <w:tcPr/>
          <w:p>
            <w:pPr>
              <w:pStyle w:val="Compact"/>
              <w:spacing w:line="240" w:lineRule="auto"/>
              <w:jc w:val="center"/>
            </w:pPr>
            <w:r>
              <w:rPr>
                <w:sz w:val="19"/>
              </w:rPr>
              <w:t xml:space="preserve">Material</w:t>
            </w:r>
          </w:p>
        </w:tc>
      </w:tr>
      <w:tr>
        <w:tc>
          <w:tcPr/>
          <w:p>
            <w:pPr>
              <w:pStyle w:val="Compact"/>
              <w:spacing w:line="240" w:lineRule="auto"/>
              <w:jc w:val="left"/>
            </w:pPr>
            <w:r>
              <w:rPr>
                <w:sz w:val="19"/>
              </w:rPr>
              <w:t xml:space="preserve">Folds: stratified</w:t>
            </w:r>
            <w:r>
              <w:rPr>
                <w:sz w:val="19"/>
              </w:rPr>
              <w:t xml:space="preserve"> </w:t>
            </w:r>
            <m:oMath>
              <m:r>
                <m:rPr>
                  <m:sty m:val="p"/>
                </m:rPr>
                <m:t>→</m:t>
              </m:r>
            </m:oMath>
            <w:r>
              <w:rPr>
                <w:sz w:val="19"/>
              </w:rPr>
              <w:t xml:space="preserve"> </w:t>
            </w:r>
            <w:r>
              <w:rPr>
                <w:sz w:val="19"/>
              </w:rPr>
              <w:t xml:space="preserve">by vehicle</w:t>
            </w:r>
          </w:p>
        </w:tc>
        <w:tc>
          <w:tcPr>
            <w:gridSpan w:val="2"/>
          </w:tcPr>
          <w:p>
            <w:pPr>
              <w:pStyle w:val="Compact"/>
              <w:spacing w:line="240" w:lineRule="auto"/>
              <w:jc w:val="center"/>
            </w:pPr>
            <w:r>
              <w:rPr>
                <w:sz w:val="19"/>
              </w:rPr>
              <w:t xml:space="preserve">0.062 [0.034, 0.087]</w:t>
            </w:r>
          </w:p>
        </w:tc>
        <w:tc>
          <w:tcPr/>
          <w:p>
            <w:pPr>
              <w:pStyle w:val="Compact"/>
              <w:spacing w:line="240" w:lineRule="auto"/>
              <w:jc w:val="center"/>
            </w:pPr>
            <w:r>
              <w:rPr>
                <w:sz w:val="19"/>
              </w:rPr>
              <w:t xml:space="preserve">Yes</w:t>
            </w:r>
          </w:p>
        </w:tc>
      </w:tr>
      <w:tr>
        <w:tc>
          <w:tcPr/>
          <w:p>
            <w:pPr>
              <w:pStyle w:val="Compact"/>
              <w:spacing w:line="240" w:lineRule="auto"/>
              <w:jc w:val="left"/>
            </w:pPr>
            <w:r>
              <w:rPr>
                <w:sz w:val="19"/>
              </w:rPr>
              <w:t xml:space="preserve">Comparison: rated</w:t>
            </w:r>
            <w:r>
              <w:rPr>
                <w:sz w:val="19"/>
              </w:rPr>
              <w:t xml:space="preserve"> </w:t>
            </w:r>
            <m:oMath>
              <m:r>
                <m:rPr>
                  <m:sty m:val="p"/>
                </m:rPr>
                <m:t>→</m:t>
              </m:r>
            </m:oMath>
            <w:r>
              <w:rPr>
                <w:sz w:val="19"/>
              </w:rPr>
              <w:t xml:space="preserve"> </w:t>
            </w:r>
            <w:r>
              <w:rPr>
                <w:sz w:val="19"/>
              </w:rPr>
              <w:t xml:space="preserve">unrated</w:t>
            </w:r>
          </w:p>
        </w:tc>
        <w:tc>
          <w:tcPr>
            <w:gridSpan w:val="2"/>
          </w:tcPr>
          <w:p>
            <w:pPr>
              <w:pStyle w:val="Compact"/>
              <w:spacing w:line="240" w:lineRule="auto"/>
              <w:jc w:val="center"/>
            </w:pPr>
            <w:r>
              <w:rPr>
                <w:sz w:val="19"/>
              </w:rPr>
              <w:t xml:space="preserve">0.070 [</w:t>
            </w:r>
            <m:oMath>
              <m:r>
                <m:rPr>
                  <m:sty m:val="p"/>
                </m:rPr>
                <m:t>−</m:t>
              </m:r>
              <m:r>
                <m:t>0.033</m:t>
              </m:r>
            </m:oMath>
            <w:r>
              <w:rPr>
                <w:sz w:val="19"/>
              </w:rPr>
              <w:t xml:space="preserve">, 0.157]</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set: 103</w:t>
            </w:r>
            <w:r>
              <w:rPr>
                <w:sz w:val="19"/>
              </w:rPr>
              <w:t xml:space="preserve"> </w:t>
            </w:r>
            <m:oMath>
              <m:r>
                <m:rPr>
                  <m:sty m:val="p"/>
                </m:rPr>
                <m:t>→</m:t>
              </m:r>
            </m:oMath>
            <w:r>
              <w:rPr>
                <w:sz w:val="19"/>
              </w:rPr>
              <w:t xml:space="preserve"> </w:t>
            </w:r>
            <w:r>
              <w:rPr>
                <w:sz w:val="19"/>
              </w:rPr>
              <w:t xml:space="preserve">67</w:t>
            </w:r>
          </w:p>
        </w:tc>
        <w:tc>
          <w:tcPr>
            <w:gridSpan w:val="2"/>
          </w:tcPr>
          <w:p>
            <w:pPr>
              <w:pStyle w:val="Compact"/>
              <w:spacing w:line="240" w:lineRule="auto"/>
              <w:jc w:val="center"/>
            </w:pPr>
            <w:r>
              <w:rPr>
                <w:sz w:val="19"/>
              </w:rPr>
              <w:t xml:space="preserve">0.064 [</w:t>
            </w:r>
            <m:oMath>
              <m:r>
                <m:rPr>
                  <m:sty m:val="p"/>
                </m:rPr>
                <m:t>−</m:t>
              </m:r>
              <m:r>
                <m:t>0.062</m:t>
              </m:r>
            </m:oMath>
            <w:r>
              <w:rPr>
                <w:sz w:val="19"/>
              </w:rPr>
              <w:t xml:space="preserve">, 0.186]</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window:</w:t>
            </w:r>
            <w:r>
              <w:rPr>
                <w:sz w:val="19"/>
              </w:rPr>
              <w:t xml:space="preserve"> </w:t>
            </w:r>
            <m:oMath>
              <m:r>
                <m:t>m</m:t>
              </m:r>
              <m:r>
                <m:rPr>
                  <m:sty m:val="p"/>
                </m:rPr>
                <m:t>=</m:t>
              </m:r>
              <m:r>
                <m:t>0</m:t>
              </m:r>
              <m:r>
                <m:rPr>
                  <m:sty m:val="p"/>
                </m:rPr>
                <m:t>→</m:t>
              </m:r>
              <m:r>
                <m:t>10</m:t>
              </m:r>
            </m:oMath>
            <w:r>
              <w:rPr>
                <w:sz w:val="19"/>
              </w:rPr>
              <w:t xml:space="preserve"> s</w:t>
            </w:r>
          </w:p>
        </w:tc>
        <w:tc>
          <w:tcPr>
            <w:gridSpan w:val="2"/>
          </w:tcPr>
          <w:p>
            <w:pPr>
              <w:pStyle w:val="Compact"/>
              <w:spacing w:line="240" w:lineRule="auto"/>
              <w:jc w:val="center"/>
            </w:pPr>
            <w:r>
              <w:rPr>
                <w:sz w:val="19"/>
              </w:rPr>
              <w:t xml:space="preserve">0.014 [0.007, 0.023]</w:t>
            </w:r>
          </w:p>
        </w:tc>
        <w:tc>
          <w:tcPr/>
          <w:p>
            <w:pPr>
              <w:pStyle w:val="Compact"/>
              <w:spacing w:line="240" w:lineRule="auto"/>
              <w:jc w:val="center"/>
            </w:pPr>
            <w:r>
              <w:rPr>
                <w:sz w:val="19"/>
              </w:rPr>
              <w:t xml:space="preserve">No (</w:t>
            </w:r>
            <m:oMath>
              <m:r>
                <m:rPr>
                  <m:sty m:val="p"/>
                </m:rPr>
                <m:t>&lt;</m:t>
              </m:r>
              <m:r>
                <m:t>0.05</m:t>
              </m:r>
            </m:oMath>
            <w:r>
              <w:rPr>
                <w:sz w:val="19"/>
              </w:rPr>
              <w:t xml:space="preserve">)</w:t>
            </w:r>
          </w:p>
        </w:tc>
      </w:tr>
      <w:tr>
        <w:tc>
          <w:tcPr/>
          <w:p>
            <w:pPr>
              <w:pStyle w:val="Compact"/>
              <w:spacing w:line="240" w:lineRule="auto"/>
              <w:jc w:val="left"/>
            </w:pPr>
            <w:r>
              <w:rPr>
                <w:sz w:val="19"/>
              </w:rPr>
              <w:t xml:space="preserve">Window: full</w:t>
            </w:r>
            <w:r>
              <w:rPr>
                <w:sz w:val="19"/>
              </w:rPr>
              <w:t xml:space="preserve"> </w:t>
            </w:r>
            <m:oMath>
              <m:r>
                <m:rPr>
                  <m:sty m:val="p"/>
                </m:rPr>
                <m:t>→</m:t>
              </m:r>
            </m:oMath>
            <w:r>
              <w:rPr>
                <w:sz w:val="19"/>
              </w:rPr>
              <w:t xml:space="preserve"> </w:t>
            </w:r>
            <w:r>
              <w:rPr>
                <w:sz w:val="19"/>
              </w:rPr>
              <w:t xml:space="preserve">first 30 s</w:t>
            </w:r>
          </w:p>
        </w:tc>
        <w:tc>
          <w:tcPr>
            <w:gridSpan w:val="2"/>
          </w:tcPr>
          <w:p>
            <w:pPr>
              <w:pStyle w:val="Compact"/>
              <w:spacing w:line="240" w:lineRule="auto"/>
              <w:jc w:val="center"/>
            </w:pPr>
            <w:r>
              <w:rPr>
                <w:sz w:val="19"/>
              </w:rPr>
              <w:t xml:space="preserve">0.001 [</w:t>
            </w:r>
            <m:oMath>
              <m:r>
                <m:rPr>
                  <m:sty m:val="p"/>
                </m:rPr>
                <m:t>−</m:t>
              </m:r>
              <m:r>
                <m:t>0.031</m:t>
              </m:r>
            </m:oMath>
            <w:r>
              <w:rPr>
                <w:sz w:val="19"/>
              </w:rPr>
              <w:t xml:space="preserve">, 0.034]</w:t>
            </w:r>
          </w:p>
        </w:tc>
        <w:tc>
          <w:tcPr/>
          <w:p>
            <w:pPr>
              <w:pStyle w:val="Compact"/>
              <w:spacing w:line="240" w:lineRule="auto"/>
              <w:jc w:val="center"/>
            </w:pPr>
            <w:r>
              <w:rPr>
                <w:sz w:val="19"/>
              </w:rPr>
              <w:t xml:space="preserve">No</w:t>
            </w:r>
          </w:p>
        </w:tc>
      </w:tr>
    </w:tbl>
    <w:bookmarkEnd w:id="48"/>
    <w:p>
      <w:pPr>
        <w:pStyle w:val="Heading2"/>
      </w:pPr>
      <w:bookmarkStart w:id="49" w:name="_7d36f114b9234da3ba56cdf6e68d941cb747d23"/>
      <w:r>
        <w:rPr>
          <w:rStyle w:val="SectionNumber"/>
        </w:rPr>
        <w:t xml:space="preserve">5.5</w:t>
      </w:r>
      <w:r>
        <w:tab/>
      </w:r>
      <w:r>
        <w:t xml:space="preserve">Within the same drone and between drones (Q3b, Q3c)</w:t>
      </w:r>
      <w:bookmarkEnd w:id="49"/>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w:t>
      </w:r>
      <w:r>
        <w:t xml:space="preserve"> </w:t>
      </w:r>
      <m:oMath>
        <m:sSup>
          <m:e>
            <m:r>
              <m:t>​</m:t>
            </m:r>
          </m:e>
          <m:sup>
            <m:r>
              <m:rPr>
                <m:sty m:val="p"/>
              </m:rPr>
              <m:t>†</m:t>
            </m:r>
          </m:sup>
        </m:sSup>
      </m:oMath>
      <w:r>
        <w:t xml:space="preserve">The vibration</w:t>
      </w:r>
      <w:r>
        <w:t xml:space="preserve"> </w:t>
      </w:r>
      <m:oMath>
        <m:r>
          <m:t>p</m:t>
        </m:r>
      </m:oMath>
      <w:r>
        <w:t xml:space="preserve">-value treats the 60 sets as independent, but they come from 40 crashed airframes (11 crashed more than once) and reuse 17 controls. A two-stage bootstrap that resamples crashed and control airframes, counting a drone drawn twice twice, gives mean rank 0.66 [0.50, 0.81]; its null-shifted one-sided</w:t>
      </w:r>
      <w:r>
        <w:t xml:space="preserve"> </w:t>
      </w:r>
      <m:oMath>
        <m:r>
          <m:t>p</m:t>
        </m:r>
      </m:oMath>
      <w:r>
        <w:t xml:space="preserve"> </w:t>
      </w:r>
      <w:r>
        <w:t xml:space="preserve">(the share of resamples at or above</w:t>
      </w:r>
      <w:r>
        <w:t xml:space="preserve"> </w:t>
      </w:r>
      <m:oMath>
        <m:r>
          <m:t>2</m:t>
        </m:r>
        <m:acc>
          <m:accPr>
            <m:chr m:val="‾"/>
          </m:accPr>
          <m:e>
            <m:r>
              <m:t>r</m:t>
            </m:r>
          </m:e>
        </m:acc>
        <m:r>
          <m:rPr>
            <m:sty m:val="p"/>
          </m:rPr>
          <m:t>−</m:t>
        </m:r>
        <m:r>
          <m:t>0.5</m:t>
        </m:r>
      </m:oMath>
      <w:r>
        <w:t xml:space="preserve">) is 0.012, or 0.08 after Holm adjustment over the seven tests, and the percentile method (share of resamples at or below 0.5) gives 0.025. Keeping one set per crashed airframe (1,000 random choices of 40 independent sets) gives median mean rank 0.66 and median exact</w:t>
      </w:r>
      <w:r>
        <w:t xml:space="preserve"> </w:t>
      </w:r>
      <m:oMath>
        <m:r>
          <m:t>p</m:t>
        </m:r>
        <m:r>
          <m:rPr>
            <m:sty m:val="p"/>
          </m:rPr>
          <m:t>=</m:t>
        </m:r>
        <m:r>
          <m:t>0.012</m:t>
        </m:r>
      </m:oMath>
      <w:r>
        <w:t xml:space="preserve">, with</w:t>
      </w:r>
      <w:r>
        <w:t xml:space="preserve"> </w:t>
      </w:r>
      <m:oMath>
        <m:r>
          <m:t>p</m:t>
        </m:r>
        <m:r>
          <m:rPr>
            <m:sty m:val="p"/>
          </m:rPr>
          <m:t>&lt;</m:t>
        </m:r>
        <m:r>
          <m:t>0.025</m:t>
        </m:r>
      </m:oMath>
      <w:r>
        <w:t xml:space="preserve"> </w:t>
      </w:r>
      <w:r>
        <w:t xml:space="preserve">in 79% of choices. The rule declared before this analysis (commit</w:t>
      </w:r>
      <w:r>
        <w:t xml:space="preserve"> </w:t>
      </w:r>
      <w:r>
        <w:rPr>
          <w:rStyle w:val="VerbatimChar"/>
        </w:rPr>
        <w:t xml:space="preserve">6fff27d</w:t>
      </w:r>
      <w:r>
        <w:t xml:space="preserve">) called the result supported only if the clustered</w:t>
      </w:r>
      <w:r>
        <w:t xml:space="preserve"> </w:t>
      </w:r>
      <m:oMath>
        <m:r>
          <m:t>p</m:t>
        </m:r>
      </m:oMath>
      <w:r>
        <w:t xml:space="preserve"> </w:t>
      </w:r>
      <w:r>
        <w:t xml:space="preserve">was below 0.025 and its Holm-adjusted value below 0.05; it fails the second part, so we describe the result as suggestive rather than supported (an earlier two-stage interval, [0.536, 0.789], counted each resampled drone only once).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 which treats the sets as independent;</w:t>
      </w:r>
      <w:r>
        <w:t xml:space="preserve"> </w:t>
      </w:r>
      <m:oMath>
        <m:sSup>
          <m:e>
            <m:r>
              <m:t>​</m:t>
            </m:r>
          </m:e>
          <m:sup>
            <m:r>
              <m:rPr>
                <m:sty m:val="p"/>
              </m:rPr>
              <m:t>†</m:t>
            </m:r>
          </m:sup>
        </m:sSup>
      </m:oMath>
      <w:r>
        <w:t xml:space="preserve">with one set per crashed airframe the median share is 55% and the median</w:t>
      </w:r>
      <w:r>
        <w:t xml:space="preserve"> </w:t>
      </w:r>
      <m:oMath>
        <m:r>
          <m:t>p</m:t>
        </m:r>
      </m:oMath>
      <w:r>
        <w:t xml:space="preserve"> </w:t>
      </w:r>
      <w:r>
        <w:t xml:space="preserve">0.031).</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 4.42–4.50</w:t>
      </w:r>
      <m:oMath>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2.90% (95% CI 1.57–4.63%; nominal formula</w:t>
      </w:r>
      <w:r>
        <w:t xml:space="preserve"> </w:t>
      </w:r>
      <m:oMath>
        <m:r>
          <m:rPr>
            <m:nor/>
          </m:rPr>
          <m:t>Sens</m:t>
        </m:r>
        <m:r>
          <m:rPr>
            <m:sty m:val="p"/>
          </m:rPr>
          <m:t>×</m:t>
        </m:r>
        <m:r>
          <m:t>π</m:t>
        </m:r>
        <m:r>
          <m:rPr>
            <m:sty m:val="p"/>
          </m:rPr>
          <m:t>/</m:t>
        </m:r>
        <m:r>
          <m:t>0.05</m:t>
        </m:r>
      </m:oMath>
      <w:r>
        <w:t xml:space="preserve"> </w:t>
      </w:r>
      <w:r>
        <w:t xml:space="preserve">yields 2.96%), a lift of</w:t>
      </w:r>
      <w:r>
        <w:t xml:space="preserve"> </w:t>
      </w:r>
      <m:oMath>
        <m:r>
          <m:t>3.91</m:t>
        </m:r>
        <m:r>
          <m:rPr>
            <m:sty m:val="p"/>
          </m:rPr>
          <m:t>×</m:t>
        </m:r>
      </m:oMath>
      <w:r>
        <w:t xml:space="preserve"> </w:t>
      </w:r>
      <w:r>
        <w:t xml:space="preserve">over base rate, and 34.5 inspections per detected crash (nominal 33.7).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74.4</m:t>
        </m:r>
        <m:r>
          <m:rPr>
            <m:sty m:val="p"/>
          </m:rPr>
          <m:t>%</m:t>
        </m:r>
      </m:oMath>
      <w:r>
        <w:t xml:space="preserve"> </w:t>
      </w:r>
      <w:r>
        <w:t xml:space="preserve">at a 5% false-alarm rate, which the observed ROC does not reach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53" w:name="_9361c5dba1dea8da31b0aed692bc5b019a98a7f"/>
    <w:p>
      <w:pPr>
        <w:pStyle w:val="CaptionedFigure"/>
        <w:jc w:val="center"/>
      </w:pPr>
      <w:r>
        <w:drawing>
          <wp:inline>
            <wp:extent cx="4160520" cy="2384920"/>
            <wp:effectExtent b="0" l="0" r="0" t="0"/>
            <wp:docPr descr="" title="" id="51" name="Picture"/>
            <a:graphic>
              <a:graphicData uri="http://schemas.openxmlformats.org/drawingml/2006/picture">
                <pic:pic>
                  <pic:nvPicPr>
                    <pic:cNvPr descr="fig_within_between.png" id="52" name="Picture"/>
                    <pic:cNvPicPr>
                      <a:picLocks noChangeArrowheads="1" noChangeAspect="1"/>
                    </pic:cNvPicPr>
                  </pic:nvPicPr>
                  <pic:blipFill>
                    <a:blip r:embed="rId50"/>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53"/>
    <w:p>
      <w:pPr>
        <w:pStyle w:val="FirstParagraph"/>
      </w:pPr>
      <w:r>
        <w:rPr>
          <w:b/>
          <w:bCs/>
        </w:rPr>
        <w:t xml:space="preserve">Flights flown after the crash in the within-drone samples</w:t>
      </w:r>
      <m:oMath>
        <m:sSup>
          <m:e>
            <m:r>
              <m:t>​</m:t>
            </m:r>
          </m:e>
          <m:sup>
            <m:r>
              <m:rPr>
                <m:sty m:val="p"/>
              </m:rPr>
              <m:t>†</m:t>
            </m:r>
          </m:sup>
        </m:sSup>
      </m:oMath>
      <w:r>
        <w:rPr>
          <w:b/>
          <w:bCs/>
        </w:rPr>
        <w:t xml:space="preserve">.</w:t>
      </w:r>
      <w:r>
        <w:t xml:space="preserve"> </w:t>
      </w:r>
      <w:bookmarkStart w:id="54" w:name="_6685fc96ed8b4c9a45ed703c41398c155fb9a1d"/>
      <w:bookmarkEnd w:id="54"/>
      <w:r>
        <w:t xml:space="preserve"> </w:t>
      </w:r>
      <w:r>
        <w:t xml:space="preserve">The within-drone selection kept up to five earlier flights per crash that were dated on or before the crash day (475 flights for 101 crashes); 305 of them had usable features in the 67 analysed drones. A declared audit (commit</w:t>
      </w:r>
      <w:r>
        <w:t xml:space="preserve"> </w:t>
      </w:r>
      <w:r>
        <w:rPr>
          <w:rStyle w:val="VerbatimChar"/>
        </w:rPr>
        <w:t xml:space="preserve">0d38f5d</w:t>
      </w:r>
      <w:r>
        <w:t xml:space="preserve">) compared GPS UTC start times for the 217 crash-day entries (210 distinct flights, because a drone that crashed more than once lists some flights twice): 107 preceded the crash, 85 followed it and 18 had no usable GPS time; 29 crashes had at least one following flight. Removing the following flights removed 78 of the 305 analysed flights (the other 7 had no usable features). Without them, the within-drone rank tests still showed no warning (vibration</w:t>
      </w:r>
      <w:r>
        <w:t xml:space="preserve"> </w:t>
      </w:r>
      <m:oMath>
        <m:acc>
          <m:accPr>
            <m:chr m:val="‾"/>
          </m:accPr>
          <m:e>
            <m:r>
              <m:t>r</m:t>
            </m:r>
          </m:e>
        </m:acc>
        <m:r>
          <m:rPr>
            <m:sty m:val="p"/>
          </m:rPr>
          <m:t>=</m:t>
        </m:r>
        <m:r>
          <m:t>0.488</m:t>
        </m:r>
      </m:oMath>
      <w:r>
        <w:t xml:space="preserve">,</w:t>
      </w:r>
      <w:r>
        <w:t xml:space="preserve"> </w:t>
      </w:r>
      <m:oMath>
        <m:r>
          <m:t>p</m:t>
        </m:r>
        <m:r>
          <m:rPr>
            <m:sty m:val="p"/>
          </m:rPr>
          <m:t>=</m:t>
        </m:r>
        <m:r>
          <m:t>0.60</m:t>
        </m:r>
      </m:oMath>
      <w:r>
        <w:t xml:space="preserve">, 44 drones; rate tracking</w:t>
      </w:r>
      <w:r>
        <w:t xml:space="preserve"> </w:t>
      </w:r>
      <m:oMath>
        <m:acc>
          <m:accPr>
            <m:chr m:val="‾"/>
          </m:accPr>
          <m:e>
            <m:r>
              <m:t>r</m:t>
            </m:r>
          </m:e>
        </m:acc>
        <m:r>
          <m:rPr>
            <m:sty m:val="p"/>
          </m:rPr>
          <m:t>=</m:t>
        </m:r>
        <m:r>
          <m:t>0.551</m:t>
        </m:r>
      </m:oMath>
      <w:r>
        <w:t xml:space="preserve">,</w:t>
      </w:r>
      <w:r>
        <w:t xml:space="preserve"> </w:t>
      </w:r>
      <m:oMath>
        <m:r>
          <m:t>p</m:t>
        </m:r>
        <m:r>
          <m:rPr>
            <m:sty m:val="p"/>
          </m:rPr>
          <m:t>=</m:t>
        </m:r>
        <m:r>
          <m:t>0.21</m:t>
        </m:r>
      </m:oMath>
      <w:r>
        <w:t xml:space="preserve">, 30 drones); the within-drone model gave 0.582 [0.525, 0.660] on stored features (57 drones, 227 earlier flights) but 0.507 [0.436, 0.582] on recomputed features; and the duration-caliper lift (Section 5.3) was no longer clearly distinguishable from zero. Removing the 18 undated flights as well changed none of these conclusions (</w:t>
      </w:r>
      <w:r>
        <w:rPr>
          <w:rStyle w:val="VerbatimChar"/>
        </w:rPr>
        <w:t xml:space="preserve">postcrash_audit.md</w:t>
      </w:r>
      <w:r>
        <w:t xml:space="preserve">).</w:t>
      </w:r>
    </w:p>
    <w:p>
      <w:pPr>
        <w:pStyle w:val="Heading2"/>
      </w:pPr>
      <w:bookmarkStart w:id="55" w:name="_c68dcf7b88a01fcf500c8e00d7b03511ec2fbc1"/>
      <w:r>
        <w:rPr>
          <w:rStyle w:val="SectionNumber"/>
        </w:rPr>
        <w:t xml:space="preserve">5.6</w:t>
      </w:r>
      <w:r>
        <w:tab/>
      </w:r>
      <w:r>
        <w:t xml:space="preserve">Robustness of the between-drone result (exploratory)</w:t>
      </w:r>
      <w:bookmarkEnd w:id="55"/>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w:t>
      </w:r>
      <w:r>
        <w:t xml:space="preserve"> </w:t>
      </w:r>
      <m:oMath>
        <m:sSup>
          <m:e>
            <m:r>
              <m:t>​</m:t>
            </m:r>
          </m:e>
          <m:sup>
            <m:r>
              <m:rPr>
                <m:sty m:val="p"/>
              </m:rPr>
              <m:t>†</m:t>
            </m:r>
          </m:sup>
        </m:sSup>
      </m:oMath>
      <w:r>
        <w:t xml:space="preserve">An earlier check of this ordering compared calendar dates only and could not detect a same-day flight flown after the crash. A declared check of GPS UTC start times (flight-order audit, commit</w:t>
      </w:r>
      <w:r>
        <w:t xml:space="preserve"> </w:t>
      </w:r>
      <w:r>
        <w:rPr>
          <w:rStyle w:val="VerbatimChar"/>
        </w:rPr>
        <w:t xml:space="preserve">0e26db0</w:t>
      </w:r>
      <w:r>
        <w:t xml:space="preserve">, amended</w:t>
      </w:r>
      <w:r>
        <w:t xml:space="preserve"> </w:t>
      </w:r>
      <w:r>
        <w:rPr>
          <w:rStyle w:val="VerbatimChar"/>
        </w:rPr>
        <w:t xml:space="preserve">187f570</w:t>
      </w:r>
      <w:r>
        <w:t xml:space="preserve">) found that of 95 distinct crash-day exposure flights in 39 of the 60 sets, 38 preceded the crash, 47 followed it and 10 had no usable GPS time. Removing the 47 later flights left 43 sets with mean scaled rank 0.698 (</w:t>
      </w:r>
      <m:oMath>
        <m:r>
          <m:t>p</m:t>
        </m:r>
        <m:r>
          <m:rPr>
            <m:sty m:val="p"/>
          </m:rPr>
          <m:t>=</m:t>
        </m:r>
        <m:r>
          <m:t>0.0021</m:t>
        </m:r>
      </m:oMath>
      <w:r>
        <w:t xml:space="preserve">); also removing the 10 undated flights left 39 sets with 0.718 (</w:t>
      </w:r>
      <m:oMath>
        <m:r>
          <m:t>p</m:t>
        </m:r>
        <m:r>
          <m:rPr>
            <m:sty m:val="p"/>
          </m:rPr>
          <m:t>=</m:t>
        </m:r>
        <m:r>
          <m:t>0.0014</m:t>
        </m:r>
      </m:oMath>
      <w:r>
        <w:t xml:space="preserve">). The between-drone result therefore does not depend on post-crash flights, but the declared test did include them. The within-drone selection used the same date rule; the audit of those samples is reported in Section 5.5. The same-day pattern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two-stage cluster bootstrap resampling both case airframes (</w:t>
      </w:r>
      <m:oMath>
        <m:r>
          <m:t>n</m:t>
        </m:r>
        <m:r>
          <m:rPr>
            <m:sty m:val="p"/>
          </m:rPr>
          <m:t>=</m:t>
        </m:r>
        <m:r>
          <m:t>40</m:t>
        </m:r>
      </m:oMath>
      <w:r>
        <w:t xml:space="preserve">; the 60 sets come from 40 drones, 11 of which crashed more than once) and unique control airframes (</w:t>
      </w:r>
      <m:oMath>
        <m:r>
          <m:t>n</m:t>
        </m:r>
        <m:r>
          <m:rPr>
            <m:sty m:val="p"/>
          </m:rPr>
          <m:t>=</m:t>
        </m:r>
        <m:r>
          <m:t>94</m:t>
        </m:r>
      </m:oMath>
      <w:r>
        <w:t xml:space="preserve">) across 2,000 resamples: an earlier version of that bootstrap counted each resampled drone only once and gave [0.536, 0.789]; counted correctly, the interval is [0.50, 0.81] and the one-sided</w:t>
      </w:r>
      <w:r>
        <w:t xml:space="preserve"> </w:t>
      </w:r>
      <m:oMath>
        <m:r>
          <m:t>p</m:t>
        </m:r>
      </m:oMath>
      <w:r>
        <w:t xml:space="preserve"> </w:t>
      </w:r>
      <w:r>
        <w:t xml:space="preserve">is 0.012 (see above).</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though this heterogeneity test is underpowered given the sample sizes (</w:t>
      </w:r>
      <m:oMath>
        <m:r>
          <m:t>n</m:t>
        </m:r>
        <m:r>
          <m:rPr>
            <m:sty m:val="p"/>
          </m:rPr>
          <m:t>=</m:t>
        </m:r>
        <m:r>
          <m:t>19</m:t>
        </m:r>
      </m:oMath>
      <w:r>
        <w:t xml:space="preserve"> </w:t>
      </w:r>
      <w:r>
        <w:t xml:space="preserve">vs. </w:t>
      </w:r>
      <m:oMath>
        <m:r>
          <m:t>48</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59" w:name="_f3665d09ec22ddd60812b28fa68e496f60eecb2"/>
    <w:p>
      <w:pPr>
        <w:pStyle w:val="CaptionedFigure"/>
        <w:jc w:val="center"/>
      </w:pPr>
      <w:r>
        <w:drawing>
          <wp:inline>
            <wp:extent cx="4160520" cy="2531605"/>
            <wp:effectExtent b="0" l="0" r="0" t="0"/>
            <wp:docPr descr="" title="" id="57" name="Picture"/>
            <a:graphic>
              <a:graphicData uri="http://schemas.openxmlformats.org/drawingml/2006/picture">
                <pic:pic>
                  <pic:nvPicPr>
                    <pic:cNvPr descr="fig_robustness.png" id="58" name="Picture"/>
                    <pic:cNvPicPr>
                      <a:picLocks noChangeArrowheads="1" noChangeAspect="1"/>
                    </pic:cNvPicPr>
                  </pic:nvPicPr>
                  <pic:blipFill>
                    <a:blip r:embed="rId56"/>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 These</w:t>
      </w:r>
      <w:r>
        <w:t xml:space="preserve"> </w:t>
      </w:r>
      <m:oMath>
        <m:r>
          <m:t>p</m:t>
        </m:r>
      </m:oMath>
      <w:r>
        <w:t xml:space="preserve">-values treat sets as independent.</w:t>
      </w:r>
      <w:r>
        <w:t xml:space="preserve"> </w:t>
      </w:r>
      <m:oMath>
        <m:sSup>
          <m:e>
            <m:r>
              <m:t>​</m:t>
            </m:r>
          </m:e>
          <m:sup>
            <m:r>
              <m:rPr>
                <m:sty m:val="p"/>
              </m:rPr>
              <m:t>†</m:t>
            </m:r>
          </m:sup>
        </m:sSup>
      </m:oMath>
      <w:r>
        <w:t xml:space="preserve">With one set per crashed airframe, median</w:t>
      </w:r>
      <w:r>
        <w:t xml:space="preserve"> </w:t>
      </w:r>
      <m:oMath>
        <m:r>
          <m:t>p</m:t>
        </m:r>
      </m:oMath>
      <w:r>
        <w:t xml:space="preserve"> </w:t>
      </w:r>
      <w:r>
        <w:t xml:space="preserve">is 0.026 (S1), 0.023 (S2), 0.019 (older estimator metric), 0.28 (newer accelerometer metric), 0.019 and 0.014 (GPS-ordered variants); S8 was not re-run and remains unclustered.</w:t>
      </w:r>
    </w:p>
    <w:bookmarkEnd w:id="59"/>
    <w:p>
      <w:pPr>
        <w:pStyle w:val="Heading2"/>
      </w:pPr>
      <w:bookmarkStart w:id="60" w:name="_440012d4f1ae87c72168f87fd4eb66e49627717"/>
      <w:r>
        <w:rPr>
          <w:rStyle w:val="SectionNumber"/>
        </w:rPr>
        <w:t xml:space="preserve">5.7</w:t>
      </w:r>
      <w:r>
        <w:tab/>
      </w:r>
      <w:r>
        <w:t xml:space="preserve">Expert diagnoses (Q4)</w:t>
      </w:r>
      <w:bookmarkEnd w:id="60"/>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10 (12 tuning, 5 vibration, 5 GPS, 9 motor, 4 battery).</w:t>
      </w:r>
    </w:p>
    <w:p>
      <w:pPr>
        <w:pStyle w:val="BodyText"/>
      </w:pPr>
      <w:r>
        <w:t xml:space="preserve">Table 10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The tuning check itself is defined as rate-tracking RMS above 0.30 rad/s, a quantity that loss of control raises by definition, so its drop shows that this one rule-based check depends on the crash window rather than measuring a general leakage effect.</w:t>
      </w:r>
      <w:r>
        <w:t xml:space="preserve"> </w:t>
      </w:r>
      <m:oMath>
        <m:sSup>
          <m:e>
            <m:r>
              <m:t>​</m:t>
            </m:r>
          </m:e>
          <m:sup>
            <m:r>
              <m:rPr>
                <m:sty m:val="p"/>
              </m:rPr>
              <m:t>†</m:t>
            </m:r>
          </m:sup>
        </m:sSup>
      </m:oMath>
      <w:r>
        <w:t xml:space="preserve">Its drop was also not clearly larger than the normal-flight drop: among flights that fired at the full window and could be scored at both cut-offs, crash logs lost firing in 6 of 7 and normal flights in 4 of 11 (one-sided Fisher exact</w:t>
      </w:r>
      <w:r>
        <w:t xml:space="preserve"> </w:t>
      </w:r>
      <m:oMath>
        <m:r>
          <m:t>p</m:t>
        </m:r>
        <m:r>
          <m:rPr>
            <m:sty m:val="p"/>
          </m:rPr>
          <m:t>=</m:t>
        </m:r>
        <m:r>
          <m:t>0.057</m:t>
        </m:r>
      </m:oMath>
      <w:r>
        <w:t xml:space="preserv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the rate-tracking check depended on the crash window,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on the two recalls; exact 95% intervals for the recalls themselves are 37.7–73.6% for aircraft, 18 of 32, and 0.5–71.6% for pilot, 1 of 5). The interval contains chance (0.50) and lies below 0.70, the pass mark declared for the rule on uploader labels (not for this expert set), so the rule probably falls below that mark here but cannot be separated from chance.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61" w:name="_83343f61327e522fa9ffc9aa8f722d134b07ff7"/>
    <w:p>
      <w:pPr>
        <w:pStyle w:val="TableCaption"/>
      </w:pPr>
      <w:r>
        <w:t xml:space="preserve">Table 10.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10.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61"/>
    <w:bookmarkStart w:id="65" w:name="_c0d72e502cb8722b270509e9f977263b14fe2c0"/>
    <w:p>
      <w:pPr>
        <w:pStyle w:val="CaptionedFigure"/>
        <w:jc w:val="center"/>
      </w:pPr>
      <w:r>
        <w:drawing>
          <wp:inline>
            <wp:extent cx="4160520" cy="2603928"/>
            <wp:effectExtent b="0" l="0" r="0" t="0"/>
            <wp:docPr descr="" title="" id="63" name="Picture"/>
            <a:graphic>
              <a:graphicData uri="http://schemas.openxmlformats.org/drawingml/2006/picture">
                <pic:pic>
                  <pic:nvPicPr>
                    <pic:cNvPr descr="fig_forum_causes.png" id="64" name="Picture"/>
                    <pic:cNvPicPr>
                      <a:picLocks noChangeArrowheads="1" noChangeAspect="1"/>
                    </pic:cNvPicPr>
                  </pic:nvPicPr>
                  <pic:blipFill>
                    <a:blip r:embed="rId62"/>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5"/>
    <w:p>
      <w:pPr>
        <w:pStyle w:val="Heading2"/>
      </w:pPr>
      <w:bookmarkStart w:id="66" w:name="_fb365ced420b86c8cd60024101a350b346a0a31"/>
      <w:r>
        <w:rPr>
          <w:rStyle w:val="SectionNumber"/>
        </w:rPr>
        <w:t xml:space="preserve">5.8</w:t>
      </w:r>
      <w:r>
        <w:tab/>
      </w:r>
      <w:r>
        <w:t xml:space="preserve">Exploratory evaluation of language-model review panels (preliminary)</w:t>
      </w:r>
      <w:bookmarkEnd w:id="66"/>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11).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67" w:name="_e9a1c7ab9cd062877714c77f2a5f253f301b820"/>
    <w:p>
      <w:pPr>
        <w:pStyle w:val="TableCaption"/>
      </w:pPr>
      <w:r>
        <w:t xml:space="preserve">Table 11.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11.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7"/>
    <w:p>
      <w:pPr>
        <w:pStyle w:val="FirstParagraph"/>
      </w:pPr>
      <m:oMath>
        <m:sSup>
          <m:e>
            <m:r>
              <m:t>​</m:t>
            </m:r>
          </m:e>
          <m:sup>
            <m:r>
              <m:t>a</m:t>
            </m:r>
          </m:sup>
        </m:sSup>
      </m:oMath>
      <w:r>
        <w:t xml:space="preserve">Answered only on the 10 no-cause cases where abstention coincided with the ground truth; 0% coverage on active causes.</w:t>
      </w:r>
    </w:p>
    <w:p>
      <w:pPr>
        <w:pStyle w:val="Heading2"/>
      </w:pPr>
      <w:bookmarkStart w:id="68" w:name="_000b339d75a155a848ca0c43e54b0b02b7b82d8"/>
      <w:r>
        <w:rPr>
          <w:rStyle w:val="SectionNumber"/>
        </w:rPr>
        <w:t xml:space="preserve">5.9</w:t>
      </w:r>
      <w:r>
        <w:tab/>
      </w:r>
      <w:r>
        <w:t xml:space="preserve">Exploratory analyses added after the declared protocol</w:t>
      </w:r>
      <w:bookmarkEnd w:id="68"/>
    </w:p>
    <w:p>
      <w:pPr>
        <w:pStyle w:val="FirstParagraph"/>
      </w:pPr>
      <w:r>
        <w:t xml:space="preserve">To preserve the boundary between pre-declared confirmatory hypotheses (committed to version control on 20–24 October 2026; Table 4) and exploratory analyses added after the declared protocol</w:t>
      </w:r>
      <w:r>
        <w:t xml:space="preserve"> </w:t>
      </w:r>
      <w:r>
        <w:t xml:space="preserve">[</w:t>
      </w:r>
      <w:hyperlink w:anchor="_f6e66cea9a1ea78573b548bc5cf8461c81300ca">
        <w:r>
          <w:rPr>
            <w:rStyle w:val="Hyperlink"/>
          </w:rPr>
          <w:t xml:space="preserve">36</w:t>
        </w:r>
      </w:hyperlink>
      <w:r>
        <w:t xml:space="preserve">]</w:t>
      </w:r>
      <w:r>
        <w:t xml:space="preserve">, Table 12 documents each such analysis, its motivation, key results, git commit hash, first archive date in Software Heritage, and analysis run date. They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69" w:name="_fb475224272a447d57b77f14dfc8774bb10ba7c"/>
    <w:p>
      <w:pPr>
        <w:pStyle w:val="TableCaption"/>
      </w:pPr>
      <w:r>
        <w:t xml:space="preserve">Exploratory analyses added after the declared protocol, their motivation, key results, git commit hashes, the four commits archived in Software Heritage on 25 October 2026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 Later commits are not yet archived.</w:t>
      </w:r>
    </w:p>
    <w:tbl>
      <w:tblPr>
        <w:tblStyle w:val="Table"/>
        <w:tblW w:type="pct" w:w="5000"/>
        <w:tblLook w:firstRow="1" w:lastRow="0" w:firstColumn="0" w:lastColumn="0" w:noHBand="0" w:noVBand="0" w:val="0020"/>
        <w:tblCaption w:val="Exploratory analyses added after the declared protocol, their motivation, key results, git commit hashes, the four commits archived in Software Heritage on 25 October 2026 (swh:1:rev:bad06ff1256865c7e63d44389aac174e0281291d, swh:1:rev:bbdd0420de4547ac7d67b84165292a46237b604d, swh:1:rev:624dd694e0d207dd9c44b1c9550faaf04453bc56, and swh:1:rev:3a9aa89417fa9ea2a2334e3a4794e2358fb713ee), and analysis run dates. Later commits are not yet archived."/>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1,000-permutation null (Task B)</w:t>
            </w:r>
            <m:oMath>
              <m:sSup>
                <m:e>
                  <m:r>
                    <m:t>​</m:t>
                  </m:r>
                </m:e>
                <m:sup>
                  <m:r>
                    <m:rPr>
                      <m:sty m:val="p"/>
                    </m:rPr>
                    <m:t>†</m:t>
                  </m:r>
                </m:sup>
              </m:sSup>
            </m:oMath>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 superseded by the refit permutation null (upper bounds</w:t>
            </w:r>
            <w:r>
              <w:rPr>
                <w:sz w:val="19"/>
              </w:rPr>
              <w:t xml:space="preserve"> </w:t>
            </w:r>
            <m:oMath>
              <m:r>
                <m:rPr>
                  <m:sty m:val="p"/>
                </m:rPr>
                <m:t>≤</m:t>
              </m:r>
              <m:r>
                <m:t>0.69</m:t>
              </m:r>
            </m:oMath>
            <w:r>
              <w:rPr>
                <w:sz w:val="19"/>
              </w:rPr>
              <w:t xml:space="preserve">, MDE 0.72)</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Depth-1 decision stumps (Task B)</w:t>
            </w:r>
            <m:oMath>
              <m:sSup>
                <m:e>
                  <m:r>
                    <m:t>​</m:t>
                  </m:r>
                </m:e>
                <m:sup>
                  <m:r>
                    <m:rPr>
                      <m:sty m:val="p"/>
                    </m:rPr>
                    <m:t>†</m:t>
                  </m:r>
                </m:sup>
              </m:sSup>
            </m:oMath>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 superseded by the refit null (0.447 and 0.481)</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Constant-subset leak curve</w:t>
            </w:r>
            <m:oMath>
              <m:sSup>
                <m:e>
                  <m:r>
                    <m:t>​</m:t>
                  </m:r>
                </m:e>
                <m:sup>
                  <m:r>
                    <m:rPr>
                      <m:sty m:val="p"/>
                    </m:rPr>
                    <m:t>†</m:t>
                  </m:r>
                </m:sup>
              </m:sSup>
            </m:oMath>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Paired diagnostic leakage test</w:t>
            </w:r>
            <m:oMath>
              <m:sSup>
                <m:e>
                  <m:r>
                    <m:t>​</m:t>
                  </m:r>
                </m:e>
                <m:sup>
                  <m:r>
                    <m:rPr>
                      <m:sty m:val="p"/>
                    </m:rPr>
                    <m:t>†</m:t>
                  </m:r>
                </m:sup>
              </m:sSup>
            </m:oMath>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Same-sample decomposition</w:t>
            </w:r>
            <m:oMath>
              <m:sSup>
                <m:e>
                  <m:r>
                    <m:t>​</m:t>
                  </m:r>
                </m:e>
                <m:sup>
                  <m:r>
                    <m:rPr>
                      <m:sty m:val="p"/>
                    </m:rPr>
                    <m:t>†</m:t>
                  </m:r>
                </m:sup>
              </m:sSup>
            </m:oMath>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superseded by the factorial audit, in which fold grouping was the only material factor</w:t>
            </w:r>
          </w:p>
        </w:tc>
        <w:tc>
          <w:tcPr/>
          <w:p>
            <w:pPr>
              <w:pStyle w:val="Compact"/>
              <w:spacing w:line="240" w:lineRule="auto"/>
              <w:jc w:val="left"/>
            </w:pPr>
            <w:r>
              <w:rPr>
                <w:rStyle w:val="VerbatimChar"/>
                <w:sz w:val="19"/>
              </w:rPr>
              <w:t xml:space="preserve">eb463b5</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Poisson-binomial set null</w:t>
            </w:r>
            <m:oMath>
              <m:sSup>
                <m:e>
                  <m:r>
                    <m:t>​</m:t>
                  </m:r>
                </m:e>
                <m:sup>
                  <m:r>
                    <m:rPr>
                      <m:sty m:val="p"/>
                    </m:rPr>
                    <m:t>†</m:t>
                  </m:r>
                </m:sup>
              </m:sSup>
            </m:oMath>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Screening PPV and CIs</w:t>
            </w:r>
            <m:oMath>
              <m:sSup>
                <m:e>
                  <m:r>
                    <m:t>​</m:t>
                  </m:r>
                </m:e>
                <m:sup>
                  <m:r>
                    <m:rPr>
                      <m:sty m:val="p"/>
                    </m:rPr>
                    <m:t>†</m:t>
                  </m:r>
                </m:sup>
              </m:sSup>
            </m:oMath>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Sensitivity by vibration source</w:t>
            </w:r>
            <m:oMath>
              <m:sSup>
                <m:e>
                  <m:r>
                    <m:t>​</m:t>
                  </m:r>
                </m:e>
                <m:sup>
                  <m:r>
                    <m:rPr>
                      <m:sty m:val="p"/>
                    </m:rPr>
                    <m:t>†</m:t>
                  </m:r>
                </m:sup>
              </m:sSup>
            </m:oMath>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left"/>
            </w:pPr>
            <w:r>
              <w:rPr>
                <w:rStyle w:val="VerbatimChar"/>
                <w:sz w:val="19"/>
              </w:rPr>
              <w:t xml:space="preserve">624dd69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Independent 43-log validation</w:t>
            </w:r>
            <m:oMath>
              <m:sSup>
                <m:e>
                  <m:r>
                    <m:t>​</m:t>
                  </m:r>
                </m:e>
                <m:sup>
                  <m:r>
                    <m:rPr>
                      <m:sty m:val="p"/>
                    </m:rPr>
                    <m:t>†</m:t>
                  </m:r>
                </m:sup>
              </m:sSup>
            </m:oMath>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0.381 (95% CrI 0.25–0.61); pilot recall 1/5; inconclusive</w:t>
            </w:r>
          </w:p>
        </w:tc>
        <w:tc>
          <w:tcPr/>
          <w:p>
            <w:pPr>
              <w:pStyle w:val="Compact"/>
              <w:spacing w:line="240" w:lineRule="auto"/>
              <w:jc w:val="left"/>
            </w:pPr>
            <w:r>
              <w:rPr>
                <w:rStyle w:val="VerbatimChar"/>
                <w:sz w:val="19"/>
              </w:rPr>
              <w:t xml:space="preserve">3a9aa89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Cohort selection step 4b</w:t>
            </w:r>
            <m:oMath>
              <m:sSup>
                <m:e>
                  <m:r>
                    <m:t>​</m:t>
                  </m:r>
                </m:e>
                <m:sup>
                  <m:r>
                    <m:rPr>
                      <m:sty m:val="p"/>
                    </m:rPr>
                    <m:t>†</m:t>
                  </m:r>
                </m:sup>
              </m:sSup>
            </m:oMath>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 superseded by the factorial audit (mixed extractors)</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Within-drone duration caliper</w:t>
            </w:r>
            <m:oMath>
              <m:sSup>
                <m:e>
                  <m:r>
                    <m:t>​</m:t>
                  </m:r>
                </m:e>
                <m:sup>
                  <m:r>
                    <m:rPr>
                      <m:sty m:val="p"/>
                    </m:rPr>
                    <m:t>†</m:t>
                  </m:r>
                </m:sup>
              </m:sSup>
            </m:oMath>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Depth-3 tree bounds across cuts</w:t>
            </w:r>
            <m:oMath>
              <m:sSup>
                <m:e>
                  <m:r>
                    <m:t>​</m:t>
                  </m:r>
                </m:e>
                <m:sup>
                  <m:r>
                    <m:rPr>
                      <m:sty m:val="p"/>
                    </m:rPr>
                    <m:t>†</m:t>
                  </m:r>
                </m:sup>
              </m:sSup>
            </m:oMath>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superseded by the refit permutation null (0.54–0.69)</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Fixed-score permutation null</w:t>
            </w:r>
            <m:oMath>
              <m:sSup>
                <m:e>
                  <m:r>
                    <m:t>​</m:t>
                  </m:r>
                </m:e>
                <m:sup>
                  <m:r>
                    <m:rPr>
                      <m:sty m:val="p"/>
                    </m:rPr>
                    <m:t>†</m:t>
                  </m:r>
                </m:sup>
              </m:sSup>
            </m:oMath>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reflects refitting variance</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Control cluster adjustment</w:t>
            </w:r>
            <m:oMath>
              <m:sSup>
                <m:e>
                  <m:r>
                    <m:t>​</m:t>
                  </m:r>
                </m:e>
                <m:sup>
                  <m:r>
                    <m:rPr>
                      <m:sty m:val="p"/>
                    </m:rPr>
                    <m:t>†</m:t>
                  </m:r>
                </m:sup>
              </m:sSup>
            </m:oMath>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Single vs. multi-history crashes</w:t>
            </w:r>
            <m:oMath>
              <m:sSup>
                <m:e>
                  <m:r>
                    <m:t>​</m:t>
                  </m:r>
                </m:e>
                <m:sup>
                  <m:r>
                    <m:rPr>
                      <m:sty m:val="p"/>
                    </m:rPr>
                    <m:t>†</m:t>
                  </m:r>
                </m:sup>
              </m:sSup>
            </m:oMath>
          </w:p>
        </w:tc>
        <w:tc>
          <w:tcPr/>
          <w:p>
            <w:pPr>
              <w:pStyle w:val="Compact"/>
              <w:spacing w:line="240" w:lineRule="auto"/>
              <w:jc w:val="left"/>
            </w:pPr>
            <w:r>
              <w:rPr>
                <w:sz w:val="19"/>
              </w:rPr>
              <w:t xml:space="preserve">Test maiden-flight artifact hypothesis</w:t>
            </w:r>
          </w:p>
        </w:tc>
        <w:tc>
          <w:tcPr/>
          <w:p>
            <w:pPr>
              <w:pStyle w:val="Compact"/>
              <w:spacing w:line="240" w:lineRule="auto"/>
              <w:jc w:val="left"/>
            </w:pPr>
            <w:r>
              <w:rPr>
                <w:sz w:val="19"/>
              </w:rPr>
              <w:t xml:space="preserve">Single-history (</w:t>
            </w:r>
            <m:oMath>
              <m:r>
                <m:t>n</m:t>
              </m:r>
              <m:r>
                <m:rPr>
                  <m:sty m:val="p"/>
                </m:rPr>
                <m:t>=</m:t>
              </m:r>
              <m:r>
                <m:t>45</m:t>
              </m:r>
            </m:oMath>
            <w:r>
              <w:rPr>
                <w:sz w:val="19"/>
              </w:rPr>
              <w:t xml:space="preserve">) AUC 0.835 vs. multi-history (</w:t>
            </w:r>
            <m:oMath>
              <m:r>
                <m:t>n</m:t>
              </m:r>
              <m:r>
                <m:rPr>
                  <m:sty m:val="p"/>
                </m:rPr>
                <m:t>=</m:t>
              </m:r>
              <m:r>
                <m:t>103</m:t>
              </m:r>
            </m:oMath>
            <w:r>
              <w:rPr>
                <w:sz w:val="19"/>
              </w:rPr>
              <w:t xml:space="preserve">) 0.891 at</w:t>
            </w:r>
            <w:r>
              <w:rPr>
                <w:sz w:val="19"/>
              </w:rPr>
              <w:t xml:space="preserve"> </w:t>
            </w:r>
            <m:oMath>
              <m:r>
                <m:t>m</m:t>
              </m:r>
              <m:r>
                <m:rPr>
                  <m:sty m:val="p"/>
                </m:rPr>
                <m:t>=</m:t>
              </m:r>
              <m:r>
                <m:t>0</m:t>
              </m:r>
            </m:oMath>
            <w:r>
              <w:rPr>
                <w:sz w:val="19"/>
              </w:rPr>
              <w:t xml:space="preserve"> s; cross-sectional separation is archive-wide</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Duration caliper gradient &amp; CI</w:t>
            </w:r>
            <m:oMath>
              <m:sSup>
                <m:e>
                  <m:r>
                    <m:t>​</m:t>
                  </m:r>
                </m:e>
                <m:sup>
                  <m:r>
                    <m:rPr>
                      <m:sty m:val="p"/>
                    </m:rPr>
                    <m:t>†</m:t>
                  </m:r>
                </m:sup>
              </m:sSup>
            </m:oMath>
          </w:p>
        </w:tc>
        <w:tc>
          <w:tcPr/>
          <w:p>
            <w:pPr>
              <w:pStyle w:val="Compact"/>
              <w:spacing w:line="240" w:lineRule="auto"/>
              <w:jc w:val="left"/>
            </w:pPr>
            <w:r>
              <w:rPr>
                <w:sz w:val="19"/>
              </w:rPr>
              <w:t xml:space="preserve">Quantify caliper sensitivity</w:t>
            </w:r>
          </w:p>
        </w:tc>
        <w:tc>
          <w:tcPr/>
          <w:p>
            <w:pPr>
              <w:pStyle w:val="Compact"/>
              <w:spacing w:line="240" w:lineRule="auto"/>
              <w:jc w:val="left"/>
            </w:pPr>
            <w:r>
              <w:rPr>
                <w:sz w:val="19"/>
              </w:rPr>
              <w:t xml:space="preserve">Lift curve</w:t>
            </w:r>
            <w:r>
              <w:rPr>
                <w:sz w:val="19"/>
              </w:rPr>
              <w:t xml:space="preserve"> </w:t>
            </w:r>
            <m:oMath>
              <m:r>
                <m:t>ϵ</m:t>
              </m:r>
              <m:r>
                <m:rPr>
                  <m:sty m:val="p"/>
                </m:rPr>
                <m:t>∈</m:t>
              </m:r>
              <m:r>
                <m:rPr>
                  <m:sty m:val="p"/>
                </m:rPr>
                <m:t>[</m:t>
              </m:r>
              <m:r>
                <m:t>0.10</m:t>
              </m:r>
              <m:r>
                <m:rPr>
                  <m:sty m:val="p"/>
                </m:rPr>
                <m:t>,</m:t>
              </m:r>
              <m:r>
                <m:t>1.00</m:t>
              </m:r>
              <m:r>
                <m:rPr>
                  <m:sty m:val="p"/>
                </m:rPr>
                <m:t>]</m:t>
              </m:r>
            </m:oMath>
            <w:r>
              <w:rPr>
                <w:sz w:val="19"/>
              </w:rPr>
              <w:t xml:space="preserve">; paired cluster bootstrap 95% CI for</w:t>
            </w:r>
            <w:r>
              <w:rPr>
                <w:sz w:val="19"/>
              </w:rPr>
              <w:t xml:space="preserve"> </w:t>
            </w:r>
            <m:oMath>
              <m:r>
                <m:rPr>
                  <m:sty m:val="p"/>
                </m:rPr>
                <m:t>Δ</m:t>
              </m:r>
              <m:r>
                <m:rPr>
                  <m:sty m:val="p"/>
                </m:rPr>
                <m:t>=</m:t>
              </m:r>
              <m:r>
                <m:rPr>
                  <m:sty m:val="p"/>
                </m:rPr>
                <m:t>+</m:t>
              </m:r>
              <m:r>
                <m:t>0.125</m:t>
              </m:r>
            </m:oMath>
            <w:r>
              <w:rPr>
                <w:sz w:val="19"/>
              </w:rPr>
              <w:t xml:space="preserve"> </w:t>
            </w:r>
            <w:r>
              <w:rPr>
                <w:sz w:val="19"/>
              </w:rPr>
              <w:t xml:space="preserve">is [+0.074, +0.238]; superseded by the reproducible rerun [+0.028, +0.205]</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Two-stage cluster bootstrap &amp; GPS</w:t>
            </w:r>
            <m:oMath>
              <m:sSup>
                <m:e>
                  <m:r>
                    <m:t>​</m:t>
                  </m:r>
                </m:e>
                <m:sup>
                  <m:r>
                    <m:rPr>
                      <m:sty m:val="p"/>
                    </m:rPr>
                    <m:t>†</m:t>
                  </m:r>
                </m:sup>
              </m:sSup>
            </m:oMath>
          </w:p>
        </w:tc>
        <w:tc>
          <w:tcPr/>
          <w:p>
            <w:pPr>
              <w:pStyle w:val="Compact"/>
              <w:spacing w:line="240" w:lineRule="auto"/>
              <w:jc w:val="left"/>
            </w:pPr>
            <w:r>
              <w:rPr>
                <w:sz w:val="19"/>
              </w:rPr>
              <w:t xml:space="preserve">Audit same-day timing &amp; clustering</w:t>
            </w:r>
          </w:p>
        </w:tc>
        <w:tc>
          <w:tcPr/>
          <w:p>
            <w:pPr>
              <w:pStyle w:val="Compact"/>
              <w:spacing w:line="240" w:lineRule="auto"/>
              <w:jc w:val="left"/>
            </w:pPr>
            <w:r>
              <w:rPr>
                <w:sz w:val="19"/>
              </w:rPr>
              <w:t xml:space="preserve">Two-stage cluster CI [0.536, 0.789] (resampled drones counted once; corrected to [0.50, 0.81]); same-day check compared dates only; superseded by the GPS flight-order audit</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Rule balanced accuracy across cuts</w:t>
            </w:r>
            <m:oMath>
              <m:sSup>
                <m:e>
                  <m:r>
                    <m:t>​</m:t>
                  </m:r>
                </m:e>
                <m:sup>
                  <m:r>
                    <m:rPr>
                      <m:sty m:val="p"/>
                    </m:rPr>
                    <m:t>†</m:t>
                  </m:r>
                </m:sup>
              </m:sSup>
            </m:oMath>
          </w:p>
        </w:tc>
        <w:tc>
          <w:tcPr/>
          <w:p>
            <w:pPr>
              <w:pStyle w:val="Compact"/>
              <w:spacing w:line="240" w:lineRule="auto"/>
              <w:jc w:val="left"/>
            </w:pPr>
            <w:r>
              <w:rPr>
                <w:sz w:val="19"/>
              </w:rPr>
              <w:t xml:space="preserve">Audit attribution rule across margins</w:t>
            </w:r>
          </w:p>
        </w:tc>
        <w:tc>
          <w:tcPr/>
          <w:p>
            <w:pPr>
              <w:pStyle w:val="Compact"/>
              <w:spacing w:line="240" w:lineRule="auto"/>
              <w:jc w:val="left"/>
            </w:pPr>
            <w:r>
              <w:rPr>
                <w:sz w:val="19"/>
              </w:rPr>
              <w:t xml:space="preserve">BA declines smoothly from 0.460 (</w:t>
            </w:r>
            <m:oMath>
              <m:r>
                <m:t>m</m:t>
              </m:r>
              <m:r>
                <m:rPr>
                  <m:sty m:val="p"/>
                </m:rPr>
                <m:t>=</m:t>
              </m:r>
              <m:r>
                <m:t>0</m:t>
              </m:r>
            </m:oMath>
            <w:r>
              <w:rPr>
                <w:sz w:val="19"/>
              </w:rPr>
              <w:t xml:space="preserve"> s) to 0.454 (</w:t>
            </w:r>
            <m:oMath>
              <m:r>
                <m:t>m</m:t>
              </m:r>
              <m:r>
                <m:rPr>
                  <m:sty m:val="p"/>
                </m:rPr>
                <m:t>=</m:t>
              </m:r>
              <m:r>
                <m:t>5</m:t>
              </m:r>
            </m:oMath>
            <w:r>
              <w:rPr>
                <w:sz w:val="19"/>
              </w:rPr>
              <w:t xml:space="preserve">), 0.393 (</w:t>
            </w:r>
            <m:oMath>
              <m:r>
                <m:t>m</m:t>
              </m:r>
              <m:r>
                <m:rPr>
                  <m:sty m:val="p"/>
                </m:rPr>
                <m:t>=</m:t>
              </m:r>
              <m:r>
                <m:t>10</m:t>
              </m:r>
            </m:oMath>
            <w:r>
              <w:rPr>
                <w:sz w:val="19"/>
              </w:rPr>
              <w:t xml:space="preserve">), 0.371 (</w:t>
            </w:r>
            <m:oMath>
              <m:r>
                <m:t>m</m:t>
              </m:r>
              <m:r>
                <m:rPr>
                  <m:sty m:val="p"/>
                </m:rPr>
                <m:t>=</m:t>
              </m:r>
              <m:r>
                <m:t>20</m:t>
              </m:r>
            </m:oMath>
            <w:r>
              <w:rPr>
                <w:sz w:val="19"/>
              </w:rPr>
              <w:t xml:space="preserve">), 0.350 (</w:t>
            </w:r>
            <m:oMath>
              <m:r>
                <m:t>m</m:t>
              </m:r>
              <m:r>
                <m:rPr>
                  <m:sty m:val="p"/>
                </m:rPr>
                <m:t>=</m:t>
              </m:r>
              <m:r>
                <m:t>30</m:t>
              </m:r>
            </m:oMath>
            <w:r>
              <w:rPr>
                <w:sz w:val="19"/>
              </w:rPr>
              <w:t xml:space="preserve">)</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Crash-moment review</w:t>
            </w:r>
            <m:oMath>
              <m:sSup>
                <m:e>
                  <m:r>
                    <m:t>​</m:t>
                  </m:r>
                </m:e>
                <m:sup>
                  <m:r>
                    <m:rPr>
                      <m:sty m:val="p"/>
                    </m:rPr>
                    <m:t>†</m:t>
                  </m:r>
                </m:sup>
              </m:sSup>
            </m:oMath>
          </w:p>
        </w:tc>
        <w:tc>
          <w:tcPr/>
          <w:p>
            <w:pPr>
              <w:pStyle w:val="Compact"/>
              <w:spacing w:line="240" w:lineRule="auto"/>
              <w:jc w:val="left"/>
            </w:pPr>
            <w:r>
              <w:rPr>
                <w:sz w:val="19"/>
              </w:rPr>
              <w:t xml:space="preserve">Check</w:t>
            </w:r>
            <w:r>
              <w:rPr>
                <w:sz w:val="19"/>
              </w:rPr>
              <w:t xml:space="preserve"> </w:t>
            </w:r>
            <m:oMath>
              <m:sSub>
                <m:e>
                  <m:r>
                    <m:t>t</m:t>
                  </m:r>
                </m:e>
                <m:sub>
                  <m:r>
                    <m:t>c</m:t>
                  </m:r>
                </m:sub>
              </m:sSub>
            </m:oMath>
            <w:r>
              <w:rPr>
                <w:sz w:val="19"/>
              </w:rPr>
              <w:t xml:space="preserve"> </w:t>
            </w:r>
            <w:r>
              <w:rPr>
                <w:sz w:val="19"/>
              </w:rPr>
              <w:t xml:space="preserve">by eye (one author)</w:t>
            </w:r>
          </w:p>
        </w:tc>
        <w:tc>
          <w:tcPr/>
          <w:p>
            <w:pPr>
              <w:pStyle w:val="Compact"/>
              <w:spacing w:line="240" w:lineRule="auto"/>
              <w:jc w:val="left"/>
            </w:pPr>
            <w:r>
              <w:rPr>
                <w:sz w:val="19"/>
              </w:rPr>
              <w:t xml:space="preserve">Tilt-defined</w:t>
            </w:r>
            <w:r>
              <w:rPr>
                <w:sz w:val="19"/>
              </w:rPr>
              <w:t xml:space="preserve"> </w:t>
            </w:r>
            <m:oMath>
              <m:sSub>
                <m:e>
                  <m:r>
                    <m:t>t</m:t>
                  </m:r>
                </m:e>
                <m:sub>
                  <m:r>
                    <m:t>c</m:t>
                  </m:r>
                </m:sub>
              </m:sSub>
            </m:oMath>
            <w:r>
              <w:rPr>
                <w:sz w:val="19"/>
              </w:rPr>
              <w:t xml:space="preserve"> </w:t>
            </w:r>
            <w:r>
              <w:rPr>
                <w:sz w:val="19"/>
              </w:rPr>
              <w:t xml:space="preserve">correct in 21 of 26; 18 of 24 fallback logs contain no crash</w:t>
            </w:r>
          </w:p>
        </w:tc>
        <w:tc>
          <w:tcPr/>
          <w:p>
            <w:pPr>
              <w:pStyle w:val="Compact"/>
              <w:spacing w:line="240" w:lineRule="auto"/>
              <w:jc w:val="left"/>
            </w:pPr>
            <w:r>
              <w:rPr>
                <w:rStyle w:val="VerbatimChar"/>
                <w:sz w:val="19"/>
              </w:rPr>
              <w:t xml:space="preserve">97974ad</w:t>
            </w:r>
            <w:r>
              <w:rPr>
                <w:sz w:val="19"/>
              </w:rPr>
              <w:t xml:space="preserve">,</w:t>
            </w:r>
            <w:r>
              <w:rPr>
                <w:sz w:val="19"/>
              </w:rPr>
              <w:t xml:space="preserve"> </w:t>
            </w:r>
            <w:r>
              <w:rPr>
                <w:rStyle w:val="VerbatimChar"/>
                <w:sz w:val="19"/>
              </w:rPr>
              <w:t xml:space="preserve">bfda684</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Third robustness audit</w:t>
            </w:r>
            <m:oMath>
              <m:sSup>
                <m:e>
                  <m:r>
                    <m:t>​</m:t>
                  </m:r>
                </m:e>
                <m:sup>
                  <m:r>
                    <m:rPr>
                      <m:sty m:val="p"/>
                    </m:rPr>
                    <m:t>†</m:t>
                  </m:r>
                </m:sup>
              </m:sSup>
            </m:oMath>
          </w:p>
        </w:tc>
        <w:tc>
          <w:tcPr/>
          <w:p>
            <w:pPr>
              <w:pStyle w:val="Compact"/>
              <w:spacing w:line="240" w:lineRule="auto"/>
              <w:jc w:val="left"/>
            </w:pPr>
            <w:r>
              <w:rPr>
                <w:sz w:val="19"/>
              </w:rPr>
              <w:t xml:space="preserve">Confirmed crashes, dates vs GPS, grouped leak curve, clustered variants, stumps</w:t>
            </w:r>
          </w:p>
        </w:tc>
        <w:tc>
          <w:tcPr/>
          <w:p>
            <w:pPr>
              <w:pStyle w:val="Compact"/>
              <w:spacing w:line="240" w:lineRule="auto"/>
              <w:jc w:val="left"/>
            </w:pPr>
            <w:r>
              <w:rPr>
                <w:sz w:val="19"/>
              </w:rPr>
              <w:t xml:space="preserve">40 of 148 crashes confirmed; leak drop 0.035 overall, 0.103 confirmed; index date = GPS date for 80%, no cross-day misorder; clustered variant</w:t>
            </w:r>
            <w:r>
              <w:rPr>
                <w:sz w:val="19"/>
              </w:rPr>
              <w:t xml:space="preserve"> </w:t>
            </w:r>
            <m:oMath>
              <m:r>
                <m:t>p</m:t>
              </m:r>
            </m:oMath>
            <w:r>
              <w:rPr>
                <w:sz w:val="19"/>
              </w:rPr>
              <w:t xml:space="preserve"> </w:t>
            </w:r>
            <w:r>
              <w:rPr>
                <w:sz w:val="19"/>
              </w:rPr>
              <w:t xml:space="preserve">0.014–0.026 (newer metric 0.28); stumps 0.447/0.481</w:t>
            </w:r>
          </w:p>
        </w:tc>
        <w:tc>
          <w:tcPr/>
          <w:p>
            <w:pPr>
              <w:pStyle w:val="Compact"/>
              <w:spacing w:line="240" w:lineRule="auto"/>
              <w:jc w:val="left"/>
            </w:pPr>
            <w:r>
              <w:rPr>
                <w:rStyle w:val="VerbatimChar"/>
                <w:sz w:val="19"/>
              </w:rPr>
              <w:t xml:space="preserve">48c2fa7</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Second robustness audit</w:t>
            </w:r>
            <m:oMath>
              <m:sSup>
                <m:e>
                  <m:r>
                    <m:t>​</m:t>
                  </m:r>
                </m:e>
                <m:sup>
                  <m:r>
                    <m:rPr>
                      <m:sty m:val="p"/>
                    </m:rPr>
                    <m:t>†</m:t>
                  </m:r>
                </m:sup>
              </m:sSup>
            </m:oMath>
          </w:p>
        </w:tc>
        <w:tc>
          <w:tcPr/>
          <w:p>
            <w:pPr>
              <w:pStyle w:val="Compact"/>
              <w:spacing w:line="240" w:lineRule="auto"/>
              <w:jc w:val="left"/>
            </w:pPr>
            <w:r>
              <w:rPr>
                <w:sz w:val="19"/>
              </w:rPr>
              <w:t xml:space="preserve">Refit nulls, clustered between-drone</w:t>
            </w:r>
            <w:r>
              <w:rPr>
                <w:sz w:val="19"/>
              </w:rPr>
              <w:t xml:space="preserve"> </w:t>
            </w:r>
            <m:oMath>
              <m:r>
                <m:t>p</m:t>
              </m:r>
            </m:oMath>
            <w:r>
              <w:rPr>
                <w:sz w:val="19"/>
              </w:rPr>
              <w:t xml:space="preserve">, paired comparison, fixed-seed Table 7, re-flights, crash moment</w:t>
            </w:r>
          </w:p>
        </w:tc>
        <w:tc>
          <w:tcPr/>
          <w:p>
            <w:pPr>
              <w:pStyle w:val="Compact"/>
              <w:spacing w:line="240" w:lineRule="auto"/>
              <w:jc w:val="left"/>
            </w:pPr>
            <w:r>
              <w:rPr>
                <w:sz w:val="19"/>
              </w:rPr>
              <w:t xml:space="preserve">Between-drone clustered</w:t>
            </w:r>
            <w:r>
              <w:rPr>
                <w:sz w:val="19"/>
              </w:rPr>
              <w:t xml:space="preserve"> </w:t>
            </w:r>
            <m:oMath>
              <m:r>
                <m:t>p</m:t>
              </m:r>
              <m:r>
                <m:rPr>
                  <m:sty m:val="p"/>
                </m:rPr>
                <m:t>=</m:t>
              </m:r>
              <m:r>
                <m:t>0.012</m:t>
              </m:r>
            </m:oMath>
            <w:r>
              <w:rPr>
                <w:sz w:val="19"/>
              </w:rPr>
              <w:t xml:space="preserve"> </w:t>
            </w:r>
            <w:r>
              <w:rPr>
                <w:sz w:val="19"/>
              </w:rPr>
              <w:t xml:space="preserve">(Holm 0.08); other minus own flights</w:t>
            </w:r>
            <w:r>
              <w:rPr>
                <w:sz w:val="19"/>
              </w:rPr>
              <w:t xml:space="preserve"> </w:t>
            </w:r>
            <m:oMath>
              <m:r>
                <m:rPr>
                  <m:sty m:val="p"/>
                </m:rPr>
                <m:t>+</m:t>
              </m:r>
              <m:r>
                <m:t>0.113</m:t>
              </m:r>
            </m:oMath>
            <w:r>
              <w:rPr>
                <w:sz w:val="19"/>
              </w:rPr>
              <w:t xml:space="preserve"> </w:t>
            </w:r>
            <w:r>
              <w:rPr>
                <w:sz w:val="19"/>
              </w:rPr>
              <w:t xml:space="preserve">[0.029, 0.212]; Step 1 grouping 0.882</w:t>
            </w:r>
            <w:r>
              <w:rPr>
                <w:sz w:val="19"/>
              </w:rPr>
              <w:t xml:space="preserve"> </w:t>
            </w:r>
            <m:oMath>
              <m:r>
                <m:rPr>
                  <m:sty m:val="p"/>
                </m:rPr>
                <m:t>→</m:t>
              </m:r>
            </m:oMath>
            <w:r>
              <w:rPr>
                <w:sz w:val="19"/>
              </w:rPr>
              <w:t xml:space="preserve"> </w:t>
            </w:r>
            <w:r>
              <w:rPr>
                <w:sz w:val="19"/>
              </w:rPr>
              <w:t xml:space="preserve">0.826; 54% of crash-rated logs have a later log from the same flight controller; Task B refit-null upper bounds</w:t>
            </w:r>
            <w:r>
              <w:rPr>
                <w:sz w:val="19"/>
              </w:rPr>
              <w:t xml:space="preserve"> </w:t>
            </w:r>
            <m:oMath>
              <m:r>
                <m:rPr>
                  <m:sty m:val="p"/>
                </m:rPr>
                <m:t>≤</m:t>
              </m:r>
              <m:r>
                <m:t>0.69</m:t>
              </m:r>
            </m:oMath>
          </w:p>
        </w:tc>
        <w:tc>
          <w:tcPr/>
          <w:p>
            <w:pPr>
              <w:pStyle w:val="Compact"/>
              <w:spacing w:line="240" w:lineRule="auto"/>
              <w:jc w:val="left"/>
            </w:pPr>
            <w:r>
              <w:rPr>
                <w:rStyle w:val="VerbatimChar"/>
                <w:sz w:val="19"/>
              </w:rPr>
              <w:t xml:space="preserve">6fff27d</w:t>
            </w:r>
            <w:r>
              <w:rPr>
                <w:sz w:val="19"/>
              </w:rPr>
              <w:t xml:space="preserve">,</w:t>
            </w:r>
            <w:r>
              <w:rPr>
                <w:sz w:val="19"/>
              </w:rPr>
              <w:t xml:space="preserve"> </w:t>
            </w:r>
            <w:r>
              <w:rPr>
                <w:rStyle w:val="VerbatimChar"/>
                <w:sz w:val="19"/>
              </w:rPr>
              <w:t xml:space="preserve">016dafe</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Post-crash flight audit</w:t>
            </w:r>
            <m:oMath>
              <m:sSup>
                <m:e>
                  <m:r>
                    <m:t>​</m:t>
                  </m:r>
                </m:e>
                <m:sup>
                  <m:r>
                    <m:rPr>
                      <m:sty m:val="p"/>
                    </m:rPr>
                    <m:t>†</m:t>
                  </m:r>
                </m:sup>
              </m:sSup>
            </m:oMath>
          </w:p>
        </w:tc>
        <w:tc>
          <w:tcPr/>
          <w:p>
            <w:pPr>
              <w:pStyle w:val="Compact"/>
              <w:spacing w:line="240" w:lineRule="auto"/>
              <w:jc w:val="left"/>
            </w:pPr>
            <w:r>
              <w:rPr>
                <w:sz w:val="19"/>
              </w:rPr>
              <w:t xml:space="preserve">GPS-order the within-drone samples</w:t>
            </w:r>
          </w:p>
        </w:tc>
        <w:tc>
          <w:tcPr/>
          <w:p>
            <w:pPr>
              <w:pStyle w:val="Compact"/>
              <w:spacing w:line="240" w:lineRule="auto"/>
              <w:jc w:val="left"/>
            </w:pPr>
            <w:r>
              <w:rPr>
                <w:sz w:val="19"/>
              </w:rPr>
              <w:t xml:space="preserve">85 of 210 crash-day earlier flights followed the crash; without them rank tests unchanged, within-drone model 0.582 [0.525, 0.660], caliper lift</w:t>
            </w:r>
            <w:r>
              <w:rPr>
                <w:sz w:val="19"/>
              </w:rPr>
              <w:t xml:space="preserve"> </w:t>
            </w:r>
            <m:oMath>
              <m:r>
                <m:rPr>
                  <m:sty m:val="p"/>
                </m:rPr>
                <m:t>+</m:t>
              </m:r>
              <m:r>
                <m:t>0.086</m:t>
              </m:r>
            </m:oMath>
            <w:r>
              <w:rPr>
                <w:sz w:val="19"/>
              </w:rPr>
              <w:t xml:space="preserve"> </w:t>
            </w:r>
            <w:r>
              <w:rPr>
                <w:sz w:val="19"/>
              </w:rPr>
              <w:t xml:space="preserve">[</w:t>
            </w:r>
            <m:oMath>
              <m:r>
                <m:rPr>
                  <m:sty m:val="p"/>
                </m:rPr>
                <m:t>−</m:t>
              </m:r>
              <m:r>
                <m:t>0.064</m:t>
              </m:r>
            </m:oMath>
            <w:r>
              <w:rPr>
                <w:sz w:val="19"/>
              </w:rPr>
              <w:t xml:space="preserve">, +0.184] (masking withdrawn), same-aircraft 0.507</w:t>
            </w:r>
          </w:p>
        </w:tc>
        <w:tc>
          <w:tcPr/>
          <w:p>
            <w:pPr>
              <w:pStyle w:val="Compact"/>
              <w:spacing w:line="240" w:lineRule="auto"/>
              <w:jc w:val="left"/>
            </w:pPr>
            <w:r>
              <w:rPr>
                <w:rStyle w:val="VerbatimChar"/>
                <w:sz w:val="19"/>
              </w:rPr>
              <w:t xml:space="preserve">0d38f5d</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Flight-order audit</w:t>
            </w:r>
            <m:oMath>
              <m:sSup>
                <m:e>
                  <m:r>
                    <m:t>​</m:t>
                  </m:r>
                </m:e>
                <m:sup>
                  <m:r>
                    <m:rPr>
                      <m:sty m:val="p"/>
                    </m:rPr>
                    <m:t>†</m:t>
                  </m:r>
                </m:sup>
              </m:sSup>
            </m:oMath>
          </w:p>
        </w:tc>
        <w:tc>
          <w:tcPr/>
          <w:p>
            <w:pPr>
              <w:pStyle w:val="Compact"/>
              <w:spacing w:line="240" w:lineRule="auto"/>
              <w:jc w:val="left"/>
            </w:pPr>
            <w:r>
              <w:rPr>
                <w:sz w:val="19"/>
              </w:rPr>
              <w:t xml:space="preserve">Caliper without duration-linked features; GPS ordering</w:t>
            </w:r>
          </w:p>
        </w:tc>
        <w:tc>
          <w:tcPr/>
          <w:p>
            <w:pPr>
              <w:pStyle w:val="Compact"/>
              <w:spacing w:line="240" w:lineRule="auto"/>
              <w:jc w:val="left"/>
            </w:pPr>
            <w:r>
              <w:rPr>
                <w:sz w:val="19"/>
              </w:rPr>
              <w:t xml:space="preserve">Lift</w:t>
            </w:r>
            <w:r>
              <w:rPr>
                <w:sz w:val="19"/>
              </w:rPr>
              <w:t xml:space="preserve"> </w:t>
            </w:r>
            <m:oMath>
              <m:r>
                <m:rPr>
                  <m:sty m:val="p"/>
                </m:rPr>
                <m:t>+</m:t>
              </m:r>
              <m:r>
                <m:t>0.077</m:t>
              </m:r>
            </m:oMath>
            <w:r>
              <w:rPr>
                <w:sz w:val="19"/>
              </w:rPr>
              <w:t xml:space="preserve"> </w:t>
            </w:r>
            <w:r>
              <w:rPr>
                <w:sz w:val="19"/>
              </w:rPr>
              <w:t xml:space="preserve">[+0.013, +0.204] without three features; 47 of 95 crash-day exposure flights followed the crash; between-drone 0.698 (</w:t>
            </w:r>
            <m:oMath>
              <m:r>
                <m:t>p</m:t>
              </m:r>
              <m:r>
                <m:rPr>
                  <m:sty m:val="p"/>
                </m:rPr>
                <m:t>=</m:t>
              </m:r>
              <m:r>
                <m:t>0.0021</m:t>
              </m:r>
            </m:oMath>
            <w:r>
              <w:rPr>
                <w:sz w:val="19"/>
              </w:rPr>
              <w:t xml:space="preserve">, 43 sets) without them</w:t>
            </w:r>
          </w:p>
        </w:tc>
        <w:tc>
          <w:tcPr/>
          <w:p>
            <w:pPr>
              <w:pStyle w:val="Compact"/>
              <w:spacing w:line="240" w:lineRule="auto"/>
              <w:jc w:val="left"/>
            </w:pPr>
            <w:r>
              <w:rPr>
                <w:rStyle w:val="VerbatimChar"/>
                <w:sz w:val="19"/>
              </w:rPr>
              <w:t xml:space="preserve">0e26db0</w:t>
            </w:r>
            <w:r>
              <w:rPr>
                <w:sz w:val="19"/>
              </w:rPr>
              <w:t xml:space="preserve">,</w:t>
            </w:r>
            <w:r>
              <w:rPr>
                <w:sz w:val="19"/>
              </w:rPr>
              <w:t xml:space="preserve"> </w:t>
            </w:r>
            <w:r>
              <w:rPr>
                <w:rStyle w:val="VerbatimChar"/>
                <w:sz w:val="19"/>
              </w:rPr>
              <w:t xml:space="preserve">187f570</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Factorial optimism audit</w:t>
            </w:r>
            <m:oMath>
              <m:sSup>
                <m:e>
                  <m:r>
                    <m:t>​</m:t>
                  </m:r>
                </m:e>
                <m:sup>
                  <m:r>
                    <m:rPr>
                      <m:sty m:val="p"/>
                    </m:rPr>
                    <m:t>†</m:t>
                  </m:r>
                </m:sup>
              </m:sSup>
            </m:oMath>
          </w:p>
        </w:tc>
        <w:tc>
          <w:tcPr/>
          <w:p>
            <w:pPr>
              <w:pStyle w:val="Compact"/>
              <w:spacing w:line="240" w:lineRule="auto"/>
              <w:jc w:val="left"/>
            </w:pPr>
            <w:r>
              <w:rPr>
                <w:sz w:val="19"/>
              </w:rPr>
              <w:t xml:space="preserve">Isolate what the AUC depends on</w:t>
            </w:r>
          </w:p>
        </w:tc>
        <w:tc>
          <w:tcPr/>
          <w:p>
            <w:pPr>
              <w:pStyle w:val="Compact"/>
              <w:spacing w:line="240" w:lineRule="auto"/>
              <w:jc w:val="left"/>
            </w:pPr>
            <m:oMath>
              <m:r>
                <m:t>2</m:t>
              </m:r>
              <m:r>
                <m:rPr>
                  <m:sty m:val="p"/>
                </m:rPr>
                <m:t>×</m:t>
              </m:r>
              <m:r>
                <m:t>2</m:t>
              </m:r>
            </m:oMath>
            <w:r>
              <w:rPr>
                <w:sz w:val="19"/>
              </w:rPr>
              <w:t xml:space="preserve">: no cause isolated; drop 0.212 [0.062, 0.335], only grouped folds material (0.062)</w:t>
            </w:r>
          </w:p>
        </w:tc>
        <w:tc>
          <w:tcPr/>
          <w:p>
            <w:pPr>
              <w:pStyle w:val="Compact"/>
              <w:spacing w:line="240" w:lineRule="auto"/>
              <w:jc w:val="left"/>
            </w:pPr>
            <w:r>
              <w:rPr>
                <w:rStyle w:val="VerbatimChar"/>
                <w:sz w:val="19"/>
              </w:rPr>
              <w:t xml:space="preserve">3c34530</w:t>
            </w:r>
            <w:r>
              <w:rPr>
                <w:sz w:val="19"/>
              </w:rPr>
              <w:t xml:space="preserve">,</w:t>
            </w:r>
            <w:r>
              <w:rPr>
                <w:sz w:val="19"/>
              </w:rPr>
              <w:t xml:space="preserve"> </w:t>
            </w:r>
            <w:r>
              <w:rPr>
                <w:rStyle w:val="VerbatimChar"/>
                <w:sz w:val="19"/>
              </w:rPr>
              <w:t xml:space="preserve">f6ba424</w:t>
            </w:r>
          </w:p>
        </w:tc>
        <w:tc>
          <w:tcPr/>
          <w:p>
            <w:pPr>
              <w:pStyle w:val="Compact"/>
              <w:spacing w:line="240" w:lineRule="auto"/>
              <w:jc w:val="left"/>
            </w:pPr>
            <w:r>
              <w:rPr>
                <w:sz w:val="19"/>
              </w:rPr>
              <w:t xml:space="preserve">2026-10-27</w:t>
            </w:r>
          </w:p>
        </w:tc>
      </w:tr>
    </w:tbl>
    <w:bookmarkEnd w:id="69"/>
    <w:p>
      <w:pPr>
        <w:pStyle w:val="Heading1"/>
      </w:pPr>
      <w:bookmarkStart w:id="70" w:name="_5197750e0310900a35791fde6fc3b970851116d"/>
      <w:r>
        <w:rPr>
          <w:rStyle w:val="SectionNumber"/>
        </w:rPr>
        <w:t xml:space="preserve">6</w:t>
      </w:r>
      <w:r>
        <w:tab/>
      </w:r>
      <w:r>
        <w:t xml:space="preserve">Design implications for fleet assurance</w:t>
      </w:r>
      <w:bookmarkEnd w:id="70"/>
    </w:p>
    <w:p>
      <w:pPr>
        <w:pStyle w:val="FirstParagraph"/>
      </w:pPr>
      <w:r>
        <w:t xml:space="preserve">To translate these empirical findings into operational practice, we developed AeroFleet 2.0 (</w:t>
      </w:r>
      <w:hyperlink r:id="rId71">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13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72" w:name="_4816a700d4290cff51a6fa69217ee9f1521b64f"/>
    <w:p>
      <w:pPr>
        <w:pStyle w:val="TableCaption"/>
      </w:pPr>
      <w:r>
        <w:t xml:space="preserve">Table 13. From empirical findings to design implications in fleet assurance.</w:t>
      </w:r>
    </w:p>
    <w:tbl>
      <w:tblPr>
        <w:tblStyle w:val="Table"/>
        <w:tblW w:type="pct" w:w="5000"/>
        <w:tblLook w:firstRow="1" w:lastRow="0" w:firstColumn="0" w:lastColumn="0" w:noHBand="0" w:noVBand="0" w:val="0020"/>
        <w:tblCaption w:val="Table 13.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§5.7)</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Crash-window leakage was small for model AUC overall (0.014) but larger among the 40 crashes with a confirmed crash moment (§5.3), and present in one rule-based check (tuning sensitivity</w:t>
            </w:r>
            <w:r>
              <w:rPr>
                <w:sz w:val="19"/>
              </w:rPr>
              <w:t xml:space="preserve"> </w:t>
            </w:r>
            <m:oMath>
              <m:r>
                <m:t>7</m:t>
              </m:r>
              <m:r>
                <m:rPr>
                  <m:sty m:val="p"/>
                </m:rPr>
                <m:t>/</m:t>
              </m:r>
              <m:r>
                <m:t>9</m:t>
              </m:r>
              <m:r>
                <m:rPr>
                  <m:sty m:val="p"/>
                </m:rPr>
                <m:t>→</m:t>
              </m:r>
              <m:r>
                <m:t>1</m:t>
              </m:r>
              <m:r>
                <m:rPr>
                  <m:sty m:val="p"/>
                </m:rPr>
                <m:t>/</m:t>
              </m:r>
              <m:r>
                <m:t>9</m:t>
              </m:r>
            </m:oMath>
            <w:r>
              <w:rPr>
                <w:sz w:val="19"/>
              </w:rPr>
              <w:t xml:space="preserve">, exploratory; §5.3, §5.7)</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w:t>
            </w:r>
            <w:r>
              <w:rPr>
                <w:sz w:val="19"/>
              </w:rPr>
              <w:t xml:space="preserve">as declared, 0.08 when clustered by airframe; suggestive screening signal; §5.5)</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Comparison choice</w:t>
            </w:r>
          </w:p>
        </w:tc>
        <w:tc>
          <w:tcPr/>
          <w:p>
            <w:pPr>
              <w:pStyle w:val="Compact"/>
              <w:spacing w:line="240" w:lineRule="auto"/>
              <w:jc w:val="left"/>
            </w:pPr>
            <w:r>
              <w:rPr>
                <w:sz w:val="19"/>
              </w:rPr>
              <w:t xml:space="preserve">Grouping folds by vehicle was the only material factor in the factorial audit; comparing a drone with its own earlier flights lowered AUC by a further</w:t>
            </w:r>
            <w:r>
              <w:rPr>
                <w:sz w:val="19"/>
              </w:rPr>
              <w:t xml:space="preserve"> </w:t>
            </w:r>
            <m:oMath>
              <m:r>
                <m:rPr>
                  <m:sty m:val="p"/>
                </m:rPr>
                <m:t>+</m:t>
              </m:r>
              <m:r>
                <m:t>0.113</m:t>
              </m:r>
            </m:oMath>
            <w:r>
              <w:rPr>
                <w:sz w:val="19"/>
              </w:rPr>
              <w:t xml:space="preserve"> </w:t>
            </w:r>
            <w:r>
              <w:rPr>
                <w:sz w:val="19"/>
              </w:rPr>
              <w:t xml:space="preserve">[0.029, 0.212] on the same 67 crashes (§5.4)</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(§5.8)</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72"/>
    <w:p>
      <w:pPr>
        <w:pStyle w:val="Heading2"/>
      </w:pPr>
      <w:bookmarkStart w:id="73" w:name="_46768506b9d2d22e677daf79594de5255acfb0b"/>
      <w:r>
        <w:rPr>
          <w:rStyle w:val="SectionNumber"/>
        </w:rPr>
        <w:t xml:space="preserve">6.1</w:t>
      </w:r>
      <w:r>
        <w:tab/>
      </w:r>
      <w:r>
        <w:t xml:space="preserve">Recommended reporting checklist for flight-log diagnostics</w:t>
      </w:r>
      <w:bookmarkEnd w:id="73"/>
    </w:p>
    <w:p>
      <w:pPr>
        <w:pStyle w:val="FirstParagraph"/>
      </w:pPr>
      <w:r>
        <w:t xml:space="preserve">To support drone safety regulators, accident investigators, and data-driven diagnostic tool developers in avoiding the leakage and confounding traps quantified in this study, Table 14 outlines an eight-item recommended reporting checklist. Each item pairs a methodological recommendation with its empirical rationale and the specific failure mode observed in our experiments when that control is omitted.</w:t>
      </w:r>
    </w:p>
    <w:bookmarkStart w:id="74" w:name="_8dfd3cae62712a91b3c1ba079a4ea82fa2a3d98"/>
    <w:p>
      <w:pPr>
        <w:pStyle w:val="TableCaption"/>
      </w:pPr>
      <w:r>
        <w:t xml:space="preserve">Table 14. Recommended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14. Recommended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Recommendation</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Small for model AUC overall (0.014 [0.007, 0.023]) but a 0.10 drop among confirmed crashes (§5.3); present in one rule-based check (tuning</w:t>
            </w:r>
            <w:r>
              <w:rPr>
                <w:sz w:val="19"/>
              </w:rPr>
              <w:t xml:space="preserve"> </w:t>
            </w:r>
            <m:oMath>
              <m:r>
                <m:t>7</m:t>
              </m:r>
              <m:r>
                <m:rPr>
                  <m:sty m:val="p"/>
                </m:rPr>
                <m:t>/</m:t>
              </m:r>
              <m:r>
                <m:t>9</m:t>
              </m:r>
              <m:r>
                <m:rPr>
                  <m:sty m:val="p"/>
                </m:rPr>
                <m:t>→</m:t>
              </m:r>
              <m:r>
                <m:t>1</m:t>
              </m:r>
              <m:r>
                <m:rPr>
                  <m:sty m:val="p"/>
                </m:rPr>
                <m:t>/</m:t>
              </m:r>
              <m:r>
                <m:t>9</m:t>
              </m:r>
            </m:oMath>
            <w:r>
              <w:rPr>
                <w:sz w:val="19"/>
              </w:rPr>
              <w:t xml:space="preserve">; normal firing fell 4 of 11; Fisher</w:t>
            </w:r>
            <w:r>
              <w:rPr>
                <w:sz w:val="19"/>
              </w:rPr>
              <w:t xml:space="preserve"> </w:t>
            </w:r>
            <m:oMath>
              <m:r>
                <m:t>p</m:t>
              </m:r>
              <m:r>
                <m:rPr>
                  <m:sty m:val="p"/>
                </m:rPr>
                <m:t>=</m:t>
              </m:r>
              <m:r>
                <m:t>0.057</m:t>
              </m:r>
            </m:oMath>
            <w:r>
              <w:rPr>
                <w:sz w:val="19"/>
              </w:rPr>
              <w:t xml:space="preserve">). Confirm the crash moment before cutting.</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the model from recognising individual vehicles: grouping lowered AUC from 0.882 to 0.826 on the 287-flight sample and was the only material factor in the factorial audit (0.062 [0.034, 0.087]; §5.4).</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airframe confounding. Order flights by GPS time, not date: 85 of 210 crash-day</w:t>
            </w:r>
            <w:r>
              <w:rPr>
                <w:sz w:val="19"/>
              </w:rPr>
              <w:t xml:space="preserve"> </w:t>
            </w:r>
            <w:r>
              <w:rPr>
                <w:sz w:val="19"/>
              </w:rPr>
              <w:t xml:space="preserve">“earlier”</w:t>
            </w:r>
            <w:r>
              <w:rPr>
                <w:sz w:val="19"/>
              </w:rPr>
              <w:t xml:space="preserve"> </w:t>
            </w:r>
            <w:r>
              <w:rPr>
                <w:sz w:val="19"/>
              </w:rPr>
              <w:t xml:space="preserve">flights in this archive were flown after the crash; without them the within-drone model gave at most a weak signal (0.582 [0.525, 0.660]; §5.3).</w:t>
            </w:r>
          </w:p>
        </w:tc>
      </w:tr>
      <w:tr>
        <w:tc>
          <w:tcPr/>
          <w:p>
            <w:pPr>
              <w:pStyle w:val="Compact"/>
              <w:spacing w:line="240" w:lineRule="auto"/>
              <w:jc w:val="left"/>
            </w:pPr>
            <w:r>
              <w:rPr>
                <w:sz w:val="19"/>
              </w:rPr>
              <w:t xml:space="preserve">4. Duration reporting</w:t>
            </w:r>
          </w:p>
        </w:tc>
        <w:tc>
          <w:tcPr/>
          <w:p>
            <w:pPr>
              <w:pStyle w:val="Compact"/>
              <w:spacing w:line="240" w:lineRule="auto"/>
              <w:jc w:val="left"/>
            </w:pPr>
            <w:r>
              <w:rPr>
                <w:sz w:val="19"/>
              </w:rPr>
              <w:t xml:space="preserve">Report window durations of cases and comparisons; use duration matching only as a sensitivity analysis</w:t>
            </w:r>
          </w:p>
        </w:tc>
        <w:tc>
          <w:tcPr/>
          <w:p>
            <w:pPr>
              <w:pStyle w:val="Compact"/>
              <w:spacing w:line="240" w:lineRule="auto"/>
              <w:jc w:val="left"/>
            </w:pPr>
            <w:r>
              <w:rPr>
                <w:sz w:val="19"/>
              </w:rPr>
              <w:t xml:space="preserve">Aborted or short crash flights create duration differences. A caliper lift of</w:t>
            </w:r>
            <w:r>
              <w:rPr>
                <w:sz w:val="19"/>
              </w:rPr>
              <w:t xml:space="preserve"> </w:t>
            </w:r>
            <m:oMath>
              <m:r>
                <m:rPr>
                  <m:sty m:val="p"/>
                </m:rPr>
                <m:t>+</m:t>
              </m:r>
              <m:r>
                <m:t>0.110</m:t>
              </m:r>
            </m:oMath>
            <w:r>
              <w:rPr>
                <w:sz w:val="19"/>
              </w:rPr>
              <w:t xml:space="preserve"> </w:t>
            </w:r>
            <w:r>
              <w:rPr>
                <w:sz w:val="19"/>
              </w:rPr>
              <w:t xml:space="preserve">[+0.028, +0.205] vanished once post-crash flights were removed (</w:t>
            </w:r>
            <m:oMath>
              <m:r>
                <m:rPr>
                  <m:sty m:val="p"/>
                </m:rPr>
                <m:t>+</m:t>
              </m:r>
              <m:r>
                <m:t>0.086</m:t>
              </m:r>
            </m:oMath>
            <w:r>
              <w:rPr>
                <w:sz w:val="19"/>
              </w:rPr>
              <w:t xml:space="preserve"> </w:t>
            </w:r>
            <w:r>
              <w:rPr>
                <w:sz w:val="19"/>
              </w:rPr>
              <w:t xml:space="preserve">[</w:t>
            </w:r>
            <m:oMath>
              <m:r>
                <m:rPr>
                  <m:sty m:val="p"/>
                </m:rPr>
                <m:t>−</m:t>
              </m:r>
              <m:r>
                <m:t>0.064</m:t>
              </m:r>
            </m:oMath>
            <w:r>
              <w:rPr>
                <w:sz w:val="19"/>
              </w:rPr>
              <w:t xml:space="preserve">, +0.184]; §5.3).</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should quantify inter-rater reliability across both pilot-fault and aircraft-fault classes (§5.7).</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§5.5).</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bl>
    <w:bookmarkEnd w:id="74"/>
    <w:p>
      <w:pPr>
        <w:pStyle w:val="Heading1"/>
      </w:pPr>
      <w:bookmarkStart w:id="75" w:name="_074802e0e16f6322e726b21f081c01c392e8fbd"/>
      <w:r>
        <w:rPr>
          <w:rStyle w:val="SectionNumber"/>
        </w:rPr>
        <w:t xml:space="preserve">7</w:t>
      </w:r>
      <w:r>
        <w:tab/>
      </w:r>
      <w:r>
        <w:t xml:space="preserve">Discussion</w:t>
      </w:r>
      <w:bookmarkEnd w:id="75"/>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under the refitting permutation null requires an AUC of about 0.72; observed logistic and tree models gave AUC 0.42–0.59 with approximate upper bounds of at most 0.69.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probably below the 0.70 pass mark declared for the uploader-label test, but not separable from chance; pilot recall 1 of 5, exact 95% CI 0.5–71.6%). Only the fixed rule was prospectively declared; the model results are exploratory, and with these sample sizes they bound, rather than rule out, a modest non-linear signal.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grouping folds by vehicle lowered it to 0.826 and crash-window removal changed little (Table 7, regenerated). The factorial audit (§5.4) shows why the picture depends on the sample: once comparison drones contribute several flights, grouping folds by vehicle becomes the only material source of optimism (0.062 [0.034, 0.087] of a 0.212 drop). Which crashes are scored and which normal flights they are compared with each carried a similar share, but neither could be isolated with 60–67 crashes. Separation against other aircraft persisted (0.67); only comparison with the same drone’s own earlier flights brought it to chance. On the 372 flights of the multi-flight cohort, cross-sectional and within-drone evaluation gave overlapping intervals (0.546 and 0.559, regenerated), indicating that uncalipered matching yields no clear precursor signal in this cohort. A GPS-time audit then showed that 85 of 210 crash-day earlier flights had been flown after the crash. Without them the within-drone model gave 0.582 [0.525, 0.660] on stored features but 0.507 [0.436, 0.582] on recomputed features, so any within-drone signal is weak and pipeline-dependent. A duration-caliper lift reported in earlier versions (</w:t>
      </w:r>
      <m:oMath>
        <m:r>
          <m:rPr>
            <m:sty m:val="p"/>
          </m:rPr>
          <m:t>+</m:t>
        </m:r>
        <m:r>
          <m:t>0.110</m:t>
        </m:r>
      </m:oMath>
      <w:r>
        <w:t xml:space="preserve"> </w:t>
      </w:r>
      <w:r>
        <w:t xml:space="preserve">[+0.028, +0.205])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In interpreting feature signals, two operational definitions of motor saturation must be distinguished: the whole-flight cumulative summary feature used in predictive models (</w:t>
      </w:r>
      <m:oMath>
        <m:r>
          <m:rPr>
            <m:scr m:val="monospace"/>
            <m:sty m:val="p"/>
          </m:rPr>
          <m:t>sat_frac</m:t>
        </m:r>
      </m:oMath>
      <w:r>
        <w:t xml:space="preserve">, the fraction of armed flight time with any motor at</w:t>
      </w:r>
      <w:r>
        <w:t xml:space="preserve"> </w:t>
      </w:r>
      <m:oMath>
        <m:r>
          <m:rPr>
            <m:sty m:val="p"/>
          </m:rPr>
          <m:t>≥</m:t>
        </m:r>
        <m:r>
          <m:t>95</m:t>
        </m:r>
        <m:r>
          <m:rPr>
            <m:sty m:val="p"/>
          </m:rPr>
          <m:t>%</m:t>
        </m:r>
      </m:oMath>
      <w:r>
        <w:t xml:space="preserve"> </w:t>
      </w:r>
      <w:r>
        <w:t xml:space="preserve">authority), versus the discrete threshold check used in the attribution rule (motor output at</w:t>
      </w:r>
      <w:r>
        <w:t xml:space="preserve"> </w:t>
      </w:r>
      <m:oMath>
        <m:r>
          <m:rPr>
            <m:sty m:val="p"/>
          </m:rPr>
          <m:t>≥</m:t>
        </m:r>
        <m:r>
          <m:t>95</m:t>
        </m:r>
        <m:r>
          <m:rPr>
            <m:sty m:val="p"/>
          </m:rPr>
          <m:t>%</m:t>
        </m:r>
      </m:oMath>
      <w:r>
        <w:t xml:space="preserve"> </w:t>
      </w:r>
      <w:r>
        <w:t xml:space="preserve">authority for</w:t>
      </w:r>
      <w:r>
        <w:t xml:space="preserve"> </w:t>
      </w:r>
      <m:oMath>
        <m:r>
          <m:rPr>
            <m:sty m:val="p"/>
          </m:rPr>
          <m:t>≥</m:t>
        </m:r>
        <m:r>
          <m:t>1.0</m:t>
        </m:r>
      </m:oMath>
      <w:r>
        <w:t xml:space="preserve"> s cumulative during the final 10 s before</w:t>
      </w:r>
      <w:r>
        <w:t xml:space="preserve"> </w:t>
      </w:r>
      <m:oMath>
        <m:sSub>
          <m:e>
            <m:r>
              <m:t>t</m:t>
            </m:r>
          </m:e>
          <m:sub>
            <m:r>
              <m:t>c</m:t>
            </m:r>
          </m:sub>
        </m:sSub>
      </m:oMath>
      <w:r>
        <w:t xml:space="preserve">). Furthermore, while crash-flight analysis windows terminate at impact or tilt, normal-flight comparison windows end at disarm (encompassing the complete descent, flare, touchdown, and landing sequence), which contributes to duration differences and baseline feature exposure. Regardless of the precise mechanism, we recommend that diagnostic evaluations remove the crash window,</w:t>
      </w:r>
      <w:r>
        <w:t xml:space="preserve"> </w:t>
      </w:r>
      <w:r>
        <w:t xml:space="preserve">report flight duration (whose effect we could not isolate), and compare against an aircraft’s own operating baseline before claiming pre-crash anticipation.</w:t>
      </w:r>
    </w:p>
    <w:p>
      <w:pPr>
        <w:pStyle w:val="BodyText"/>
      </w:pPr>
      <w:r>
        <w:rPr>
          <w:b/>
          <w:bCs/>
        </w:rPr>
        <w:t xml:space="preserve">Drone-level risk.</w:t>
      </w:r>
      <w:r>
        <w:t xml:space="preserve"> </w:t>
      </w:r>
      <w:r>
        <w:t xml:space="preserve">The one positive finding concerns airframes, not flights, and is suggestive rather than established once the 60 sets are clustered by their 40 crashed airframes (</w:t>
      </w:r>
      <m:oMath>
        <m:r>
          <m:t>p</m:t>
        </m:r>
        <m:r>
          <m:rPr>
            <m:sty m:val="p"/>
          </m:rPr>
          <m:t>=</m:t>
        </m:r>
        <m:r>
          <m:t>0.012</m:t>
        </m:r>
      </m:oMath>
      <w:r>
        <w:t xml:space="preserve">, Holm-adjusted 0.08).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28</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6" w:name="_82b82981e21bad8167d56d1f0b74a832e215810"/>
      <w:r>
        <w:rPr>
          <w:rStyle w:val="SectionNumber"/>
        </w:rPr>
        <w:t xml:space="preserve">8</w:t>
      </w:r>
      <w:r>
        <w:tab/>
      </w:r>
      <w:r>
        <w:t xml:space="preserve">Threats to validity</w:t>
      </w:r>
      <w:bookmarkEnd w:id="76"/>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suggestive result needs a replication on newer firmware with one crash per airframe.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f911bcf</w:t>
      </w:r>
      <w:r>
        <w:t xml:space="preserve"> </w:t>
      </w:r>
      <w:r>
        <w:t xml:space="preserve">and</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w:t>
      </w:r>
      <w:r>
        <w:t xml:space="preserve">on 20 and 23 October;</w:t>
      </w:r>
      <w:r>
        <w:t xml:space="preserve"> </w:t>
      </w:r>
      <w:r>
        <w:rPr>
          <w:rStyle w:val="VerbatimChar"/>
        </w:rPr>
        <w:t xml:space="preserve">2148644</w:t>
      </w:r>
      <w:r>
        <w:t xml:space="preserve"> </w:t>
      </w:r>
      <w:r>
        <w:t xml:space="preserve">and</w:t>
      </w:r>
      <w:r>
        <w:t xml:space="preserve"> </w:t>
      </w:r>
      <w:r>
        <w:rPr>
          <w:rStyle w:val="VerbatimChar"/>
        </w:rPr>
        <w:t xml:space="preserve">21af373</w:t>
      </w:r>
      <w:r>
        <w:t xml:space="preserve"> </w:t>
      </w:r>
      <w:r>
        <w:t xml:space="preserve">on 24 October; times in Table 4),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The audits added on 27 October (</w:t>
      </w:r>
      <w:r>
        <w:rPr>
          <w:rStyle w:val="VerbatimChar"/>
        </w:rPr>
        <w:t xml:space="preserve">3c34530</w:t>
      </w:r>
      <w:r>
        <w:t xml:space="preserve">,</w:t>
      </w:r>
      <w:r>
        <w:t xml:space="preserve"> </w:t>
      </w:r>
      <w:r>
        <w:rPr>
          <w:rStyle w:val="VerbatimChar"/>
        </w:rPr>
        <w:t xml:space="preserve">f6ba424</w:t>
      </w:r>
      <w:r>
        <w:t xml:space="preserve">,</w:t>
      </w:r>
      <w:r>
        <w:t xml:space="preserve"> </w:t>
      </w:r>
      <w:r>
        <w:rPr>
          <w:rStyle w:val="VerbatimChar"/>
        </w:rPr>
        <w:t xml:space="preserve">0e26db0</w:t>
      </w:r>
      <w:r>
        <w:t xml:space="preserve">,</w:t>
      </w:r>
      <w:r>
        <w:t xml:space="preserve"> </w:t>
      </w:r>
      <w:r>
        <w:rPr>
          <w:rStyle w:val="VerbatimChar"/>
        </w:rPr>
        <w:t xml:space="preserve">187f570</w:t>
      </w:r>
      <w:r>
        <w:t xml:space="preserve">,</w:t>
      </w:r>
      <w:r>
        <w:t xml:space="preserve"> </w:t>
      </w:r>
      <w:r>
        <w:rPr>
          <w:rStyle w:val="VerbatimChar"/>
        </w:rPr>
        <w:t xml:space="preserve">0d38f5d</w:t>
      </w:r>
      <w:r>
        <w:t xml:space="preserve">,</w:t>
      </w:r>
      <w:r>
        <w:t xml:space="preserve"> </w:t>
      </w:r>
      <w:r>
        <w:rPr>
          <w:rStyle w:val="VerbatimChar"/>
        </w:rPr>
        <w:t xml:space="preserve">6fff27d</w:t>
      </w:r>
      <w:r>
        <w:t xml:space="preserve">,</w:t>
      </w:r>
      <w:r>
        <w:t xml:space="preserve"> </w:t>
      </w:r>
      <w:r>
        <w:rPr>
          <w:rStyle w:val="VerbatimChar"/>
        </w:rPr>
        <w:t xml:space="preserve">016dafe</w:t>
      </w:r>
      <w:r>
        <w:t xml:space="preserve">,</w:t>
      </w:r>
      <w:r>
        <w:t xml:space="preserve"> </w:t>
      </w:r>
      <w:r>
        <w:rPr>
          <w:rStyle w:val="VerbatimChar"/>
        </w:rPr>
        <w:t xml:space="preserve">48c2fa7</w:t>
      </w:r>
      <w:r>
        <w:t xml:space="preserve">) have no independent archive yet and will be archived with the Zenodo release;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What a crash rating means</w:t>
      </w:r>
      <m:oMath>
        <m:sSup>
          <m:e>
            <m:r>
              <m:t>​</m:t>
            </m:r>
          </m:e>
          <m:sup>
            <m:r>
              <m:rPr>
                <m:sty m:val="p"/>
              </m:rPr>
              <m:t>†</m:t>
            </m:r>
          </m:sup>
        </m:sSup>
      </m:oMath>
      <w:r>
        <w:rPr>
          <w:b/>
          <w:bCs/>
        </w:rPr>
        <w:t xml:space="preserve">.</w:t>
      </w:r>
      <w:r>
        <w:t xml:space="preserve"> </w:t>
      </w:r>
      <w:r>
        <w:t xml:space="preserve">An uploader’s crash rating does not show that the aircraft was lost, but the archive cannot show that it survived either. Of 490 crash-rated logs from real hardware with a vehicle identifier, 264 (54%) have a later-dated log from the same flight-controller serial (median 4.5 days later; 83 within one day); among the 40 crashed airframes of the between-drone test the share is 78% (median one day). Because a flight controller can be moved to a new frame, this shows that the controller was flown again, not that the aircraft survived; the same-day flights after the crash found by GPS time are consistent with minor incidents but do not prove them. The crash moment is also uncertain: in only 72 of the 148 modelled crash logs does tilt exceed</w:t>
      </w:r>
      <w:r>
        <w:t xml:space="preserve"> </w:t>
      </w:r>
      <m:oMath>
        <m:sSup>
          <m:e>
            <m:r>
              <m:t>60</m:t>
            </m:r>
          </m:e>
          <m:sup>
            <m:r>
              <m:rPr>
                <m:sty m:val="p"/>
              </m:rPr>
              <m:t>∘</m:t>
            </m:r>
          </m:sup>
        </m:sSup>
      </m:oMath>
      <w:r>
        <w:t xml:space="preserve">; for the other 76,</w:t>
      </w:r>
      <w:r>
        <w:t xml:space="preserve"> </w:t>
      </w:r>
      <m:oMath>
        <m:sSub>
          <m:e>
            <m:r>
              <m:t>t</m:t>
            </m:r>
          </m:e>
          <m:sub>
            <m:r>
              <m:t>c</m:t>
            </m:r>
          </m:sub>
        </m:sSub>
      </m:oMath>
      <w:r>
        <w:t xml:space="preserve"> </w:t>
      </w:r>
      <w:r>
        <w:t xml:space="preserve">falls back to the end of the armed period. Of all 148, 116 have</w:t>
      </w:r>
      <w:r>
        <w:t xml:space="preserve"> </w:t>
      </w:r>
      <m:oMath>
        <m:sSub>
          <m:e>
            <m:r>
              <m:t>t</m:t>
            </m:r>
          </m:e>
          <m:sub>
            <m:r>
              <m:t>c</m:t>
            </m:r>
          </m:sub>
        </m:sSub>
      </m:oMath>
      <w:r>
        <w:t xml:space="preserve"> </w:t>
      </w:r>
      <w:r>
        <w:t xml:space="preserve">followed within 10 s by disarming or a landed or ground-contact flag, and 32 do not (second robustness audit). One author’s reading of 50 traces found the tilt-defined crash moment correct in 21 of 26 logs, while 18 of 24 logs without a tilt event showed no crash at all (Section 5.3); a second, blind reviewer has not yet checked them.</w:t>
      </w:r>
    </w:p>
    <w:p>
      <w:pPr>
        <w:pStyle w:val="BodyText"/>
      </w:pPr>
      <w:r>
        <w:rPr>
          <w:b/>
          <w:bCs/>
        </w:rPr>
        <w:t xml:space="preserve">Flight order.</w:t>
      </w:r>
      <w:r>
        <w:t xml:space="preserve"> </w:t>
      </w:r>
      <w:r>
        <w:t xml:space="preserve">Earlier flights were selected by calendar date.</w:t>
      </w:r>
      <w:r>
        <w:t xml:space="preserve"> </w:t>
      </w:r>
      <m:oMath>
        <m:sSup>
          <m:e>
            <m:r>
              <m:t>​</m:t>
            </m:r>
          </m:e>
          <m:sup>
            <m:r>
              <m:rPr>
                <m:sty m:val="p"/>
              </m:rPr>
              <m:t>†</m:t>
            </m:r>
          </m:sup>
        </m:sSup>
      </m:oMath>
      <w:r>
        <w:t xml:space="preserve">The index date matched the GPS UTC date for 365 of 456 flights with a GPS time (80%; 90% within one day), so it is mostly the flight date, and none of 221 flights dated before the crash day started after the crash by GPS time; the problem is confined to same-day flights, which a date cannot order. GPS times showed that 47 of 95 crash-day exposure flights in the between-drone sample, and 85 of 210 crash-day earlier flights in the within-drone sample, were flown after the crash. The between-drone result and the within-drone rank tests held without them; the caliper lift did not, and the within-drone model result depends on the feature pipeline (§5.3). Flights on earlier dates are ordered by the index date only, and 18 crash-day flights had no usable GPS time.</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10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7" w:name="_0cf7f8e9027f9f9352f3019b4ede1d43d537ff7"/>
      <w:r>
        <w:rPr>
          <w:rStyle w:val="SectionNumber"/>
        </w:rPr>
        <w:t xml:space="preserve">9</w:t>
      </w:r>
      <w:r>
        <w:tab/>
      </w:r>
      <w:r>
        <w:t xml:space="preserve">Conclusion</w:t>
      </w:r>
      <w:bookmarkEnd w:id="77"/>
    </w:p>
    <w:p>
      <w:pPr>
        <w:pStyle w:val="FirstParagraph"/>
      </w:pPr>
      <w:r>
        <w:t xml:space="preserve">Across 590 crash-rated logs from a 479,547-flight PX4 archive, flight logs did not support pilot-versus-aircraft verdicts. A fixed rule reached 0.47 balanced accuracy on held-out crashes, and exploratory models stayed near chance (AUC 0.42–0.59; approximate upper bounds at most 0.69), short of the roughly 0.8 an operational verdict needs; with 36 pilot-labelled crashes, only an AUC of about 0.72 could be detected with 80% power. Agreement with 43 expert-diagnosed logs was inconclusive (balanced accuracy 0.38, Bayesian 95% CrI 0.25–0.61).</w:t>
      </w:r>
    </w:p>
    <w:p>
      <w:pPr>
        <w:pStyle w:val="BodyText"/>
      </w:pPr>
      <w:r>
        <w:t xml:space="preserve">Much of what looks like crash anticipation comes from how an evaluation is built. In a factorial audit of 32 settings, the apparent AUC of 0.88 fell by 0.21 across settings, of which 0.06 came from grouping folds by vehicle, the only factor that could be isolated; and crash-window leakage was small overall but larger among the minority of crashes with a confirmed crash moment. Ordering flights by archive date also failed for same-day flights: by GPS time, 44–55% of dated crash-day</w:t>
      </w:r>
      <w:r>
        <w:t xml:space="preserve"> </w:t>
      </w:r>
      <w:r>
        <w:t xml:space="preserve">“earlier”</w:t>
      </w:r>
      <w:r>
        <w:t xml:space="preserve"> </w:t>
      </w:r>
      <w:r>
        <w:t xml:space="preserve">flights were flown after the crash. Against each drone’s own earlier flights, the crash flight showed no warning in vibration or rate tracking.</w:t>
      </w:r>
    </w:p>
    <w:p>
      <w:pPr>
        <w:pStyle w:val="BodyText"/>
      </w:pPr>
      <w:r>
        <w:t xml:space="preserve">What the logs did show is a suggestive between-airframe signal: drones that later crashed vibrated more than matched drones on ordinary flights on older estimator metrics (mean rank 0.67;</w:t>
      </w:r>
      <w:r>
        <w:t xml:space="preserve"> </w:t>
      </w:r>
      <m:oMath>
        <m:r>
          <m:t>p</m:t>
        </m:r>
        <m:r>
          <m:rPr>
            <m:sty m:val="p"/>
          </m:rPr>
          <m:t>=</m:t>
        </m:r>
        <m:r>
          <m:t>0.012</m:t>
        </m:r>
      </m:oMath>
      <w:r>
        <w:t xml:space="preserve"> </w:t>
      </w:r>
      <w:r>
        <w:t xml:space="preserve">clustered by airframe, Holm-adjusted 0.08), and replication on newer metrics was inconclusive. Used to rank airframes for inspection, it gave an illustrative</w:t>
      </w:r>
      <w:r>
        <w:t xml:space="preserve"> </w:t>
      </w:r>
      <m:oMath>
        <m:r>
          <m:t>3.3</m:t>
        </m:r>
        <m:r>
          <m:rPr>
            <m:sty m:val="p"/>
          </m:rPr>
          <m:t>×</m:t>
        </m:r>
      </m:oMath>
      <w:r>
        <w:t xml:space="preserve"> </w:t>
      </w:r>
      <w:r>
        <w:t xml:space="preserve">lift at an assumed 10% flag rate.</w:t>
      </w:r>
    </w:p>
    <w:p>
      <w:pPr>
        <w:pStyle w:val="BodyText"/>
      </w:pPr>
      <w:r>
        <w:t xml:space="preserve">Log analytics for drone fleets should therefore present evidence rather than issue verdicts; ranking airframes by vibration is a hypothesis for prospective testing, and should be evaluated with vehicle-grouped folds, comparisons against each aircraft’s own history, and flights ordered by GPS time. AeroFleet 2.0 implements this approach as an open-source tool.</w:t>
      </w:r>
    </w:p>
    <w:p>
      <w:pPr>
        <w:pStyle w:val="Heading1"/>
      </w:pPr>
      <w:bookmarkStart w:id="78" w:name="_84dc18e74b75db6057c8c16a8f70e097972540a"/>
      <w:r>
        <w:t xml:space="preserve">Declaration of competing interest</w:t>
      </w:r>
      <w:bookmarkEnd w:id="78"/>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9" w:name="_1f74eb43af444059c7518034463b6c89b1cacf4"/>
      <w:r>
        <w:t xml:space="preserve">Declaration of generative AI and AI-assisted technologies in the manuscript preparation process</w:t>
      </w:r>
      <w:bookmarkEnd w:id="79"/>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80" w:name="_ea5c66868f283220c19382d0fdd5a852ec570ca"/>
      <w:r>
        <w:t xml:space="preserve">Data availability</w:t>
      </w:r>
      <w:bookmarkEnd w:id="80"/>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1">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81" w:name="_funding"/>
      <w:r>
        <w:t xml:space="preserve">Funding</w:t>
      </w:r>
      <w:bookmarkEnd w:id="81"/>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82" w:name="_bibliography"/>
      <w:r>
        <w:t xml:space="preserve">References</w:t>
      </w:r>
      <w:bookmarkEnd w:id="82"/>
    </w:p>
    <w:bookmarkStart w:id="152" w:name="_refs"/>
    <w:bookmarkStart w:id="83"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3"/>
    <w:bookmarkStart w:id="84"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4"/>
    <w:bookmarkStart w:id="85"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5"/>
    <w:bookmarkStart w:id="86"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6"/>
    <w:bookmarkStart w:id="88"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7">
        <w:r>
          <w:rPr>
            <w:rStyle w:val="Hyperlink"/>
          </w:rPr>
          <w:t xml:space="preserve">10.1109/ICSE55347.2025.00223</w:t>
        </w:r>
      </w:hyperlink>
      <w:r>
        <w:t xml:space="preserve">.</w:t>
      </w:r>
    </w:p>
    <w:bookmarkEnd w:id="88"/>
    <w:bookmarkStart w:id="90"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9">
        <w:r>
          <w:rPr>
            <w:rStyle w:val="Hyperlink"/>
          </w:rPr>
          <w:t xml:space="preserve">10.1016/j.fsidi.2026.302051</w:t>
        </w:r>
      </w:hyperlink>
      <w:r>
        <w:t xml:space="preserve">.</w:t>
      </w:r>
    </w:p>
    <w:bookmarkEnd w:id="90"/>
    <w:bookmarkStart w:id="91"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91"/>
    <w:bookmarkStart w:id="93"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2">
        <w:r>
          <w:rPr>
            <w:rStyle w:val="Hyperlink"/>
          </w:rPr>
          <w:t xml:space="preserve">10.1145/2382577.2382579</w:t>
        </w:r>
      </w:hyperlink>
      <w:r>
        <w:t xml:space="preserve">.</w:t>
      </w:r>
    </w:p>
    <w:bookmarkEnd w:id="93"/>
    <w:bookmarkStart w:id="95"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94">
        <w:r>
          <w:rPr>
            <w:rStyle w:val="Hyperlink"/>
          </w:rPr>
          <w:t xml:space="preserve">10.1016/j.patter.2023.100804</w:t>
        </w:r>
      </w:hyperlink>
      <w:r>
        <w:t xml:space="preserve">.</w:t>
      </w:r>
    </w:p>
    <w:bookmarkEnd w:id="95"/>
    <w:bookmarkStart w:id="97"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6">
        <w:r>
          <w:rPr>
            <w:rStyle w:val="Hyperlink"/>
          </w:rPr>
          <w:t xml:space="preserve">10.1177/0278364920966642</w:t>
        </w:r>
      </w:hyperlink>
      <w:r>
        <w:t xml:space="preserve">.</w:t>
      </w:r>
    </w:p>
    <w:bookmarkEnd w:id="97"/>
    <w:bookmarkStart w:id="99"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8">
        <w:r>
          <w:rPr>
            <w:rStyle w:val="Hyperlink"/>
          </w:rPr>
          <w:t xml:space="preserve">10.1177/02783649241305153</w:t>
        </w:r>
      </w:hyperlink>
      <w:r>
        <w:t xml:space="preserve">.</w:t>
      </w:r>
    </w:p>
    <w:bookmarkEnd w:id="99"/>
    <w:bookmarkStart w:id="100"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100"/>
    <w:bookmarkStart w:id="102"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101">
        <w:r>
          <w:rPr>
            <w:rStyle w:val="Hyperlink"/>
          </w:rPr>
          <w:t xml:space="preserve">10.3390/aerospace3030022</w:t>
        </w:r>
      </w:hyperlink>
      <w:r>
        <w:t xml:space="preserve">.</w:t>
      </w:r>
    </w:p>
    <w:bookmarkEnd w:id="102"/>
    <w:bookmarkStart w:id="103"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103"/>
    <w:bookmarkStart w:id="105"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4">
        <w:r>
          <w:rPr>
            <w:rStyle w:val="Hyperlink"/>
          </w:rPr>
          <w:t xml:space="preserve">10.1109/ICRA.2015.7140074</w:t>
        </w:r>
      </w:hyperlink>
      <w:r>
        <w:t xml:space="preserve">.</w:t>
      </w:r>
    </w:p>
    <w:bookmarkEnd w:id="105"/>
    <w:bookmarkStart w:id="106"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6"/>
    <w:bookmarkStart w:id="107"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7"/>
    <w:bookmarkStart w:id="109"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8">
        <w:r>
          <w:rPr>
            <w:rStyle w:val="Hyperlink"/>
          </w:rPr>
          <w:t xml:space="preserve">10.3390/s26103188</w:t>
        </w:r>
      </w:hyperlink>
      <w:r>
        <w:t xml:space="preserve">.</w:t>
      </w:r>
    </w:p>
    <w:bookmarkEnd w:id="109"/>
    <w:bookmarkStart w:id="111" w:name="_950e388298cdb3fb08e5b74428870c5b4c838aa"/>
    <w:p>
      <w:pPr>
        <w:pStyle w:val="Bibliography"/>
      </w:pPr>
      <w:r>
        <w:t xml:space="preserve">[19]</w:t>
      </w:r>
      <w:r>
        <w:t xml:space="preserve"> </w:t>
      </w:r>
      <w:r>
        <w:t xml:space="preserve">	</w:t>
      </w:r>
      <w:r>
        <w:t xml:space="preserve">D. Wang, S. Li, G. Xiao, Y. Liu, Y. Sui, P. He, M.R. Lyu, An exploratory investigation of log anomalies in unmanned aerial vehicles, in: Proceedings of the IEEE/ACM 46th International Conference on Software Engineering (ICSE), 2024: pp. 2593–2605. https://doi.org/</w:t>
      </w:r>
      <w:hyperlink r:id="rId110">
        <w:r>
          <w:rPr>
            <w:rStyle w:val="Hyperlink"/>
          </w:rPr>
          <w:t xml:space="preserve">10.1145/3597503.3639186</w:t>
        </w:r>
      </w:hyperlink>
      <w:r>
        <w:t xml:space="preserve">.</w:t>
      </w:r>
    </w:p>
    <w:bookmarkEnd w:id="111"/>
    <w:bookmarkStart w:id="113"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12">
        <w:r>
          <w:rPr>
            <w:rStyle w:val="Hyperlink"/>
          </w:rPr>
          <w:t xml:space="preserve">10.3390/drones6110330</w:t>
        </w:r>
      </w:hyperlink>
      <w:r>
        <w:t xml:space="preserve">.</w:t>
      </w:r>
    </w:p>
    <w:bookmarkEnd w:id="113"/>
    <w:bookmarkStart w:id="115"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4">
        <w:r>
          <w:rPr>
            <w:rStyle w:val="Hyperlink"/>
          </w:rPr>
          <w:t xml:space="preserve">10.1145/3146389</w:t>
        </w:r>
      </w:hyperlink>
      <w:r>
        <w:t xml:space="preserve">.</w:t>
      </w:r>
    </w:p>
    <w:bookmarkEnd w:id="115"/>
    <w:bookmarkStart w:id="117"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16">
        <w:r>
          <w:rPr>
            <w:rStyle w:val="Hyperlink"/>
          </w:rPr>
          <w:t xml:space="preserve">10.3389/frobt.2024.1123762</w:t>
        </w:r>
      </w:hyperlink>
      <w:r>
        <w:t xml:space="preserve">.</w:t>
      </w:r>
    </w:p>
    <w:bookmarkEnd w:id="117"/>
    <w:bookmarkStart w:id="119"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8">
        <w:r>
          <w:rPr>
            <w:rStyle w:val="Hyperlink"/>
          </w:rPr>
          <w:t xml:space="preserve">10.1145/3468264.3468559</w:t>
        </w:r>
      </w:hyperlink>
      <w:r>
        <w:t xml:space="preserve">.</w:t>
      </w:r>
    </w:p>
    <w:bookmarkEnd w:id="119"/>
    <w:bookmarkStart w:id="121" w:name="_28fc3a5fe4ab4d700ff5d5013cf5016c3615a4e"/>
    <w:p>
      <w:pPr>
        <w:pStyle w:val="Bibliography"/>
      </w:pPr>
      <w:r>
        <w:t xml:space="preserve">[24]</w:t>
      </w:r>
      <w:r>
        <w:t xml:space="preserve"> </w:t>
      </w:r>
      <w:r>
        <w:t xml:space="preserve">	</w:t>
      </w:r>
      <w:r>
        <w:t xml:space="preserve">T. Kim, C.H. Kim, A. Ozen, F. Fei, Z. Tu, X. Zhang, X. Deng, D.(Jing). Tian, D. Xu, From control model to program: Investigating robotic aerial vehicle accidents with</w:t>
      </w:r>
      <w:r>
        <w:t xml:space="preserve"> </w:t>
      </w:r>
      <w:r>
        <w:t xml:space="preserve">MAYDAY</w:t>
      </w:r>
      <w:r>
        <w:t xml:space="preserve">, in: Proceedings of the 29th USENIX Security Symposium, USENIX Association, 2020.</w:t>
      </w:r>
      <w:r>
        <w:t xml:space="preserve"> </w:t>
      </w:r>
      <w:hyperlink r:id="rId120">
        <w:r>
          <w:rPr>
            <w:rStyle w:val="Hyperlink"/>
          </w:rPr>
          <w:t xml:space="preserve">https://www.usenix.org/conference/usenixsecurity20/presentation/kim</w:t>
        </w:r>
      </w:hyperlink>
      <w:r>
        <w:t xml:space="preserve">.</w:t>
      </w:r>
    </w:p>
    <w:bookmarkEnd w:id="121"/>
    <w:bookmarkStart w:id="123" w:name="_d4ad44bf9b3d266a94b61d09f97230334249200"/>
    <w:p>
      <w:pPr>
        <w:pStyle w:val="Bibliography"/>
      </w:pPr>
      <w:r>
        <w:t xml:space="preserve">[25]</w:t>
      </w:r>
      <w:r>
        <w:t xml:space="preserve"> </w:t>
      </w:r>
      <w:r>
        <w:t xml:space="preserve">	</w:t>
      </w:r>
      <w:r>
        <w:t xml:space="preserve">M. Seong, W. Yun, C. Lee, S. Lee, J. Park, Flight log analysis and recovery for open-source drones: Focusing on</w:t>
      </w:r>
      <w:r>
        <w:t xml:space="preserve"> </w:t>
      </w:r>
      <w:r>
        <w:t xml:space="preserve">ArduPilot</w:t>
      </w:r>
      <w:r>
        <w:t xml:space="preserve">,</w:t>
      </w:r>
      <w:r>
        <w:t xml:space="preserve"> </w:t>
      </w:r>
      <w:r>
        <w:t xml:space="preserve">PX4</w:t>
      </w:r>
      <w:r>
        <w:t xml:space="preserve">, and</w:t>
      </w:r>
      <w:r>
        <w:t xml:space="preserve"> </w:t>
      </w:r>
      <w:r>
        <w:t xml:space="preserve">Betaflight</w:t>
      </w:r>
      <w:r>
        <w:t xml:space="preserve">, Computers and Electrical Engineering 135 (2026) 111144. https://doi.org/</w:t>
      </w:r>
      <w:hyperlink r:id="rId122">
        <w:r>
          <w:rPr>
            <w:rStyle w:val="Hyperlink"/>
          </w:rPr>
          <w:t xml:space="preserve">10.1016/j.compeleceng.2026.111144</w:t>
        </w:r>
      </w:hyperlink>
      <w:r>
        <w:t xml:space="preserve">.</w:t>
      </w:r>
    </w:p>
    <w:bookmarkEnd w:id="123"/>
    <w:bookmarkStart w:id="125" w:name="_c31a8d3d1228c558f290994c7b0f9dadcd70167"/>
    <w:p>
      <w:pPr>
        <w:pStyle w:val="Bibliography"/>
      </w:pPr>
      <w:r>
        <w:t xml:space="preserve">[26]</w:t>
      </w:r>
      <w:r>
        <w:t xml:space="preserve"> </w:t>
      </w:r>
      <w:r>
        <w:t xml:space="preserve">	</w:t>
      </w:r>
      <w:r>
        <w:t xml:space="preserve">R. Hakani, A. Rawat, A. Kumar, Enhancing</w:t>
      </w:r>
      <w:r>
        <w:t xml:space="preserve"> </w:t>
      </w:r>
      <w:r>
        <w:t xml:space="preserve">UAV</w:t>
      </w:r>
      <w:r>
        <w:t xml:space="preserve"> </w:t>
      </w:r>
      <w:r>
        <w:t xml:space="preserve">safety through battery health monitoring and flight log-based crash diagnostics, IEEE Sensors Reviews (2025). https://doi.org/</w:t>
      </w:r>
      <w:hyperlink r:id="rId124">
        <w:r>
          <w:rPr>
            <w:rStyle w:val="Hyperlink"/>
          </w:rPr>
          <w:t xml:space="preserve">10.1109/SR.2025.3597582</w:t>
        </w:r>
      </w:hyperlink>
      <w:r>
        <w:t xml:space="preserve">.</w:t>
      </w:r>
    </w:p>
    <w:bookmarkEnd w:id="125"/>
    <w:bookmarkStart w:id="127" w:name="_db271caa090a7def1254596a62a362b0608337f"/>
    <w:p>
      <w:pPr>
        <w:pStyle w:val="Bibliography"/>
      </w:pPr>
      <w:r>
        <w:t xml:space="preserve">[27]</w:t>
      </w:r>
      <w:r>
        <w:t xml:space="preserve"> </w:t>
      </w:r>
      <w:r>
        <w:t xml:space="preserve">	</w:t>
      </w:r>
      <w:r>
        <w:t xml:space="preserve">E. Mantas, C. Patsakis,</w:t>
      </w:r>
      <w:r>
        <w:t xml:space="preserve"> </w:t>
      </w:r>
      <w:r>
        <w:t xml:space="preserve">GRYPHON</w:t>
      </w:r>
      <w:r>
        <w:t xml:space="preserve">: Drone forensics in dataflash and telemetry logs, in: Advances in Information and Computer Security, Springer, 2019: pp. 377–390. https://doi.org/</w:t>
      </w:r>
      <w:hyperlink r:id="rId126">
        <w:r>
          <w:rPr>
            <w:rStyle w:val="Hyperlink"/>
          </w:rPr>
          <w:t xml:space="preserve">10.1007/978-3-030-26834-3_22</w:t>
        </w:r>
      </w:hyperlink>
      <w:r>
        <w:t xml:space="preserve">.</w:t>
      </w:r>
    </w:p>
    <w:bookmarkEnd w:id="127"/>
    <w:bookmarkStart w:id="129" w:name="_4f9a794a6a4ddf2789379e73f8e74e34b9538b4"/>
    <w:p>
      <w:pPr>
        <w:pStyle w:val="Bibliography"/>
      </w:pPr>
      <w:r>
        <w:t xml:space="preserve">[28]</w:t>
      </w:r>
      <w:r>
        <w:t xml:space="preserve"> </w:t>
      </w:r>
      <w:r>
        <w:t xml:space="preserve">	</w:t>
      </w:r>
      <w:r>
        <w:t xml:space="preserve">E. Petritoli, F. Leccese, L. Ciani, Reliability and maintenance analysis of unmanned aerial vehicles, Sensors 18 (2018) 3171. https://doi.org/</w:t>
      </w:r>
      <w:hyperlink r:id="rId128">
        <w:r>
          <w:rPr>
            <w:rStyle w:val="Hyperlink"/>
          </w:rPr>
          <w:t xml:space="preserve">10.3390/s18093171</w:t>
        </w:r>
      </w:hyperlink>
      <w:r>
        <w:t xml:space="preserve">.</w:t>
      </w:r>
    </w:p>
    <w:bookmarkEnd w:id="129"/>
    <w:bookmarkStart w:id="130" w:name="_a0e369e89429aa426010697429f06415b068aab"/>
    <w:p>
      <w:pPr>
        <w:pStyle w:val="Bibliography"/>
      </w:pPr>
      <w:r>
        <w:t xml:space="preserve">[29]</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30"/>
    <w:bookmarkStart w:id="132" w:name="_b71485d7ca39b77d2f8c60f2e52a354c8c113b0"/>
    <w:p>
      <w:pPr>
        <w:pStyle w:val="Bibliography"/>
      </w:pPr>
      <w:r>
        <w:t xml:space="preserve">[30]</w:t>
      </w:r>
      <w:r>
        <w:t xml:space="preserve"> </w:t>
      </w:r>
      <w:r>
        <w:t xml:space="preserve">	</w:t>
      </w:r>
      <w:r>
        <w:t xml:space="preserve">H. Li, J. Ma, Z. Wang, L. Chen, R. Xu, J. Ai,</w:t>
      </w:r>
      <w:r>
        <w:t xml:space="preserve"> </w:t>
      </w:r>
      <w:r>
        <w:t xml:space="preserve">UFA</w:t>
      </w:r>
      <w:r>
        <w:t xml:space="preserve">: An</w:t>
      </w:r>
      <w:r>
        <w:t xml:space="preserve"> </w:t>
      </w:r>
      <w:r>
        <w:t xml:space="preserve">LLM</w:t>
      </w:r>
      <w:r>
        <w:t xml:space="preserve">-driven</w:t>
      </w:r>
      <w:r>
        <w:t xml:space="preserve"> </w:t>
      </w:r>
      <w:r>
        <w:t xml:space="preserve">UAV</w:t>
      </w:r>
      <w:r>
        <w:t xml:space="preserve"> </w:t>
      </w:r>
      <w:r>
        <w:t xml:space="preserve">forensic intelligent agent for low-altitude public security, Expert Systems with Applications 327 (2026) 132859. https://doi.org/</w:t>
      </w:r>
      <w:hyperlink r:id="rId131">
        <w:r>
          <w:rPr>
            <w:rStyle w:val="Hyperlink"/>
          </w:rPr>
          <w:t xml:space="preserve">10.1016/j.eswa.2026.132859</w:t>
        </w:r>
      </w:hyperlink>
      <w:r>
        <w:t xml:space="preserve">.</w:t>
      </w:r>
    </w:p>
    <w:bookmarkEnd w:id="132"/>
    <w:bookmarkStart w:id="134" w:name="_06ffb55068ea9e0b3a7aa6e754cfcffab5f832f"/>
    <w:p>
      <w:pPr>
        <w:pStyle w:val="Bibliography"/>
      </w:pPr>
      <w:r>
        <w:t xml:space="preserve">[31]</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33">
        <w:r>
          <w:rPr>
            <w:rStyle w:val="Hyperlink"/>
          </w:rPr>
          <w:t xml:space="preserve">https://proceedings.mlr.press/v235/du24e.html</w:t>
        </w:r>
      </w:hyperlink>
      <w:r>
        <w:t xml:space="preserve">.</w:t>
      </w:r>
    </w:p>
    <w:bookmarkEnd w:id="134"/>
    <w:bookmarkStart w:id="136" w:name="_8a3cc11b1319c0fe6bf6179f8196eab503a64d0"/>
    <w:p>
      <w:pPr>
        <w:pStyle w:val="Bibliography"/>
      </w:pPr>
      <w:r>
        <w:t xml:space="preserve">[32]</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35">
        <w:r>
          <w:rPr>
            <w:rStyle w:val="Hyperlink"/>
          </w:rPr>
          <w:t xml:space="preserve">10.1145/3605764.3623985</w:t>
        </w:r>
      </w:hyperlink>
      <w:r>
        <w:t xml:space="preserve">.</w:t>
      </w:r>
    </w:p>
    <w:bookmarkEnd w:id="136"/>
    <w:bookmarkStart w:id="138" w:name="_1347ffcfa7cf605bba5af95142b3cba7f0abdc4"/>
    <w:p>
      <w:pPr>
        <w:pStyle w:val="Bibliography"/>
      </w:pPr>
      <w:r>
        <w:t xml:space="preserve">[33]</w:t>
      </w:r>
      <w:r>
        <w:t xml:space="preserve"> </w:t>
      </w:r>
      <w:r>
        <w:t xml:space="preserve">	</w:t>
      </w:r>
      <w:r>
        <w:t xml:space="preserve">J.P. Vieira, V.A. Bauler, R.K. Rosa, D. Silva, Towards a more realistic evaluation of machine learning models for bearing fault diagnosis, (2025). https://doi.org/</w:t>
      </w:r>
      <w:hyperlink r:id="rId137">
        <w:r>
          <w:rPr>
            <w:rStyle w:val="Hyperlink"/>
          </w:rPr>
          <w:t xml:space="preserve">10.48550/arXiv.2509.22267</w:t>
        </w:r>
      </w:hyperlink>
      <w:r>
        <w:t xml:space="preserve">.</w:t>
      </w:r>
    </w:p>
    <w:bookmarkEnd w:id="138"/>
    <w:bookmarkStart w:id="140" w:name="_ab8841c06958c924804c38799fc8ccd94ea102a"/>
    <w:p>
      <w:pPr>
        <w:pStyle w:val="Bibliography"/>
      </w:pPr>
      <w:r>
        <w:t xml:space="preserve">[34]</w:t>
      </w:r>
      <w:r>
        <w:t xml:space="preserve"> </w:t>
      </w:r>
      <w:r>
        <w:t xml:space="preserve">	</w:t>
      </w:r>
      <w:r>
        <w:t xml:space="preserve">B. Frénay, M. Verleysen, Classification in the presence of label noise: A survey, IEEE Transactions on Neural Networks and Learning Systems 25 (2014) 845–869. https://doi.org/</w:t>
      </w:r>
      <w:hyperlink r:id="rId139">
        <w:r>
          <w:rPr>
            <w:rStyle w:val="Hyperlink"/>
          </w:rPr>
          <w:t xml:space="preserve">10.1109/TNNLS.2013.2292894</w:t>
        </w:r>
      </w:hyperlink>
      <w:r>
        <w:t xml:space="preserve">.</w:t>
      </w:r>
    </w:p>
    <w:bookmarkEnd w:id="140"/>
    <w:bookmarkStart w:id="142" w:name="_90b58fdc380e5ffe19ed416545c54d06f184b09"/>
    <w:p>
      <w:pPr>
        <w:pStyle w:val="Bibliography"/>
      </w:pPr>
      <w:r>
        <w:t xml:space="preserve">[35]</w:t>
      </w:r>
      <w:r>
        <w:t xml:space="preserve"> </w:t>
      </w:r>
      <w:r>
        <w:t xml:space="preserve">	</w:t>
      </w:r>
      <w:r>
        <w:t xml:space="preserve">E.A. Stuart, Matching methods for causal inference: A review and a look forward, Statistical Science 25 (2010) 1–21. https://doi.org/</w:t>
      </w:r>
      <w:hyperlink r:id="rId141">
        <w:r>
          <w:rPr>
            <w:rStyle w:val="Hyperlink"/>
          </w:rPr>
          <w:t xml:space="preserve">10.1214/09-STS313</w:t>
        </w:r>
      </w:hyperlink>
      <w:r>
        <w:t xml:space="preserve">.</w:t>
      </w:r>
    </w:p>
    <w:bookmarkEnd w:id="142"/>
    <w:bookmarkStart w:id="144" w:name="_f6e66cea9a1ea78573b548bc5cf8461c81300ca"/>
    <w:p>
      <w:pPr>
        <w:pStyle w:val="Bibliography"/>
      </w:pPr>
      <w:r>
        <w:t xml:space="preserve">[36]</w:t>
      </w:r>
      <w:r>
        <w:t xml:space="preserve"> </w:t>
      </w:r>
      <w:r>
        <w:t xml:space="preserve">	</w:t>
      </w:r>
      <w:r>
        <w:t xml:space="preserve">B.A. Nosek, C.R. Ebersole, A.C. DeHaven, D.T. Mellor, The preregistration revolution, Proceedings of the National Academy of Sciences 115 (2018) 2600–2606. https://doi.org/</w:t>
      </w:r>
      <w:hyperlink r:id="rId143">
        <w:r>
          <w:rPr>
            <w:rStyle w:val="Hyperlink"/>
          </w:rPr>
          <w:t xml:space="preserve">10.1073/pnas.1708274114</w:t>
        </w:r>
      </w:hyperlink>
      <w:r>
        <w:t xml:space="preserve">.</w:t>
      </w:r>
    </w:p>
    <w:bookmarkEnd w:id="144"/>
    <w:bookmarkStart w:id="146" w:name="_ad8397d41f792404ea3ffa2c2145e851561e0cf"/>
    <w:p>
      <w:pPr>
        <w:pStyle w:val="Bibliography"/>
      </w:pPr>
      <w:r>
        <w:t xml:space="preserve">[37]</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45">
        <w:r>
          <w:rPr>
            <w:rStyle w:val="Hyperlink"/>
          </w:rPr>
          <w:t xml:space="preserve">10.1148/radiology.143.1.7063747</w:t>
        </w:r>
      </w:hyperlink>
      <w:r>
        <w:t xml:space="preserve">.</w:t>
      </w:r>
    </w:p>
    <w:bookmarkEnd w:id="146"/>
    <w:bookmarkStart w:id="148" w:name="_7ae2e06bcfe80442633569f5f6b1e21460598cb"/>
    <w:p>
      <w:pPr>
        <w:pStyle w:val="Bibliography"/>
      </w:pPr>
      <w:r>
        <w:t xml:space="preserve">[38]</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47">
        <w:r>
          <w:rPr>
            <w:rStyle w:val="Hyperlink"/>
          </w:rPr>
          <w:t xml:space="preserve">10.1214/aoms/1177730491</w:t>
        </w:r>
      </w:hyperlink>
      <w:r>
        <w:t xml:space="preserve">.</w:t>
      </w:r>
    </w:p>
    <w:bookmarkEnd w:id="148"/>
    <w:bookmarkStart w:id="149" w:name="_d0a9d29bfb3d63b968b17ba95db409a8b61dfda"/>
    <w:p>
      <w:pPr>
        <w:pStyle w:val="Bibliography"/>
      </w:pPr>
      <w:r>
        <w:t xml:space="preserve">[39]</w:t>
      </w:r>
      <w:r>
        <w:t xml:space="preserve"> </w:t>
      </w:r>
      <w:r>
        <w:t xml:space="preserve">	</w:t>
      </w:r>
      <w:r>
        <w:t xml:space="preserve">B. Efron, R.J. Tibshirani, An introduction to the bootstrap, Chapman &amp; Hall, New York, 1993.</w:t>
      </w:r>
    </w:p>
    <w:bookmarkEnd w:id="149"/>
    <w:bookmarkStart w:id="151" w:name="_89a013c1487ff07275d04a7e5b79d7551b6a9f6"/>
    <w:p>
      <w:pPr>
        <w:pStyle w:val="Bibliography"/>
      </w:pPr>
      <w:r>
        <w:t xml:space="preserve">[40]</w:t>
      </w:r>
      <w:r>
        <w:t xml:space="preserve"> </w:t>
      </w:r>
      <w:r>
        <w:t xml:space="preserve">	</w:t>
      </w:r>
      <w:r>
        <w:t xml:space="preserve">S. Holm, A simple sequentially rejective multiple test procedure, Scandinavian Journal of Statistics 6 (1979) 65–70.</w:t>
      </w:r>
      <w:r>
        <w:t xml:space="preserve"> </w:t>
      </w:r>
      <w:hyperlink r:id="rId150">
        <w:r>
          <w:rPr>
            <w:rStyle w:val="Hyperlink"/>
          </w:rPr>
          <w:t xml:space="preserve">https://www.jstor.org/stable/4615733</w:t>
        </w:r>
      </w:hyperlink>
      <w:r>
        <w:t xml:space="preserve">.</w:t>
      </w:r>
    </w:p>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png"/><Relationship Id="rId42" Type="http://schemas.openxmlformats.org/officeDocument/2006/relationships/image" Target="media/rId42.png"/><Relationship Id="rId56" Type="http://schemas.openxmlformats.org/officeDocument/2006/relationships/image" Target="media/rId56.png"/><Relationship Id="rId33" Type="http://schemas.openxmlformats.org/officeDocument/2006/relationships/image" Target="media/rId33.png"/><Relationship Id="rId17" Type="http://schemas.openxmlformats.org/officeDocument/2006/relationships/image" Target="media/rId17.png"/><Relationship Id="rId50" Type="http://schemas.openxmlformats.org/officeDocument/2006/relationships/image" Target="media/rId50.png"/><Relationship Id="rId126" Type="http://schemas.openxmlformats.org/officeDocument/2006/relationships/hyperlink" Target="https://doi.org/10.1007/978-3-030-26834-3_22" TargetMode="External"/><Relationship Id="rId122" Type="http://schemas.openxmlformats.org/officeDocument/2006/relationships/hyperlink" Target="https://doi.org/10.1016/j.compeleceng.2026.111144" TargetMode="External"/><Relationship Id="rId131" Type="http://schemas.openxmlformats.org/officeDocument/2006/relationships/hyperlink" Target="https://doi.org/10.1016/j.eswa.2026.132859" TargetMode="External"/><Relationship Id="rId89" Type="http://schemas.openxmlformats.org/officeDocument/2006/relationships/hyperlink" Target="https://doi.org/10.1016/j.fsidi.2026.302051" TargetMode="External"/><Relationship Id="rId94" Type="http://schemas.openxmlformats.org/officeDocument/2006/relationships/hyperlink" Target="https://doi.org/10.1016/j.patter.2023.100804" TargetMode="External"/><Relationship Id="rId143" Type="http://schemas.openxmlformats.org/officeDocument/2006/relationships/hyperlink" Target="https://doi.org/10.1073/pnas.1708274114" TargetMode="External"/><Relationship Id="rId104" Type="http://schemas.openxmlformats.org/officeDocument/2006/relationships/hyperlink" Target="https://doi.org/10.1109/ICRA.2015.7140074" TargetMode="External"/><Relationship Id="rId87" Type="http://schemas.openxmlformats.org/officeDocument/2006/relationships/hyperlink" Target="https://doi.org/10.1109/ICSE55347.2025.00223" TargetMode="External"/><Relationship Id="rId124" Type="http://schemas.openxmlformats.org/officeDocument/2006/relationships/hyperlink" Target="https://doi.org/10.1109/SR.2025.3597582" TargetMode="External"/><Relationship Id="rId139" Type="http://schemas.openxmlformats.org/officeDocument/2006/relationships/hyperlink" Target="https://doi.org/10.1109/TNNLS.2013.2292894" TargetMode="External"/><Relationship Id="rId92" Type="http://schemas.openxmlformats.org/officeDocument/2006/relationships/hyperlink" Target="https://doi.org/10.1145/2382577.2382579" TargetMode="External"/><Relationship Id="rId114" Type="http://schemas.openxmlformats.org/officeDocument/2006/relationships/hyperlink" Target="https://doi.org/10.1145/3146389" TargetMode="External"/><Relationship Id="rId118" Type="http://schemas.openxmlformats.org/officeDocument/2006/relationships/hyperlink" Target="https://doi.org/10.1145/3468264.3468559" TargetMode="External"/><Relationship Id="rId110" Type="http://schemas.openxmlformats.org/officeDocument/2006/relationships/hyperlink" Target="https://doi.org/10.1145/3597503.3639186" TargetMode="External"/><Relationship Id="rId135" Type="http://schemas.openxmlformats.org/officeDocument/2006/relationships/hyperlink" Target="https://doi.org/10.1145/3605764.3623985" TargetMode="External"/><Relationship Id="rId145" Type="http://schemas.openxmlformats.org/officeDocument/2006/relationships/hyperlink" Target="https://doi.org/10.1148/radiology.143.1.7063747" TargetMode="External"/><Relationship Id="rId96" Type="http://schemas.openxmlformats.org/officeDocument/2006/relationships/hyperlink" Target="https://doi.org/10.1177/0278364920966642" TargetMode="External"/><Relationship Id="rId98" Type="http://schemas.openxmlformats.org/officeDocument/2006/relationships/hyperlink" Target="https://doi.org/10.1177/02783649241305153" TargetMode="External"/><Relationship Id="rId141" Type="http://schemas.openxmlformats.org/officeDocument/2006/relationships/hyperlink" Target="https://doi.org/10.1214/09-STS313" TargetMode="External"/><Relationship Id="rId147" Type="http://schemas.openxmlformats.org/officeDocument/2006/relationships/hyperlink" Target="https://doi.org/10.1214/aoms/1177730491" TargetMode="External"/><Relationship Id="rId116" Type="http://schemas.openxmlformats.org/officeDocument/2006/relationships/hyperlink" Target="https://doi.org/10.3389/frobt.2024.1123762" TargetMode="External"/><Relationship Id="rId101" Type="http://schemas.openxmlformats.org/officeDocument/2006/relationships/hyperlink" Target="https://doi.org/10.3390/aerospace3030022" TargetMode="External"/><Relationship Id="rId112" Type="http://schemas.openxmlformats.org/officeDocument/2006/relationships/hyperlink" Target="https://doi.org/10.3390/drones6110330" TargetMode="External"/><Relationship Id="rId128" Type="http://schemas.openxmlformats.org/officeDocument/2006/relationships/hyperlink" Target="https://doi.org/10.3390/s18093171" TargetMode="External"/><Relationship Id="rId108" Type="http://schemas.openxmlformats.org/officeDocument/2006/relationships/hyperlink" Target="https://doi.org/10.3390/s26103188" TargetMode="External"/><Relationship Id="rId137" Type="http://schemas.openxmlformats.org/officeDocument/2006/relationships/hyperlink" Target="https://doi.org/10.48550/arXiv.2509.22267" TargetMode="External"/><Relationship Id="rId71" Type="http://schemas.openxmlformats.org/officeDocument/2006/relationships/hyperlink" Target="https://github.com/AdityaPathare46/aerofleet" TargetMode="External"/><Relationship Id="rId133" Type="http://schemas.openxmlformats.org/officeDocument/2006/relationships/hyperlink" Target="https://proceedings.mlr.press/v235/du24e.html" TargetMode="External"/><Relationship Id="rId150" Type="http://schemas.openxmlformats.org/officeDocument/2006/relationships/hyperlink" Target="https://www.jstor.org/stable/4615733" TargetMode="External"/><Relationship Id="rId120" Type="http://schemas.openxmlformats.org/officeDocument/2006/relationships/hyperlink" Target="https://www.usenix.org/conference/usenixsecurity20/presentation/kim"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doi.org/10.1007/978-3-030-26834-3_22" TargetMode="External"/><Relationship Id="rId122" Type="http://schemas.openxmlformats.org/officeDocument/2006/relationships/hyperlink" Target="https://doi.org/10.1016/j.compeleceng.2026.111144" TargetMode="External"/><Relationship Id="rId131" Type="http://schemas.openxmlformats.org/officeDocument/2006/relationships/hyperlink" Target="https://doi.org/10.1016/j.eswa.2026.132859" TargetMode="External"/><Relationship Id="rId89" Type="http://schemas.openxmlformats.org/officeDocument/2006/relationships/hyperlink" Target="https://doi.org/10.1016/j.fsidi.2026.302051" TargetMode="External"/><Relationship Id="rId94" Type="http://schemas.openxmlformats.org/officeDocument/2006/relationships/hyperlink" Target="https://doi.org/10.1016/j.patter.2023.100804" TargetMode="External"/><Relationship Id="rId143" Type="http://schemas.openxmlformats.org/officeDocument/2006/relationships/hyperlink" Target="https://doi.org/10.1073/pnas.1708274114" TargetMode="External"/><Relationship Id="rId104" Type="http://schemas.openxmlformats.org/officeDocument/2006/relationships/hyperlink" Target="https://doi.org/10.1109/ICRA.2015.7140074" TargetMode="External"/><Relationship Id="rId87" Type="http://schemas.openxmlformats.org/officeDocument/2006/relationships/hyperlink" Target="https://doi.org/10.1109/ICSE55347.2025.00223" TargetMode="External"/><Relationship Id="rId124" Type="http://schemas.openxmlformats.org/officeDocument/2006/relationships/hyperlink" Target="https://doi.org/10.1109/SR.2025.3597582" TargetMode="External"/><Relationship Id="rId139" Type="http://schemas.openxmlformats.org/officeDocument/2006/relationships/hyperlink" Target="https://doi.org/10.1109/TNNLS.2013.2292894" TargetMode="External"/><Relationship Id="rId92" Type="http://schemas.openxmlformats.org/officeDocument/2006/relationships/hyperlink" Target="https://doi.org/10.1145/2382577.2382579" TargetMode="External"/><Relationship Id="rId114" Type="http://schemas.openxmlformats.org/officeDocument/2006/relationships/hyperlink" Target="https://doi.org/10.1145/3146389" TargetMode="External"/><Relationship Id="rId118" Type="http://schemas.openxmlformats.org/officeDocument/2006/relationships/hyperlink" Target="https://doi.org/10.1145/3468264.3468559" TargetMode="External"/><Relationship Id="rId110" Type="http://schemas.openxmlformats.org/officeDocument/2006/relationships/hyperlink" Target="https://doi.org/10.1145/3597503.3639186" TargetMode="External"/><Relationship Id="rId135" Type="http://schemas.openxmlformats.org/officeDocument/2006/relationships/hyperlink" Target="https://doi.org/10.1145/3605764.3623985" TargetMode="External"/><Relationship Id="rId145" Type="http://schemas.openxmlformats.org/officeDocument/2006/relationships/hyperlink" Target="https://doi.org/10.1148/radiology.143.1.7063747" TargetMode="External"/><Relationship Id="rId96" Type="http://schemas.openxmlformats.org/officeDocument/2006/relationships/hyperlink" Target="https://doi.org/10.1177/0278364920966642" TargetMode="External"/><Relationship Id="rId98" Type="http://schemas.openxmlformats.org/officeDocument/2006/relationships/hyperlink" Target="https://doi.org/10.1177/02783649241305153" TargetMode="External"/><Relationship Id="rId141" Type="http://schemas.openxmlformats.org/officeDocument/2006/relationships/hyperlink" Target="https://doi.org/10.1214/09-STS313" TargetMode="External"/><Relationship Id="rId147" Type="http://schemas.openxmlformats.org/officeDocument/2006/relationships/hyperlink" Target="https://doi.org/10.1214/aoms/1177730491" TargetMode="External"/><Relationship Id="rId116" Type="http://schemas.openxmlformats.org/officeDocument/2006/relationships/hyperlink" Target="https://doi.org/10.3389/frobt.2024.1123762" TargetMode="External"/><Relationship Id="rId101" Type="http://schemas.openxmlformats.org/officeDocument/2006/relationships/hyperlink" Target="https://doi.org/10.3390/aerospace3030022" TargetMode="External"/><Relationship Id="rId112" Type="http://schemas.openxmlformats.org/officeDocument/2006/relationships/hyperlink" Target="https://doi.org/10.3390/drones6110330" TargetMode="External"/><Relationship Id="rId128" Type="http://schemas.openxmlformats.org/officeDocument/2006/relationships/hyperlink" Target="https://doi.org/10.3390/s18093171" TargetMode="External"/><Relationship Id="rId108" Type="http://schemas.openxmlformats.org/officeDocument/2006/relationships/hyperlink" Target="https://doi.org/10.3390/s26103188" TargetMode="External"/><Relationship Id="rId137" Type="http://schemas.openxmlformats.org/officeDocument/2006/relationships/hyperlink" Target="https://doi.org/10.48550/arXiv.2509.22267" TargetMode="External"/><Relationship Id="rId71" Type="http://schemas.openxmlformats.org/officeDocument/2006/relationships/hyperlink" Target="https://github.com/AdityaPathare46/aerofleet" TargetMode="External"/><Relationship Id="rId133" Type="http://schemas.openxmlformats.org/officeDocument/2006/relationships/hyperlink" Target="https://proceedings.mlr.press/v235/du24e.html" TargetMode="External"/><Relationship Id="rId150" Type="http://schemas.openxmlformats.org/officeDocument/2006/relationships/hyperlink" Target="https://www.jstor.org/stable/4615733" TargetMode="External"/><Relationship Id="rId120" Type="http://schemas.openxmlformats.org/officeDocument/2006/relationships/hyperlink" Target="https://www.usenix.org/conference/usenixsecurity20/presentation/k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2026-10-27T14:20:01Z</dcterms:created>
  <dcterms:modified xsi:type="dcterms:W3CDTF">2026-10-27T14:20:01Z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