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647A" w14:textId="2721B744" w:rsidR="001826BC" w:rsidRDefault="00000000">
      <w:pPr>
        <w:pStyle w:val="Title"/>
      </w:pPr>
      <w:r>
        <w:t>MedyLink Project Proposal</w:t>
      </w:r>
    </w:p>
    <w:p w14:paraId="672775C8" w14:textId="77777777" w:rsidR="001826BC" w:rsidRDefault="00000000">
      <w:r>
        <w:t>Unified patient health identity with doctor, pharmacy and analytics workflows</w:t>
      </w:r>
    </w:p>
    <w:tbl>
      <w:tblPr>
        <w:tblW w:w="9936" w:type="dxa"/>
        <w:jc w:val="center"/>
        <w:tblLayout w:type="fixed"/>
      </w:tblPr>
      <w:tblGrid>
        <w:gridCol w:w="3312"/>
        <w:gridCol w:w="3312"/>
        <w:gridCol w:w="3312"/>
      </w:tblGrid>
      <w:tr>
        <w:tc>
          <w:tcPr>
            <w:tcW w:w="3312" w:type="dxa"/>
            <w:tcBorders>
              <w:top w:val="single" w:sz="4" w:space="0" w:color="BFBFBF"/>
              <w:left w:val="single" w:sz="4" w:space="0" w:color="BFBFBF"/>
              <w:bottom w:val="single" w:sz="4" w:space="0" w:color="BFBFBF"/>
              <w:right w:val="single" w:sz="4" w:space="0" w:color="BFBFBF"/>
            </w:tcBorders>
            <w:shd w:val="clear" w:color="auto" w:fill="F2F6FA"/>
            <w:tcMar>
              <w:top w:w="85" w:type="dxa"/>
              <w:left w:w="115" w:type="dxa"/>
              <w:bottom w:w="85" w:type="dxa"/>
              <w:right w:w="115" w:type="dxa"/>
            </w:tcMar>
          </w:tcPr>
          <w:p>
            <w:pPr>
              <w:spacing w:before="20" w:after="20"/>
              <w:jc w:val="center"/>
            </w:pPr>
            <w:r>
              <w:rPr>
                <w:b/>
                <w:color w:val="1F3864"/>
                <w:sz w:val="22"/>
              </w:rPr>
              <w:t xml:space="preserve">Aditya Patra</w:t>
            </w:r>
          </w:p>
          <w:p>
            <w:pPr>
              <w:spacing w:before="20" w:after="20"/>
              <w:jc w:val="center"/>
            </w:pPr>
            <w:r>
              <w:rPr>
                <w:color w:val="404040"/>
                <w:sz w:val="18"/>
              </w:rPr>
              <w:t xml:space="preserve">Roll No: 24101B0072</w:t>
            </w:r>
          </w:p>
        </w:tc>
        <w:tc>
          <w:tcPr>
            <w:tcW w:w="3312" w:type="dxa"/>
            <w:tcBorders>
              <w:top w:val="single" w:sz="4" w:space="0" w:color="BFBFBF"/>
              <w:left w:val="single" w:sz="4" w:space="0" w:color="BFBFBF"/>
              <w:bottom w:val="single" w:sz="4" w:space="0" w:color="BFBFBF"/>
              <w:right w:val="single" w:sz="4" w:space="0" w:color="BFBFBF"/>
            </w:tcBorders>
            <w:shd w:val="clear" w:color="auto" w:fill="F2F6FA"/>
            <w:tcMar>
              <w:top w:w="85" w:type="dxa"/>
              <w:left w:w="115" w:type="dxa"/>
              <w:bottom w:w="85" w:type="dxa"/>
              <w:right w:w="115" w:type="dxa"/>
            </w:tcMar>
          </w:tcPr>
          <w:p>
            <w:pPr>
              <w:spacing w:before="20" w:after="20"/>
              <w:jc w:val="center"/>
            </w:pPr>
            <w:r>
              <w:rPr>
                <w:b/>
                <w:color w:val="1F3864"/>
                <w:sz w:val="22"/>
              </w:rPr>
              <w:t xml:space="preserve">Krishna Tiwari</w:t>
            </w:r>
          </w:p>
          <w:p>
            <w:pPr>
              <w:spacing w:before="20" w:after="20"/>
              <w:jc w:val="center"/>
            </w:pPr>
            <w:r>
              <w:rPr>
                <w:color w:val="404040"/>
                <w:sz w:val="18"/>
              </w:rPr>
              <w:t xml:space="preserve">Roll No: 24101B0077</w:t>
            </w:r>
          </w:p>
        </w:tc>
        <w:tc>
          <w:tcPr>
            <w:tcW w:w="3312" w:type="dxa"/>
            <w:tcBorders>
              <w:top w:val="single" w:sz="4" w:space="0" w:color="BFBFBF"/>
              <w:left w:val="single" w:sz="4" w:space="0" w:color="BFBFBF"/>
              <w:bottom w:val="single" w:sz="4" w:space="0" w:color="BFBFBF"/>
              <w:right w:val="single" w:sz="4" w:space="0" w:color="BFBFBF"/>
            </w:tcBorders>
            <w:shd w:val="clear" w:color="auto" w:fill="F2F6FA"/>
            <w:tcMar>
              <w:top w:w="85" w:type="dxa"/>
              <w:left w:w="115" w:type="dxa"/>
              <w:bottom w:w="85" w:type="dxa"/>
              <w:right w:w="115" w:type="dxa"/>
            </w:tcMar>
          </w:tcPr>
          <w:p>
            <w:pPr>
              <w:spacing w:before="20" w:after="20"/>
              <w:jc w:val="center"/>
            </w:pPr>
            <w:r>
              <w:rPr>
                <w:b/>
                <w:color w:val="1F3864"/>
                <w:sz w:val="22"/>
              </w:rPr>
              <w:t xml:space="preserve">Aditya Bhogavkar</w:t>
            </w:r>
          </w:p>
          <w:p>
            <w:pPr>
              <w:spacing w:before="20" w:after="20"/>
              <w:jc w:val="center"/>
            </w:pPr>
            <w:r>
              <w:rPr>
                <w:color w:val="404040"/>
                <w:sz w:val="18"/>
              </w:rPr>
              <w:t xml:space="preserve">Roll No: 24101B0073</w:t>
            </w:r>
          </w:p>
        </w:tc>
      </w:tr>
      <w:tr>
        <w:tc>
          <w:tcPr>
            <w:tcW w:w="9936" w:type="dxa"/>
            <w:gridSpan w:val="3"/>
            <w:tcBorders>
              <w:top w:val="single" w:sz="4" w:space="0" w:color="BFBFBF"/>
              <w:left w:val="single" w:sz="4" w:space="0" w:color="BFBFBF"/>
              <w:bottom w:val="single" w:sz="4" w:space="0" w:color="BFBFBF"/>
              <w:right w:val="single" w:sz="4" w:space="0" w:color="BFBFBF"/>
            </w:tcBorders>
            <w:shd w:val="clear" w:color="auto" w:fill="E7EEF5"/>
            <w:tcMar>
              <w:top w:w="85" w:type="dxa"/>
              <w:left w:w="115" w:type="dxa"/>
              <w:bottom w:w="85" w:type="dxa"/>
              <w:right w:w="115" w:type="dxa"/>
            </w:tcMar>
          </w:tcPr>
          <w:p>
            <w:pPr>
              <w:spacing w:before="20" w:after="20"/>
              <w:jc w:val="center"/>
            </w:pPr>
            <w:r>
              <w:rPr>
                <w:sz w:val="20"/>
              </w:rPr>
              <w:t xml:space="preserve">Project Guide: </w:t>
            </w:r>
            <w:r>
              <w:rPr>
                <w:b/>
                <w:color w:val="1F3864"/>
                <w:sz w:val="22"/>
              </w:rPr>
              <w:t xml:space="preserve">Prof. Shruti Agrawal</w:t>
            </w:r>
          </w:p>
        </w:tc>
      </w:tr>
    </w:tbl>
    <w:p>
      <w:pPr>
        <w:spacing w:after="0"/>
      </w:pPr>
    </w:p>
    <w:p w14:paraId="4443869D" w14:textId="77777777" w:rsidR="001826BC" w:rsidRDefault="00000000">
      <w:pPr>
        <w:pStyle w:val="Heading2"/>
      </w:pPr>
      <w:r>
        <w:t>Problem and proposed solution</w:t>
      </w:r>
    </w:p>
    <w:p w14:paraId="6D900162" w14:textId="77777777" w:rsidR="001826BC" w:rsidRDefault="00000000">
      <w:r>
        <w:t>Patient records, prescriptions and test reports are usually scattered across clinics and pharmacies, so continuity of care depends on the patient repeating their history. MedyLink proposes a shared web platform in which each patient has one health identity (ID and QR card) that approved doctors and pharmacists can use to continue care, with administrator-reviewed provider registration and aggregate analytics. The intended outcome is better continuity of care and visibility into community health trends.</w:t>
      </w:r>
    </w:p>
    <w:p w14:paraId="48921053" w14:textId="77777777" w:rsidR="001826BC" w:rsidRDefault="00000000">
      <w:pPr>
        <w:pStyle w:val="Heading2"/>
      </w:pPr>
      <w:r>
        <w:t>Objectives and scope</w:t>
      </w:r>
    </w:p>
    <w:p w14:paraId="26892695" w14:textId="77777777" w:rsidR="001826BC" w:rsidRDefault="00000000">
      <w:r>
        <w:t>Deliver patient dashboards (visits, reports, prescriptions, health tracking), doctor consultation and patient lookup by ID or QR, pharmacist prescription handling, and administrator approval of doctor and pharmacist registrations with audit trails. Add a data-mining module that compares four classifiers (Logistic Regression, Decision Tree, Random Forest and KNN) for disease classification, with geographic clustering across Mumbai station areas on fictional data.</w:t>
      </w:r>
    </w:p>
    <w:p w14:paraId="7699E137" w14:textId="77777777" w:rsidR="001826BC" w:rsidRDefault="00000000">
      <w:pPr>
        <w:pStyle w:val="Heading2"/>
      </w:pPr>
      <w:r>
        <w:t>Technical approach</w:t>
      </w:r>
    </w:p>
    <w:p w14:paraId="0861F8F0" w14:textId="77777777" w:rsidR="001826BC" w:rsidRDefault="00000000">
      <w:r>
        <w:t>Use Next.js and TypeScript for a responsive frontend, with Django REST Framework and cookie-based JWT sessions for APIs and role-based access control. Store records in PostgreSQL (Neon) and keep the synthetic 4,000-patient demonstration in a separate database. Train and evaluate models with scikit-learn using patient-stratified cross-validation and a held-out test set, then save versioned model bundles. Enforce role isolation, email verification and auditable analytical runs.</w:t>
      </w:r>
    </w:p>
    <w:p w14:paraId="3197CFB4" w14:textId="77777777" w:rsidR="001826BC" w:rsidRDefault="00000000">
      <w:pPr>
        <w:pStyle w:val="Heading2"/>
      </w:pPr>
      <w:r>
        <w:t>Indicative completion plan</w:t>
      </w:r>
    </w:p>
    <w:tbl>
      <w:tblPr>
        <w:tblW w:w="0" w:type="auto"/>
        <w:tblLayout w:type="fixed"/>
        <w:tblLook w:val="04A0" w:firstRow="1" w:lastRow="0" w:firstColumn="1" w:lastColumn="0" w:noHBand="0" w:noVBand="1"/>
      </w:tblPr>
      <w:tblGrid>
        <w:gridCol w:w="2016"/>
        <w:gridCol w:w="7920"/>
      </w:tblGrid>
      <w:tr w:rsidR="001826BC" w14:paraId="06355C35" w14:textId="77777777">
        <w:tc>
          <w:tcPr>
            <w:tcW w:w="2016" w:type="dxa"/>
            <w:tcBorders>
              <w:top w:val="single" w:sz="4" w:space="0" w:color="D9D9D9"/>
              <w:left w:val="single" w:sz="4" w:space="0" w:color="D9D9D9"/>
              <w:bottom w:val="single" w:sz="4" w:space="0" w:color="D9D9D9"/>
              <w:right w:val="single" w:sz="4" w:space="0" w:color="D9D9D9"/>
            </w:tcBorders>
            <w:shd w:val="clear" w:color="auto" w:fill="E7EEF5"/>
            <w:tcMar>
              <w:top w:w="85" w:type="dxa"/>
              <w:left w:w="85" w:type="dxa"/>
              <w:bottom w:w="85" w:type="dxa"/>
              <w:right w:w="85" w:type="dxa"/>
            </w:tcMar>
          </w:tcPr>
          <w:p w14:paraId="2807EEEE" w14:textId="77777777" w:rsidR="001826BC" w:rsidRDefault="00000000">
            <w:pPr>
              <w:spacing w:before="40" w:after="40"/>
            </w:pPr>
            <w:r>
              <w:rPr>
                <w:b/>
                <w:sz w:val="18"/>
              </w:rPr>
              <w:t>Phase</w:t>
            </w:r>
          </w:p>
        </w:tc>
        <w:tc>
          <w:tcPr>
            <w:tcW w:w="7920" w:type="dxa"/>
            <w:tcBorders>
              <w:top w:val="single" w:sz="4" w:space="0" w:color="D9D9D9"/>
              <w:left w:val="single" w:sz="4" w:space="0" w:color="D9D9D9"/>
              <w:bottom w:val="single" w:sz="4" w:space="0" w:color="D9D9D9"/>
              <w:right w:val="single" w:sz="4" w:space="0" w:color="D9D9D9"/>
            </w:tcBorders>
            <w:shd w:val="clear" w:color="auto" w:fill="E7EEF5"/>
            <w:tcMar>
              <w:top w:w="85" w:type="dxa"/>
              <w:left w:w="85" w:type="dxa"/>
              <w:bottom w:w="85" w:type="dxa"/>
              <w:right w:w="85" w:type="dxa"/>
            </w:tcMar>
          </w:tcPr>
          <w:p w14:paraId="5365DF53" w14:textId="77777777" w:rsidR="001826BC" w:rsidRDefault="00000000">
            <w:pPr>
              <w:spacing w:before="40" w:after="40"/>
            </w:pPr>
            <w:r>
              <w:rPr>
                <w:b/>
                <w:sz w:val="18"/>
              </w:rPr>
              <w:t>Work and review output</w:t>
            </w:r>
          </w:p>
        </w:tc>
      </w:tr>
      <w:tr w:rsidR="001826BC" w14:paraId="143BC5BA"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1F03B1" w14:textId="77777777" w:rsidR="001826BC" w:rsidRDefault="00000000">
            <w:pPr>
              <w:spacing w:before="40" w:after="40"/>
            </w:pPr>
            <w:r>
              <w:rPr>
                <w:sz w:val="18"/>
              </w:rPr>
              <w:t>Weeks 1 and 2</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DD7E1B" w14:textId="77777777" w:rsidR="001826BC" w:rsidRDefault="00000000">
            <w:pPr>
              <w:spacing w:before="40" w:after="40"/>
            </w:pPr>
            <w:r>
              <w:rPr>
                <w:sz w:val="18"/>
              </w:rPr>
              <w:t>Confirm requirements and data model; review identity, registration and patient workflows.</w:t>
            </w:r>
          </w:p>
        </w:tc>
      </w:tr>
      <w:tr w:rsidR="001826BC" w14:paraId="17004C68" w14:textId="77777777">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tcPr>
          <w:p w14:paraId="541D23F8" w14:textId="77777777" w:rsidR="001826BC" w:rsidRDefault="00000000">
            <w:pPr>
              <w:spacing w:before="40" w:after="40"/>
            </w:pPr>
            <w:r>
              <w:rPr>
                <w:sz w:val="18"/>
              </w:rPr>
              <w:t>Weeks 3 and 4</w:t>
            </w:r>
          </w:p>
        </w:tc>
        <w:tc>
          <w:tcPr>
            <w:tcW w:w="792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tcPr>
          <w:p w14:paraId="7CF9D228" w14:textId="77777777" w:rsidR="001826BC" w:rsidRDefault="00000000">
            <w:pPr>
              <w:spacing w:before="40" w:after="40"/>
            </w:pPr>
            <w:r>
              <w:rPr>
                <w:sz w:val="18"/>
              </w:rPr>
              <w:t>Review doctor and pharmacist operations; validate synthetic data, training and model outputs.</w:t>
            </w:r>
          </w:p>
        </w:tc>
      </w:tr>
      <w:tr w:rsidR="001826BC" w14:paraId="6690E135"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7FFFA3" w14:textId="77777777" w:rsidR="001826BC" w:rsidRDefault="00000000">
            <w:pPr>
              <w:spacing w:before="40" w:after="40"/>
            </w:pPr>
            <w:r>
              <w:rPr>
                <w:sz w:val="18"/>
              </w:rPr>
              <w:t>Weeks 5 and 6</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7EB921" w14:textId="77777777" w:rsidR="001826BC" w:rsidRDefault="00000000">
            <w:pPr>
              <w:spacing w:before="40" w:after="40"/>
            </w:pPr>
            <w:r>
              <w:rPr>
                <w:sz w:val="18"/>
              </w:rPr>
              <w:t>Complete integration and access-control checks; refine the UI and delivery documentation.</w:t>
            </w:r>
          </w:p>
        </w:tc>
      </w:tr>
    </w:tbl>
    <w:p w14:paraId="5F1C98C3" w14:textId="77777777" w:rsidR="001826BC" w:rsidRDefault="001826BC">
      <w:pPr>
        <w:spacing w:after="0"/>
      </w:pPr>
    </w:p>
    <w:p w14:paraId="671D6593" w14:textId="77777777" w:rsidR="001826BC" w:rsidRDefault="00000000">
      <w:r>
        <w:t>The schedule is a planning estimate for validation and completion of the existing implementation, subject to team capacity and review. No budget or staffing commitment is assumed.</w:t>
      </w:r>
    </w:p>
    <w:p w14:paraId="6DCEB874" w14:textId="77777777" w:rsidR="001826BC" w:rsidRDefault="00000000">
      <w:pPr>
        <w:pStyle w:val="Heading2"/>
      </w:pPr>
      <w:r>
        <w:t>Deliverables and acceptance</w:t>
      </w:r>
    </w:p>
    <w:p w14:paraId="2E87243E" w14:textId="77777777" w:rsidR="001826BC" w:rsidRDefault="00000000">
      <w:r>
        <w:t>Deliver the application source, setup documentation, architecture and data diagrams, workflow diagrams, and a test and demonstration package. Acceptance should require working patient, doctor, pharmacist and administrator journeys, role-isolated data access, and a model comparison showing accuracy and macro F1 for all four classifiers. Predictions should display evaluated metrics or explain insufficient data.</w:t>
      </w:r>
    </w:p>
    <w:p w14:paraId="118619CB" w14:textId="77777777" w:rsidR="001826BC" w:rsidRDefault="00000000">
      <w:pPr>
        <w:pStyle w:val="Heading2"/>
      </w:pPr>
      <w:r>
        <w:t>Dependencies and future development</w:t>
      </w:r>
    </w:p>
    <w:p w14:paraId="60984E38" w14:textId="77777777" w:rsidR="001826BC" w:rsidRDefault="00000000">
      <w:r>
        <w:t>The project needs a configured PostgreSQL database, email delivery and representative test data. All patient data is simulated and model results are not clinical validation or diagnosis. Database latency, deployment hardening and regulatory review of real health data should precede any production release.</w:t>
      </w:r>
    </w:p>
    <w:sectPr w:rsidR="001826BC" w:rsidSect="00034616">
      <w:footerReference w:type="default" r:id="rId8"/>
      <w:pgSz w:w="11909" w:h="16834"/>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70442" w14:textId="77777777" w:rsidR="001B3C77" w:rsidRDefault="001B3C77">
      <w:pPr>
        <w:spacing w:after="0" w:line="240" w:lineRule="auto"/>
      </w:pPr>
      <w:r>
        <w:separator/>
      </w:r>
    </w:p>
  </w:endnote>
  <w:endnote w:type="continuationSeparator" w:id="0">
    <w:p w14:paraId="06914BB4" w14:textId="77777777" w:rsidR="001B3C77" w:rsidRDefault="001B3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7658" w14:textId="77777777" w:rsidR="001826BC" w:rsidRDefault="00000000">
    <w:pPr>
      <w:pStyle w:val="Footer"/>
      <w:jc w:val="right"/>
    </w:pPr>
    <w:r>
      <w:fldChar w:fldCharType="begin"/>
    </w:r>
    <w:r>
      <w:instrText>PAGE</w:instrText>
    </w:r>
    <w:r>
      <w:fldChar w:fldCharType="separate"/>
    </w:r>
    <w:r w:rsidR="006603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1B5A" w14:textId="77777777" w:rsidR="001B3C77" w:rsidRDefault="001B3C77">
      <w:pPr>
        <w:spacing w:after="0" w:line="240" w:lineRule="auto"/>
      </w:pPr>
      <w:r>
        <w:separator/>
      </w:r>
    </w:p>
  </w:footnote>
  <w:footnote w:type="continuationSeparator" w:id="0">
    <w:p w14:paraId="7B01F2E7" w14:textId="77777777" w:rsidR="001B3C77" w:rsidRDefault="001B3C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628845">
    <w:abstractNumId w:val="8"/>
  </w:num>
  <w:num w:numId="2" w16cid:durableId="1124301536">
    <w:abstractNumId w:val="6"/>
  </w:num>
  <w:num w:numId="3" w16cid:durableId="1157576646">
    <w:abstractNumId w:val="5"/>
  </w:num>
  <w:num w:numId="4" w16cid:durableId="431703704">
    <w:abstractNumId w:val="4"/>
  </w:num>
  <w:num w:numId="5" w16cid:durableId="2130003086">
    <w:abstractNumId w:val="7"/>
  </w:num>
  <w:num w:numId="6" w16cid:durableId="194923845">
    <w:abstractNumId w:val="3"/>
  </w:num>
  <w:num w:numId="7" w16cid:durableId="2110588375">
    <w:abstractNumId w:val="2"/>
  </w:num>
  <w:num w:numId="8" w16cid:durableId="1199008946">
    <w:abstractNumId w:val="1"/>
  </w:num>
  <w:num w:numId="9" w16cid:durableId="1024597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6BC"/>
    <w:rsid w:val="001B3C77"/>
    <w:rsid w:val="0029639D"/>
    <w:rsid w:val="0032666E"/>
    <w:rsid w:val="00326F90"/>
    <w:rsid w:val="006603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5CCD7"/>
  <w14:defaultImageDpi w14:val="300"/>
  <w15:docId w15:val="{004E76B6-BA0D-4EF7-ACE4-3E6A6236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1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Platforma Project Proposal</dc:title>
  <dc:subject/>
  <dc:creator/>
  <cp:keywords/>
  <dc:description>generated by python-docx</dc:description>
  <cp:lastModifiedBy>AASHUTOSH MAHAJAN</cp:lastModifiedBy>
  <cp:revision>2</cp:revision>
  <dcterms:created xsi:type="dcterms:W3CDTF">2013-12-23T23:15:00Z</dcterms:created>
  <dcterms:modified xsi:type="dcterms:W3CDTF">2026-10-06T04:09:00Z</dcterms:modified>
  <cp:category/>
</cp:coreProperties>
</file>