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8"/>
          <w:sz w:val="30"/>
        </w:rPr>
        <w:t>SENSEX–NIFTY Spread Strategy — Live Run &amp; Backtest</w:t>
      </w:r>
    </w:p>
    <w:p>
      <w:pPr>
        <w:spacing w:after="80"/>
        <w:jc w:val="center"/>
      </w:pPr>
      <w:r>
        <w:rPr>
          <w:i/>
          <w:sz w:val="18"/>
        </w:rPr>
        <w:t>Trading day: 18 June 2026  |  Upstox live feed + sandbox paper-trading</w:t>
      </w:r>
    </w:p>
    <w:p>
      <w:pPr>
        <w:spacing w:before="160" w:after="40"/>
      </w:pPr>
      <w:r>
        <w:rPr>
          <w:b/>
          <w:color w:val="1F4E78"/>
          <w:sz w:val="22"/>
        </w:rPr>
        <w:t>The idea</w:t>
      </w:r>
    </w:p>
    <w:p>
      <w:pPr>
        <w:spacing w:after="40"/>
      </w:pPr>
      <w:r>
        <w:rPr>
          <w:sz w:val="20"/>
        </w:rPr>
        <w:t xml:space="preserve">SENSEX ≈ 3.2 × NIFTY. We track the “spread” = SENSEX − 3.2 × NIFTY and its z-score (how far it has strayed from normal). When the spread is unusually stretched (|z| ≥ 2) we bet it reverts: </w:t>
      </w:r>
      <w:r>
        <w:rPr>
          <w:b/>
          <w:sz w:val="20"/>
        </w:rPr>
        <w:t xml:space="preserve">z ≤ −2 → buy SENSEX / sell NIFTY; z ≥ +2 → sell SENSEX / buy NIFTY. </w:t>
      </w:r>
      <w:r>
        <w:rPr>
          <w:sz w:val="20"/>
        </w:rPr>
        <w:t>Exit on reversion, stop-loss, or profit-target. (Classic pairs / mean-reversion.)</w:t>
      </w:r>
    </w:p>
    <w:p>
      <w:pPr>
        <w:spacing w:before="160" w:after="40"/>
      </w:pPr>
      <w:r>
        <w:rPr>
          <w:b/>
          <w:color w:val="1F4E78"/>
          <w:sz w:val="22"/>
        </w:rPr>
        <w:t>What we built</w:t>
      </w:r>
    </w:p>
    <w:p>
      <w:pPr>
        <w:pStyle w:val="ListBullet"/>
        <w:spacing w:after="20"/>
      </w:pPr>
      <w:r>
        <w:rPr>
          <w:b/>
          <w:sz w:val="20"/>
        </w:rPr>
        <w:t xml:space="preserve">Live data → spreadsheets: </w:t>
      </w:r>
      <w:r>
        <w:rPr>
          <w:sz w:val="20"/>
        </w:rPr>
        <w:t>pull live SENSEX &amp; NIFTY every second from Upstox into CSV files (no database).</w:t>
      </w:r>
    </w:p>
    <w:p>
      <w:pPr>
        <w:pStyle w:val="ListBullet"/>
        <w:spacing w:after="20"/>
      </w:pPr>
      <w:r>
        <w:rPr>
          <w:b/>
          <w:sz w:val="20"/>
        </w:rPr>
        <w:t xml:space="preserve">Full market data: </w:t>
      </w:r>
      <w:r>
        <w:rPr>
          <w:sz w:val="20"/>
        </w:rPr>
        <w:t>indices have no volume/open-interest, so we enrich each row from the matching near-month index FUTURES (auto-selected monthly).</w:t>
      </w:r>
    </w:p>
    <w:p>
      <w:pPr>
        <w:pStyle w:val="ListBullet"/>
        <w:spacing w:after="20"/>
      </w:pPr>
      <w:r>
        <w:rPr>
          <w:b/>
          <w:sz w:val="20"/>
        </w:rPr>
        <w:t xml:space="preserve">Sandbox paper-trading: </w:t>
      </w:r>
      <w:r>
        <w:rPr>
          <w:sz w:val="20"/>
        </w:rPr>
        <w:t>when a signal fires it places real orders on Upstox’s practice account (fake money, real mechanics) and logs every trade. Auto-stops at the 3:30 PM close.</w:t>
      </w:r>
    </w:p>
    <w:p>
      <w:pPr>
        <w:pStyle w:val="ListBullet"/>
        <w:spacing w:after="20"/>
      </w:pPr>
      <w:r>
        <w:rPr>
          <w:b/>
          <w:sz w:val="20"/>
        </w:rPr>
        <w:t xml:space="preserve">Backtest engine: </w:t>
      </w:r>
      <w:r>
        <w:rPr>
          <w:sz w:val="20"/>
        </w:rPr>
        <w:t>apply the strategy to the collected data, with realistic costs, and report results.</w:t>
      </w:r>
    </w:p>
    <w:p>
      <w:pPr>
        <w:spacing w:before="160" w:after="40"/>
      </w:pPr>
      <w:r>
        <w:rPr>
          <w:b/>
          <w:color w:val="1F4E78"/>
          <w:sz w:val="22"/>
        </w:rPr>
        <w:t>What happened (live)</w:t>
      </w:r>
    </w:p>
    <w:p>
      <w:pPr>
        <w:pStyle w:val="ListBullet"/>
        <w:spacing w:after="20"/>
      </w:pPr>
      <w:r>
        <w:rPr>
          <w:b/>
          <w:sz w:val="20"/>
        </w:rPr>
        <w:t xml:space="preserve">Data: </w:t>
      </w:r>
      <w:r>
        <w:rPr>
          <w:sz w:val="20"/>
        </w:rPr>
        <w:t>ran the full session (10:08 AM–3:30 PM), collected ~19,000 price ticks.</w:t>
      </w:r>
    </w:p>
    <w:p>
      <w:pPr>
        <w:pStyle w:val="ListBullet"/>
        <w:spacing w:after="20"/>
      </w:pPr>
      <w:r>
        <w:rPr>
          <w:b/>
          <w:sz w:val="20"/>
        </w:rPr>
        <w:t xml:space="preserve">Trades: 0 — </w:t>
      </w:r>
      <w:r>
        <w:rPr>
          <w:sz w:val="20"/>
        </w:rPr>
        <w:t>the z-score stayed ~1.4–1.5 all day and never reached ±2, so no signal triggered. (Correct behaviour, not an error.)</w:t>
      </w:r>
    </w:p>
    <w:p>
      <w:pPr>
        <w:spacing w:before="160" w:after="40"/>
      </w:pPr>
      <w:r>
        <w:rPr>
          <w:b/>
          <w:color w:val="1F4E78"/>
          <w:sz w:val="22"/>
        </w:rPr>
        <w:t>Backtest result (the important part)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Profit BEFORE costs</w:t>
            </w:r>
          </w:p>
        </w:tc>
        <w:tc>
          <w:tcPr>
            <w:tcW w:type="dxa" w:w="3408"/>
          </w:tcPr>
          <w:p>
            <w:r>
              <w:rPr>
                <w:b/>
                <w:color w:val="1E7A34"/>
                <w:sz w:val="18"/>
              </w:rPr>
              <w:t>+275.5 points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Looks good — but misleading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Trading cost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~35 points / trade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Mostly STT (gov. tax ~0.02% on each futures sale)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Profit AFTER costs</w:t>
            </w:r>
          </w:p>
        </w:tc>
        <w:tc>
          <w:tcPr>
            <w:tcW w:type="dxa" w:w="3408"/>
          </w:tcPr>
          <w:p>
            <w:r>
              <w:rPr>
                <w:b/>
                <w:color w:val="C00000"/>
                <w:sz w:val="18"/>
              </w:rPr>
              <w:t>−109.5 points  (LOSS)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The real result for the day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Break-even cost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~25 points / trade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Edge is smaller than the ~35-pt cost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Profitable settings found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0 reliable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Of ~1,300 tested; the 96 “winners” were single-trade flukes</w:t>
            </w:r>
          </w:p>
        </w:tc>
      </w:tr>
    </w:tbl>
    <w:p>
      <w:pPr>
        <w:spacing w:before="160" w:after="40"/>
      </w:pPr>
      <w:r>
        <w:rPr>
          <w:b/>
          <w:color w:val="1F4E78"/>
          <w:sz w:val="22"/>
        </w:rPr>
        <w:t>Bottom line</w:t>
      </w:r>
    </w:p>
    <w:p>
      <w:pPr>
        <w:shd w:val="clear" w:fill="FFF2CC"/>
        <w:spacing w:after="40"/>
      </w:pPr>
      <w:r>
        <w:rPr>
          <w:b/>
          <w:sz w:val="20"/>
        </w:rPr>
        <w:t xml:space="preserve">The strategy’s edge (~25 pts/trade) is smaller than the cost of trading (~35 pts/trade), so after fees it loses money. </w:t>
      </w:r>
      <w:r>
        <w:rPr>
          <w:sz w:val="20"/>
        </w:rPr>
        <w:t>One day of data is not enough to conclude anything — the right next step is to collect several weeks and re-test before risking real capital. Building and stress-testing this caught the problem before any money was at stake.</w:t>
      </w:r>
    </w:p>
    <w:p>
      <w:pPr>
        <w:spacing w:before="160" w:after="40"/>
      </w:pPr>
      <w:r>
        <w:rPr>
          <w:b/>
          <w:color w:val="1F4E78"/>
          <w:sz w:val="22"/>
        </w:rPr>
        <w:t>Deliverables</w:t>
      </w:r>
    </w:p>
    <w:p>
      <w:r>
        <w:rPr>
          <w:b/>
          <w:sz w:val="20"/>
        </w:rPr>
        <w:t>backtest_2026_06_18_report.xlsx</w:t>
      </w:r>
      <w:r>
        <w:rPr>
          <w:sz w:val="20"/>
        </w:rPr>
        <w:t xml:space="preserve"> (summary + every trade + all tested settings), the raw data CSVs, the paper-trade log, and reusable scripts to re-run on more data.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