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ECCFD" w14:textId="77777777" w:rsidR="00C33912" w:rsidRPr="00107360" w:rsidRDefault="00C33912" w:rsidP="00C33912">
      <w:pPr>
        <w:spacing w:before="100" w:beforeAutospacing="1" w:after="100" w:afterAutospacing="1" w:line="240" w:lineRule="auto"/>
        <w:jc w:val="center"/>
        <w:outlineLvl w:val="2"/>
        <w:rPr>
          <w:rFonts w:ascii="Times New Roman" w:eastAsia="Times New Roman" w:hAnsi="Times New Roman" w:cs="Times New Roman"/>
          <w:b/>
          <w:bCs/>
          <w:sz w:val="32"/>
          <w:szCs w:val="32"/>
          <w:lang w:eastAsia="en-IN"/>
        </w:rPr>
      </w:pPr>
      <w:r w:rsidRPr="00107360">
        <w:rPr>
          <w:rFonts w:ascii="Times New Roman" w:eastAsia="Times New Roman" w:hAnsi="Times New Roman" w:cs="Times New Roman"/>
          <w:b/>
          <w:bCs/>
          <w:sz w:val="32"/>
          <w:szCs w:val="32"/>
          <w:lang w:eastAsia="en-IN"/>
        </w:rPr>
        <w:t>Brief Report on Carbon Market Data Analysis</w:t>
      </w:r>
    </w:p>
    <w:p w14:paraId="20AAC993" w14:textId="77777777" w:rsidR="00C33912" w:rsidRPr="00C33912" w:rsidRDefault="00000000" w:rsidP="00C339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8DD5E10">
          <v:rect id="_x0000_i1025" style="width:0;height:1.5pt" o:hralign="center" o:hrstd="t" o:hr="t" fillcolor="#a0a0a0" stroked="f"/>
        </w:pict>
      </w:r>
    </w:p>
    <w:p w14:paraId="5303C0B4" w14:textId="77777777" w:rsidR="00C33912" w:rsidRPr="00107360" w:rsidRDefault="00C33912" w:rsidP="00C3391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107360">
        <w:rPr>
          <w:rFonts w:ascii="Times New Roman" w:eastAsia="Times New Roman" w:hAnsi="Times New Roman" w:cs="Times New Roman"/>
          <w:b/>
          <w:bCs/>
          <w:sz w:val="28"/>
          <w:szCs w:val="28"/>
          <w:lang w:eastAsia="en-IN"/>
        </w:rPr>
        <w:t>1. Key Trends in Carbon Project Issuances and Retirements</w:t>
      </w:r>
    </w:p>
    <w:p w14:paraId="52048AFD" w14:textId="77777777" w:rsidR="00C33912" w:rsidRPr="00C33912" w:rsidRDefault="00C33912" w:rsidP="00C33912">
      <w:p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Issuance Trends:</w:t>
      </w:r>
    </w:p>
    <w:p w14:paraId="1354DE56" w14:textId="77777777" w:rsidR="00C33912" w:rsidRPr="00C33912" w:rsidRDefault="00C33912" w:rsidP="00C339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Overall Increase</w:t>
      </w:r>
      <w:r w:rsidRPr="00C33912">
        <w:rPr>
          <w:rFonts w:ascii="Times New Roman" w:eastAsia="Times New Roman" w:hAnsi="Times New Roman" w:cs="Times New Roman"/>
          <w:sz w:val="24"/>
          <w:szCs w:val="24"/>
          <w:lang w:eastAsia="en-IN"/>
        </w:rPr>
        <w:t>: Carbon credit issuances have shown a substantial increase over recent years. The total credits issued annually has grown, reflecting a surge in both the number of carbon offset projects and their scale. This upward trend aligns with global efforts to meet climate targets and improve environmental sustainability.</w:t>
      </w:r>
    </w:p>
    <w:p w14:paraId="39E2353A" w14:textId="77777777" w:rsidR="00C33912" w:rsidRPr="00C33912" w:rsidRDefault="00C33912" w:rsidP="00C339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Peak Periods</w:t>
      </w:r>
      <w:r w:rsidRPr="00C33912">
        <w:rPr>
          <w:rFonts w:ascii="Times New Roman" w:eastAsia="Times New Roman" w:hAnsi="Times New Roman" w:cs="Times New Roman"/>
          <w:sz w:val="24"/>
          <w:szCs w:val="24"/>
          <w:lang w:eastAsia="en-IN"/>
        </w:rPr>
        <w:t>: Significant spikes in issuance volumes are observed in 2020 and 2021. These peaks can be attributed to heightened global climate awareness and stricter emissions regulations, which drove more projects to come online and more credits to be issued.</w:t>
      </w:r>
    </w:p>
    <w:p w14:paraId="3620BD73" w14:textId="77777777" w:rsidR="00C33912" w:rsidRPr="00C33912" w:rsidRDefault="00C33912" w:rsidP="00C339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Dominant Project Types</w:t>
      </w:r>
      <w:r w:rsidRPr="00C33912">
        <w:rPr>
          <w:rFonts w:ascii="Times New Roman" w:eastAsia="Times New Roman" w:hAnsi="Times New Roman" w:cs="Times New Roman"/>
          <w:sz w:val="24"/>
          <w:szCs w:val="24"/>
          <w:lang w:eastAsia="en-IN"/>
        </w:rPr>
        <w:t>: Renewable Energy projects lead in issuance volumes, followed by Afforestation/Reforestation projects. These types are prevalent due to their high impact on reducing greenhouse gases and their broad applicability across various regions.</w:t>
      </w:r>
    </w:p>
    <w:p w14:paraId="2110B447" w14:textId="77777777" w:rsidR="00C33912" w:rsidRPr="00C33912" w:rsidRDefault="00C33912" w:rsidP="00C33912">
      <w:p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Retirement Trends:</w:t>
      </w:r>
    </w:p>
    <w:p w14:paraId="18E0D6EC" w14:textId="77777777" w:rsidR="00C33912" w:rsidRPr="00C33912" w:rsidRDefault="00C33912" w:rsidP="00C339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Steady Rate</w:t>
      </w:r>
      <w:r w:rsidRPr="00C33912">
        <w:rPr>
          <w:rFonts w:ascii="Times New Roman" w:eastAsia="Times New Roman" w:hAnsi="Times New Roman" w:cs="Times New Roman"/>
          <w:sz w:val="24"/>
          <w:szCs w:val="24"/>
          <w:lang w:eastAsia="en-IN"/>
        </w:rPr>
        <w:t>: Carbon credit retirements have consistently followed issuance patterns, indicating that credits are being actively used to offset emissions. The rate of retirements shows a steady alignment with the issuance of new credits, suggesting effective utilization of the issued credits.</w:t>
      </w:r>
    </w:p>
    <w:p w14:paraId="04A1C805" w14:textId="77777777" w:rsidR="00C33912" w:rsidRPr="00C33912" w:rsidRDefault="00C33912" w:rsidP="00C339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Retirement Peaks</w:t>
      </w:r>
      <w:r w:rsidRPr="00C33912">
        <w:rPr>
          <w:rFonts w:ascii="Times New Roman" w:eastAsia="Times New Roman" w:hAnsi="Times New Roman" w:cs="Times New Roman"/>
          <w:sz w:val="24"/>
          <w:szCs w:val="24"/>
          <w:lang w:eastAsia="en-IN"/>
        </w:rPr>
        <w:t>: Similar to issuances, retirement volumes also show peaks, often aligning with corporate sustainability reporting cycles and regulatory deadlines. Notable peaks are evident at the end of fiscal years or coinciding with significant climate events.</w:t>
      </w:r>
    </w:p>
    <w:p w14:paraId="4D8328B4" w14:textId="77777777" w:rsidR="00C33912" w:rsidRPr="00C33912" w:rsidRDefault="00C33912" w:rsidP="00C339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Credit Types</w:t>
      </w:r>
      <w:r w:rsidRPr="00C33912">
        <w:rPr>
          <w:rFonts w:ascii="Times New Roman" w:eastAsia="Times New Roman" w:hAnsi="Times New Roman" w:cs="Times New Roman"/>
          <w:sz w:val="24"/>
          <w:szCs w:val="24"/>
          <w:lang w:eastAsia="en-IN"/>
        </w:rPr>
        <w:t>: Credits retired are predominantly from Renewable Energy projects, reflecting their high issuance rates and the market's preference for these types of credits.</w:t>
      </w:r>
    </w:p>
    <w:p w14:paraId="3BBD66C5" w14:textId="77777777" w:rsidR="00C33912" w:rsidRPr="00C33912" w:rsidRDefault="00C33912" w:rsidP="00C33912">
      <w:p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Geographical Distribution:</w:t>
      </w:r>
    </w:p>
    <w:p w14:paraId="6C1C6430" w14:textId="77777777" w:rsidR="00C33912" w:rsidRPr="00C33912" w:rsidRDefault="00C33912" w:rsidP="00C339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Global Reach</w:t>
      </w:r>
      <w:r w:rsidRPr="00C33912">
        <w:rPr>
          <w:rFonts w:ascii="Times New Roman" w:eastAsia="Times New Roman" w:hAnsi="Times New Roman" w:cs="Times New Roman"/>
          <w:sz w:val="24"/>
          <w:szCs w:val="24"/>
          <w:lang w:eastAsia="en-IN"/>
        </w:rPr>
        <w:t>: Carbon projects are globally distributed, with notable concentrations in developing regions such as Africa, Asia, and South America. These areas are targeted for their potential in high-impact carbon offset projects and relatively lower implementation costs.</w:t>
      </w:r>
    </w:p>
    <w:p w14:paraId="183C705D" w14:textId="77777777" w:rsidR="00C33912" w:rsidRPr="00C33912" w:rsidRDefault="00000000" w:rsidP="00C339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6E58C3">
          <v:rect id="_x0000_i1026" style="width:0;height:1.5pt" o:hralign="center" o:hrstd="t" o:hr="t" fillcolor="#a0a0a0" stroked="f"/>
        </w:pict>
      </w:r>
    </w:p>
    <w:p w14:paraId="61AF5B0D" w14:textId="77777777" w:rsidR="00C33912" w:rsidRPr="00107360" w:rsidRDefault="00C33912" w:rsidP="00C3391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107360">
        <w:rPr>
          <w:rFonts w:ascii="Times New Roman" w:eastAsia="Times New Roman" w:hAnsi="Times New Roman" w:cs="Times New Roman"/>
          <w:b/>
          <w:bCs/>
          <w:sz w:val="28"/>
          <w:szCs w:val="28"/>
          <w:lang w:eastAsia="en-IN"/>
        </w:rPr>
        <w:t>2. Insights on Top Project Developers</w:t>
      </w:r>
    </w:p>
    <w:p w14:paraId="1F44F590" w14:textId="77777777" w:rsidR="00C33912" w:rsidRPr="00C33912" w:rsidRDefault="00C33912" w:rsidP="00C33912">
      <w:p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Leading Developers:</w:t>
      </w:r>
    </w:p>
    <w:p w14:paraId="338D681C" w14:textId="77777777" w:rsidR="00C33912" w:rsidRPr="00C33912" w:rsidRDefault="00C33912" w:rsidP="00C339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lastRenderedPageBreak/>
        <w:t>Top Players</w:t>
      </w:r>
      <w:r w:rsidRPr="00C33912">
        <w:rPr>
          <w:rFonts w:ascii="Times New Roman" w:eastAsia="Times New Roman" w:hAnsi="Times New Roman" w:cs="Times New Roman"/>
          <w:sz w:val="24"/>
          <w:szCs w:val="24"/>
          <w:lang w:eastAsia="en-IN"/>
        </w:rPr>
        <w:t>: The top developers by issuance volume include [Developer A], [Developer B], and [Developer C]. These organizations are prominent in the market, significantly contributing to the overall carbon credit issuance.</w:t>
      </w:r>
    </w:p>
    <w:p w14:paraId="52DFC8FF" w14:textId="77777777" w:rsidR="00C33912" w:rsidRPr="00C33912" w:rsidRDefault="00C33912" w:rsidP="00C339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Project Focus</w:t>
      </w:r>
      <w:r w:rsidRPr="00C33912">
        <w:rPr>
          <w:rFonts w:ascii="Times New Roman" w:eastAsia="Times New Roman" w:hAnsi="Times New Roman" w:cs="Times New Roman"/>
          <w:sz w:val="24"/>
          <w:szCs w:val="24"/>
          <w:lang w:eastAsia="en-IN"/>
        </w:rPr>
        <w:t>: These leading developers primarily focus on Renewable Energy and Afforestation/Reforestation projects. Their emphasis on these areas aligns with global priorities for significant greenhouse gas reductions and carbon sequestration.</w:t>
      </w:r>
    </w:p>
    <w:p w14:paraId="6E2EBBC5" w14:textId="77777777" w:rsidR="00C33912" w:rsidRPr="00C33912" w:rsidRDefault="00C33912" w:rsidP="00C33912">
      <w:p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Impact and Contributions:</w:t>
      </w:r>
    </w:p>
    <w:p w14:paraId="11E66C4E" w14:textId="77777777" w:rsidR="00C33912" w:rsidRPr="00C33912" w:rsidRDefault="00C33912" w:rsidP="00C339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Credit Issuance</w:t>
      </w:r>
      <w:r w:rsidRPr="00C33912">
        <w:rPr>
          <w:rFonts w:ascii="Times New Roman" w:eastAsia="Times New Roman" w:hAnsi="Times New Roman" w:cs="Times New Roman"/>
          <w:sz w:val="24"/>
          <w:szCs w:val="24"/>
          <w:lang w:eastAsia="en-IN"/>
        </w:rPr>
        <w:t>: The top developers collectively account for a significant portion of the total carbon credits issued. Their dominant position in the market underscores their role in advancing carbon offset initiatives and driving large-scale emission reductions.</w:t>
      </w:r>
    </w:p>
    <w:p w14:paraId="4FD5AA00" w14:textId="77777777" w:rsidR="00C33912" w:rsidRPr="00C33912" w:rsidRDefault="00C33912" w:rsidP="00C339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Retirement Rates</w:t>
      </w:r>
      <w:r w:rsidRPr="00C33912">
        <w:rPr>
          <w:rFonts w:ascii="Times New Roman" w:eastAsia="Times New Roman" w:hAnsi="Times New Roman" w:cs="Times New Roman"/>
          <w:sz w:val="24"/>
          <w:szCs w:val="24"/>
          <w:lang w:eastAsia="en-IN"/>
        </w:rPr>
        <w:t>: These developers not only issue a substantial number of credits but also show high retirement rates, indicating a commitment to ensuring that their credits contribute effectively to actual emission reductions.</w:t>
      </w:r>
    </w:p>
    <w:p w14:paraId="52E7AEA5" w14:textId="77777777" w:rsidR="00C33912" w:rsidRPr="00C33912" w:rsidRDefault="00C33912" w:rsidP="00C33912">
      <w:p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Additional Observations:</w:t>
      </w:r>
    </w:p>
    <w:p w14:paraId="1D23D852" w14:textId="77777777" w:rsidR="00C33912" w:rsidRPr="00C33912" w:rsidRDefault="00C33912" w:rsidP="00C339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Project Diversity</w:t>
      </w:r>
      <w:r w:rsidRPr="00C33912">
        <w:rPr>
          <w:rFonts w:ascii="Times New Roman" w:eastAsia="Times New Roman" w:hAnsi="Times New Roman" w:cs="Times New Roman"/>
          <w:sz w:val="24"/>
          <w:szCs w:val="24"/>
          <w:lang w:eastAsia="en-IN"/>
        </w:rPr>
        <w:t>: Many top developers engage in a diverse range of projects beyond Renewable Energy and Afforestation/Reforestation, including methane capture and energy efficiency projects. This diversity highlights their innovative approaches and broad expertise in the carbon market.</w:t>
      </w:r>
    </w:p>
    <w:p w14:paraId="032E763E" w14:textId="77777777" w:rsidR="00C33912" w:rsidRPr="00C33912" w:rsidRDefault="00000000" w:rsidP="00C339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501F95">
          <v:rect id="_x0000_i1027" style="width:0;height:1.5pt" o:hralign="center" o:hrstd="t" o:hr="t" fillcolor="#a0a0a0" stroked="f"/>
        </w:pict>
      </w:r>
    </w:p>
    <w:p w14:paraId="287AE1B2" w14:textId="77777777" w:rsidR="00C33912" w:rsidRPr="00107360" w:rsidRDefault="00C33912" w:rsidP="00C3391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107360">
        <w:rPr>
          <w:rFonts w:ascii="Times New Roman" w:eastAsia="Times New Roman" w:hAnsi="Times New Roman" w:cs="Times New Roman"/>
          <w:b/>
          <w:bCs/>
          <w:sz w:val="28"/>
          <w:szCs w:val="28"/>
          <w:lang w:eastAsia="en-IN"/>
        </w:rPr>
        <w:t xml:space="preserve">3. Notable Patterns in Credit Retirement and Buying </w:t>
      </w:r>
      <w:proofErr w:type="spellStart"/>
      <w:r w:rsidRPr="00107360">
        <w:rPr>
          <w:rFonts w:ascii="Times New Roman" w:eastAsia="Times New Roman" w:hAnsi="Times New Roman" w:cs="Times New Roman"/>
          <w:b/>
          <w:bCs/>
          <w:sz w:val="28"/>
          <w:szCs w:val="28"/>
          <w:lang w:eastAsia="en-IN"/>
        </w:rPr>
        <w:t>Behavior</w:t>
      </w:r>
      <w:proofErr w:type="spellEnd"/>
    </w:p>
    <w:p w14:paraId="0D3133D9" w14:textId="77777777" w:rsidR="00C33912" w:rsidRPr="00C33912" w:rsidRDefault="00C33912" w:rsidP="00C33912">
      <w:p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Top Buyers:</w:t>
      </w:r>
    </w:p>
    <w:p w14:paraId="339ECF91" w14:textId="77777777" w:rsidR="00C33912" w:rsidRPr="00C33912" w:rsidRDefault="00C33912" w:rsidP="00C339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Major Buyers</w:t>
      </w:r>
      <w:r w:rsidRPr="00C33912">
        <w:rPr>
          <w:rFonts w:ascii="Times New Roman" w:eastAsia="Times New Roman" w:hAnsi="Times New Roman" w:cs="Times New Roman"/>
          <w:sz w:val="24"/>
          <w:szCs w:val="24"/>
          <w:lang w:eastAsia="en-IN"/>
        </w:rPr>
        <w:t>: Prominent credit buyers include large multinational corporations such as [Buyer X], [Buyer Y], and [Buyer Z]. These organizations are significant players in the carbon market, driven by their need to meet sustainability goals and regulatory requirements.</w:t>
      </w:r>
    </w:p>
    <w:p w14:paraId="6E8DCF4E" w14:textId="77777777" w:rsidR="00C33912" w:rsidRPr="00C33912" w:rsidRDefault="00C33912" w:rsidP="00C339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Credit Retirements</w:t>
      </w:r>
      <w:r w:rsidRPr="00C33912">
        <w:rPr>
          <w:rFonts w:ascii="Times New Roman" w:eastAsia="Times New Roman" w:hAnsi="Times New Roman" w:cs="Times New Roman"/>
          <w:sz w:val="24"/>
          <w:szCs w:val="24"/>
          <w:lang w:eastAsia="en-IN"/>
        </w:rPr>
        <w:t>: Top buyers are responsible for retiring large volumes of credits, reflecting their substantial commitment to carbon neutrality and their proactive approach to managing their carbon footprint.</w:t>
      </w:r>
    </w:p>
    <w:p w14:paraId="5156D72D" w14:textId="77777777" w:rsidR="00C33912" w:rsidRPr="00C33912" w:rsidRDefault="00C33912" w:rsidP="00C33912">
      <w:p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Buying Patterns:</w:t>
      </w:r>
    </w:p>
    <w:p w14:paraId="0B89AC4C" w14:textId="77777777" w:rsidR="00C33912" w:rsidRPr="00C33912" w:rsidRDefault="00C33912" w:rsidP="00C339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Preferred Credits</w:t>
      </w:r>
      <w:r w:rsidRPr="00C33912">
        <w:rPr>
          <w:rFonts w:ascii="Times New Roman" w:eastAsia="Times New Roman" w:hAnsi="Times New Roman" w:cs="Times New Roman"/>
          <w:sz w:val="24"/>
          <w:szCs w:val="24"/>
          <w:lang w:eastAsia="en-IN"/>
        </w:rPr>
        <w:t>: The majority of credits retired by these organizations come from Renewable Energy and Afforestation/Reforestation projects. This preference aligns with their sustainability strategies and the availability of high-impact projects that offer verifiable emission reductions.</w:t>
      </w:r>
    </w:p>
    <w:p w14:paraId="3BA39602" w14:textId="77777777" w:rsidR="00C33912" w:rsidRPr="00C33912" w:rsidRDefault="00C33912" w:rsidP="00C339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Temporal Trends</w:t>
      </w:r>
      <w:r w:rsidRPr="00C33912">
        <w:rPr>
          <w:rFonts w:ascii="Times New Roman" w:eastAsia="Times New Roman" w:hAnsi="Times New Roman" w:cs="Times New Roman"/>
          <w:sz w:val="24"/>
          <w:szCs w:val="24"/>
          <w:lang w:eastAsia="en-IN"/>
        </w:rPr>
        <w:t>: Buying patterns show an increase towards the end of the fiscal year and in response to new regulatory requirements. This trend reflects the alignment of corporate sustainability efforts with reporting cycles and compliance deadlines.</w:t>
      </w:r>
    </w:p>
    <w:p w14:paraId="0DBE9FA0" w14:textId="77777777" w:rsidR="00C33912" w:rsidRPr="00C33912" w:rsidRDefault="00C33912" w:rsidP="00C33912">
      <w:p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Market Dynamics:</w:t>
      </w:r>
    </w:p>
    <w:p w14:paraId="64FE68E2" w14:textId="77777777" w:rsidR="00C33912" w:rsidRPr="00C33912" w:rsidRDefault="00C33912" w:rsidP="00C339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lastRenderedPageBreak/>
        <w:t>Growing Corporate Involvement</w:t>
      </w:r>
      <w:r w:rsidRPr="00C33912">
        <w:rPr>
          <w:rFonts w:ascii="Times New Roman" w:eastAsia="Times New Roman" w:hAnsi="Times New Roman" w:cs="Times New Roman"/>
          <w:sz w:val="24"/>
          <w:szCs w:val="24"/>
          <w:lang w:eastAsia="en-IN"/>
        </w:rPr>
        <w:t>: There is a noticeable increase in corporate participation in the carbon market. Companies are increasingly integrating carbon offsetting into their sustainability strategies to meet regulatory and voluntary carbon neutrality targets.</w:t>
      </w:r>
    </w:p>
    <w:p w14:paraId="0F0A82F1" w14:textId="77777777" w:rsidR="00C33912" w:rsidRPr="00C33912" w:rsidRDefault="00C33912" w:rsidP="00C339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Demand for High-Impact Credits</w:t>
      </w:r>
      <w:r w:rsidRPr="00C33912">
        <w:rPr>
          <w:rFonts w:ascii="Times New Roman" w:eastAsia="Times New Roman" w:hAnsi="Times New Roman" w:cs="Times New Roman"/>
          <w:sz w:val="24"/>
          <w:szCs w:val="24"/>
          <w:lang w:eastAsia="en-IN"/>
        </w:rPr>
        <w:t>: The strong demand for credits from specific project types indicates a market preference for projects with clear and measurable environmental benefits. This trend shapes the focus of both issuers and buyers, emphasizing the importance of transparency and impact in the carbon market.</w:t>
      </w:r>
    </w:p>
    <w:p w14:paraId="214E0D0D" w14:textId="77777777" w:rsidR="00C33912" w:rsidRPr="00C33912" w:rsidRDefault="00000000" w:rsidP="00C339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D882CD">
          <v:rect id="_x0000_i1028" style="width:0;height:1.5pt" o:hralign="center" o:hrstd="t" o:hr="t" fillcolor="#a0a0a0" stroked="f"/>
        </w:pict>
      </w:r>
    </w:p>
    <w:p w14:paraId="4A5779B9" w14:textId="77777777" w:rsidR="00C33912" w:rsidRPr="00C33912" w:rsidRDefault="00C33912" w:rsidP="00C33912">
      <w:p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b/>
          <w:bCs/>
          <w:sz w:val="24"/>
          <w:szCs w:val="24"/>
          <w:lang w:eastAsia="en-IN"/>
        </w:rPr>
        <w:t>Conclusion:</w:t>
      </w:r>
    </w:p>
    <w:p w14:paraId="18E58B6C" w14:textId="77777777" w:rsidR="00C33912" w:rsidRPr="00C33912" w:rsidRDefault="00C33912" w:rsidP="00C33912">
      <w:pPr>
        <w:spacing w:before="100" w:beforeAutospacing="1" w:after="100" w:afterAutospacing="1" w:line="240" w:lineRule="auto"/>
        <w:rPr>
          <w:rFonts w:ascii="Times New Roman" w:eastAsia="Times New Roman" w:hAnsi="Times New Roman" w:cs="Times New Roman"/>
          <w:sz w:val="24"/>
          <w:szCs w:val="24"/>
          <w:lang w:eastAsia="en-IN"/>
        </w:rPr>
      </w:pPr>
      <w:r w:rsidRPr="00C33912">
        <w:rPr>
          <w:rFonts w:ascii="Times New Roman" w:eastAsia="Times New Roman" w:hAnsi="Times New Roman" w:cs="Times New Roman"/>
          <w:sz w:val="24"/>
          <w:szCs w:val="24"/>
          <w:lang w:eastAsia="en-IN"/>
        </w:rPr>
        <w:t xml:space="preserve">The analysis of carbon market data reveals a robust and expanding sector characterized by increasing issuances and steady retirements of carbon credits. Leading developers play a critical role, particularly in Renewable Energy and Afforestation/Reforestation projects, while major corporate buyers demonstrate a strong commitment to offsetting emissions. Notable patterns in credit retirement and buying </w:t>
      </w:r>
      <w:proofErr w:type="spellStart"/>
      <w:r w:rsidRPr="00C33912">
        <w:rPr>
          <w:rFonts w:ascii="Times New Roman" w:eastAsia="Times New Roman" w:hAnsi="Times New Roman" w:cs="Times New Roman"/>
          <w:sz w:val="24"/>
          <w:szCs w:val="24"/>
          <w:lang w:eastAsia="en-IN"/>
        </w:rPr>
        <w:t>behavior</w:t>
      </w:r>
      <w:proofErr w:type="spellEnd"/>
      <w:r w:rsidRPr="00C33912">
        <w:rPr>
          <w:rFonts w:ascii="Times New Roman" w:eastAsia="Times New Roman" w:hAnsi="Times New Roman" w:cs="Times New Roman"/>
          <w:sz w:val="24"/>
          <w:szCs w:val="24"/>
          <w:lang w:eastAsia="en-IN"/>
        </w:rPr>
        <w:t xml:space="preserve"> reflect broader trends in corporate sustainability and regulatory compliance.</w:t>
      </w:r>
    </w:p>
    <w:p w14:paraId="30D3A1D7" w14:textId="77777777" w:rsidR="00000000" w:rsidRDefault="00000000"/>
    <w:sectPr w:rsidR="00332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40843"/>
    <w:multiLevelType w:val="multilevel"/>
    <w:tmpl w:val="46F8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05657"/>
    <w:multiLevelType w:val="multilevel"/>
    <w:tmpl w:val="261A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04660"/>
    <w:multiLevelType w:val="multilevel"/>
    <w:tmpl w:val="14A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E20B3"/>
    <w:multiLevelType w:val="multilevel"/>
    <w:tmpl w:val="33D6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428EC"/>
    <w:multiLevelType w:val="multilevel"/>
    <w:tmpl w:val="2BC6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F573F"/>
    <w:multiLevelType w:val="multilevel"/>
    <w:tmpl w:val="8B9C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65AF4"/>
    <w:multiLevelType w:val="multilevel"/>
    <w:tmpl w:val="09DE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25C2B"/>
    <w:multiLevelType w:val="multilevel"/>
    <w:tmpl w:val="6ABE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B73B0B"/>
    <w:multiLevelType w:val="multilevel"/>
    <w:tmpl w:val="B5F2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626945">
    <w:abstractNumId w:val="8"/>
  </w:num>
  <w:num w:numId="2" w16cid:durableId="1844733978">
    <w:abstractNumId w:val="4"/>
  </w:num>
  <w:num w:numId="3" w16cid:durableId="348144603">
    <w:abstractNumId w:val="0"/>
  </w:num>
  <w:num w:numId="4" w16cid:durableId="2013489990">
    <w:abstractNumId w:val="3"/>
  </w:num>
  <w:num w:numId="5" w16cid:durableId="2076656194">
    <w:abstractNumId w:val="2"/>
  </w:num>
  <w:num w:numId="6" w16cid:durableId="127205880">
    <w:abstractNumId w:val="1"/>
  </w:num>
  <w:num w:numId="7" w16cid:durableId="1265963818">
    <w:abstractNumId w:val="6"/>
  </w:num>
  <w:num w:numId="8" w16cid:durableId="691497401">
    <w:abstractNumId w:val="5"/>
  </w:num>
  <w:num w:numId="9" w16cid:durableId="1790200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3912"/>
    <w:rsid w:val="000D0D6D"/>
    <w:rsid w:val="00107360"/>
    <w:rsid w:val="00270E67"/>
    <w:rsid w:val="00C33912"/>
    <w:rsid w:val="00DF35C2"/>
    <w:rsid w:val="00F10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FE69"/>
  <w15:chartTrackingRefBased/>
  <w15:docId w15:val="{6208EEFC-0AB7-477F-8BA6-DA31F7BA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39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3391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391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3391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33912"/>
    <w:rPr>
      <w:b/>
      <w:bCs/>
    </w:rPr>
  </w:style>
  <w:style w:type="paragraph" w:styleId="NormalWeb">
    <w:name w:val="Normal (Web)"/>
    <w:basedOn w:val="Normal"/>
    <w:uiPriority w:val="99"/>
    <w:semiHidden/>
    <w:unhideWhenUsed/>
    <w:rsid w:val="00C3391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93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835</Words>
  <Characters>4766</Characters>
  <Application>Microsoft Office Word</Application>
  <DocSecurity>0</DocSecurity>
  <Lines>39</Lines>
  <Paragraphs>11</Paragraphs>
  <ScaleCrop>false</ScaleCrop>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Atish Kumar Poddar</dc:creator>
  <cp:keywords/>
  <dc:description/>
  <cp:lastModifiedBy>Aditya Raj</cp:lastModifiedBy>
  <cp:revision>3</cp:revision>
  <dcterms:created xsi:type="dcterms:W3CDTF">2024-09-10T14:21:00Z</dcterms:created>
  <dcterms:modified xsi:type="dcterms:W3CDTF">2024-09-11T05:25:00Z</dcterms:modified>
</cp:coreProperties>
</file>