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088" w:rsidRDefault="00753130">
      <w:r>
        <w:t>Langmuir Competitive Adsorption Model Applied to Real Example</w:t>
      </w:r>
    </w:p>
    <w:p w:rsidR="00753130" w:rsidRDefault="00753130">
      <w:r>
        <w:t>In the 1</w:t>
      </w:r>
      <w:r w:rsidRPr="00753130">
        <w:rPr>
          <w:vertAlign w:val="superscript"/>
        </w:rPr>
        <w:t>st</w:t>
      </w:r>
      <w:r>
        <w:t xml:space="preserve"> </w:t>
      </w:r>
      <w:proofErr w:type="spellStart"/>
      <w:r>
        <w:t>CheKiPEUQ</w:t>
      </w:r>
      <w:proofErr w:type="spellEnd"/>
      <w:r>
        <w:t xml:space="preserve"> paper, the CO adsorption on Fe3O4 was shown to have several adsorption states.</w:t>
      </w:r>
    </w:p>
    <w:p w:rsidR="00753130" w:rsidRDefault="00753130">
      <w:r>
        <w:t>The supporting information of one of the studies (</w:t>
      </w:r>
      <w:hyperlink r:id="rId4" w:history="1">
        <w:r w:rsidRPr="00497593">
          <w:rPr>
            <w:rStyle w:val="Hyperlink"/>
          </w:rPr>
          <w:t>https://pubs.acs.org/doi/full/10.1021/acs.jpcb.7b04228</w:t>
        </w:r>
      </w:hyperlink>
      <w:r>
        <w:t xml:space="preserve"> ) shows that the CO adsorption state that we are referring to as “State 1” has a competitive adsorption with H2O.</w:t>
      </w:r>
    </w:p>
    <w:p w:rsidR="00753130" w:rsidRDefault="00753130"/>
    <w:p w:rsidR="00753130" w:rsidRDefault="00753130">
      <w:r>
        <w:t>Experiments have shown that water adsorption has a coverage dependent adsorption enthalpy and activation energy for desorption.</w:t>
      </w:r>
    </w:p>
    <w:p w:rsidR="00753130" w:rsidRDefault="00753130">
      <w:hyperlink r:id="rId5" w:history="1">
        <w:r w:rsidRPr="00497593">
          <w:rPr>
            <w:rStyle w:val="Hyperlink"/>
          </w:rPr>
          <w:t>https://onlinelibrary.wiley.com/doi/10.1002/anie.201711890#anie201711890-fig-0001</w:t>
        </w:r>
      </w:hyperlink>
    </w:p>
    <w:p w:rsidR="00753130" w:rsidRDefault="00753130">
      <w:hyperlink r:id="rId6" w:history="1">
        <w:r w:rsidRPr="00497593">
          <w:rPr>
            <w:rStyle w:val="Hyperlink"/>
          </w:rPr>
          <w:t>https://onlinelibrary.wiley.com/doi/10.1002/anie.201506439</w:t>
        </w:r>
      </w:hyperlink>
    </w:p>
    <w:p w:rsidR="00753130" w:rsidRDefault="00753130">
      <w:r>
        <w:t>However, based on the references above, it is the most strongly bound water that is in competitive adsorption with the particular CO adsorption that we are referring to.</w:t>
      </w:r>
    </w:p>
    <w:p w:rsidR="00753130" w:rsidRDefault="00753130">
      <w:r>
        <w:t>From our 1</w:t>
      </w:r>
      <w:r w:rsidRPr="00753130">
        <w:rPr>
          <w:vertAlign w:val="superscript"/>
        </w:rPr>
        <w:t>st</w:t>
      </w:r>
      <w:r>
        <w:t xml:space="preserve"> paper, we have an estimate of the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 w:rsidR="005A73AB">
        <w:t>°</w:t>
      </w:r>
      <w:r>
        <w:t xml:space="preserve"> adsorption for the State 1 CO as </w:t>
      </w:r>
      <w:r w:rsidR="005A73AB">
        <w:t>-</w:t>
      </w:r>
      <w:r w:rsidRPr="00753130">
        <w:rPr>
          <w:lang w:val="de-DE"/>
        </w:rPr>
        <w:t>66.3 +/- 4.8</w:t>
      </w:r>
      <w:r>
        <w:rPr>
          <w:lang w:val="de-DE"/>
        </w:rPr>
        <w:t xml:space="preserve"> kJ/mol. Note that the</w:t>
      </w:r>
      <w:r>
        <w:t xml:space="preserve"> the posterior of that example becomes the prior distribution of this example.</w:t>
      </w:r>
    </w:p>
    <w:p w:rsidR="00753130" w:rsidRDefault="00753130" w:rsidP="00753130">
      <w:r>
        <w:t xml:space="preserve">Since we are interested in the water from the supporting information of </w:t>
      </w:r>
      <w:hyperlink r:id="rId7" w:history="1">
        <w:r w:rsidRPr="00497593">
          <w:rPr>
            <w:rStyle w:val="Hyperlink"/>
          </w:rPr>
          <w:t>https://pubs.acs.org/doi/full/10.1021/acs.jpcb.7b04228</w:t>
        </w:r>
      </w:hyperlink>
      <w:r>
        <w:t xml:space="preserve"> </w:t>
      </w:r>
      <w:r>
        <w:t xml:space="preserve">, we perform a BPE for the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 xml:space="preserve">° adsorption </w:t>
      </w:r>
      <w:r>
        <w:t xml:space="preserve"> of that state. We note that the </w:t>
      </w:r>
      <w:proofErr w:type="spellStart"/>
      <w:r>
        <w:t>Tp</w:t>
      </w:r>
      <w:proofErr w:type="spellEnd"/>
      <w:r>
        <w:t xml:space="preserve"> for desorption can be described by 3</w:t>
      </w:r>
      <w:r>
        <w:t>20 +/- 30</w:t>
      </w:r>
      <w:r>
        <w:t xml:space="preserve">.  We take an initial estimate of the strongly bound state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 xml:space="preserve">° </w:t>
      </w:r>
      <w:r>
        <w:t xml:space="preserve">as </w:t>
      </w:r>
      <w:r w:rsidRPr="00753130">
        <w:t>80</w:t>
      </w:r>
      <w:r>
        <w:t xml:space="preserve">+/- 20 kJ mol.  Example </w:t>
      </w:r>
      <w:r w:rsidRPr="00753130">
        <w:t>runfile_Example14_StateH2O_mcmc.py</w:t>
      </w:r>
      <w:r>
        <w:t xml:space="preserve"> then yields </w:t>
      </w:r>
      <w:r>
        <w:t>82</w:t>
      </w:r>
      <w:r>
        <w:t>.</w:t>
      </w:r>
      <w:r>
        <w:t>8</w:t>
      </w:r>
      <w:r>
        <w:t xml:space="preserve"> +/</w:t>
      </w:r>
      <w:r>
        <w:t>- 12</w:t>
      </w:r>
      <w:r>
        <w:t>.</w:t>
      </w:r>
      <w:r>
        <w:t>1</w:t>
      </w:r>
      <w:r>
        <w:t xml:space="preserve"> kJ/mol for the posterior. Again, we take that posterior as our “new best guess” and use it as our prior to feed into the equilibrium example.</w:t>
      </w:r>
    </w:p>
    <w:p w:rsidR="00753130" w:rsidRDefault="00753130">
      <w:r>
        <w:t xml:space="preserve">For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>°</w:t>
      </w:r>
      <w:r>
        <w:rPr>
          <w:sz w:val="16"/>
          <w:szCs w:val="16"/>
        </w:rPr>
        <w:t xml:space="preserve">, </w:t>
      </w:r>
      <w:r>
        <w:t>we use the approximation of the loss of</w:t>
      </w:r>
      <w:r w:rsidR="007B4021">
        <w:t xml:space="preserve"> all</w:t>
      </w:r>
      <w:r>
        <w:t xml:space="preserve"> translational degree</w:t>
      </w:r>
      <w:r w:rsidR="007B4021">
        <w:t xml:space="preserve">s </w:t>
      </w:r>
      <w:r>
        <w:t xml:space="preserve">of freedom. For simplicity, we approximate that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>°</w:t>
      </w:r>
      <w:r>
        <w:t xml:space="preserve"> and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>°</w:t>
      </w:r>
      <w:r>
        <w:t xml:space="preserve"> (and individual standard entropies and enthalpies) are independent of temperature.  From the NIST webbook, </w:t>
      </w:r>
      <w:proofErr w:type="spellStart"/>
      <w:r>
        <w:rPr>
          <w:sz w:val="16"/>
          <w:szCs w:val="16"/>
        </w:rPr>
        <w:t>S</w:t>
      </w:r>
      <w:r>
        <w:t>°</w:t>
      </w:r>
      <w:r>
        <w:rPr>
          <w:vertAlign w:val="subscript"/>
        </w:rPr>
        <w:t>gas</w:t>
      </w:r>
      <w:proofErr w:type="spellEnd"/>
      <w:r>
        <w:rPr>
          <w:vertAlign w:val="subscript"/>
        </w:rPr>
        <w:t>, H2O</w:t>
      </w:r>
      <w:r>
        <w:t xml:space="preserve"> = 188.84 J/(mol*K) and </w:t>
      </w:r>
      <w:proofErr w:type="spellStart"/>
      <w:r>
        <w:rPr>
          <w:sz w:val="16"/>
          <w:szCs w:val="16"/>
        </w:rPr>
        <w:t>S</w:t>
      </w:r>
      <w:r>
        <w:t>°</w:t>
      </w:r>
      <w:r>
        <w:rPr>
          <w:vertAlign w:val="subscript"/>
        </w:rPr>
        <w:t>gas</w:t>
      </w:r>
      <w:proofErr w:type="spellEnd"/>
      <w:r>
        <w:rPr>
          <w:vertAlign w:val="subscript"/>
        </w:rPr>
        <w:t xml:space="preserve">, </w:t>
      </w:r>
      <w:r>
        <w:rPr>
          <w:vertAlign w:val="subscript"/>
        </w:rPr>
        <w:t>C</w:t>
      </w:r>
      <w:r>
        <w:rPr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=197.66 </w:t>
      </w:r>
      <w:r>
        <w:t>J/(mol*K)</w:t>
      </w:r>
      <w:r w:rsidR="007B4021">
        <w:t>. W</w:t>
      </w:r>
      <w:r>
        <w:t>e take the Sackur-Tetrode sheet from the following reference supporting info</w:t>
      </w:r>
      <w:r w:rsidR="007B4021">
        <w:t>.</w:t>
      </w:r>
      <w:r>
        <w:t xml:space="preserve"> </w:t>
      </w:r>
      <w:hyperlink r:id="rId8" w:history="1">
        <w:r w:rsidR="007B4021" w:rsidRPr="00497593">
          <w:rPr>
            <w:rStyle w:val="Hyperlink"/>
          </w:rPr>
          <w:t>https://pubs.acs.org/doi/10.1021/acs.jpcc.7b05171</w:t>
        </w:r>
      </w:hyperlink>
    </w:p>
    <w:p w:rsidR="007B4021" w:rsidRDefault="007B4021">
      <w:r>
        <w:t>We are only interested in the “Full Sackur Tetrode Equation for 3D” from cell A60.  For CO, the value is 150.42</w:t>
      </w:r>
      <w:r w:rsidR="005A73AB">
        <w:t xml:space="preserve"> </w:t>
      </w:r>
      <w:r w:rsidR="005A73AB">
        <w:t>J/(mol*K)</w:t>
      </w:r>
      <w:r>
        <w:t xml:space="preserve">, and for H2O it is </w:t>
      </w:r>
      <w:r w:rsidR="005A73AB">
        <w:t xml:space="preserve">144.91 </w:t>
      </w:r>
      <w:r w:rsidR="005A73AB">
        <w:t>J/(mol*K)</w:t>
      </w:r>
      <w:r w:rsidR="005A73AB">
        <w:t xml:space="preserve">.  We will take these values for </w:t>
      </w:r>
      <w:r w:rsidR="005A73AB" w:rsidRPr="007C2DC0">
        <w:rPr>
          <w:rFonts w:ascii="Symbol" w:hAnsi="Symbol"/>
          <w:sz w:val="16"/>
          <w:szCs w:val="16"/>
        </w:rPr>
        <w:t></w:t>
      </w:r>
      <w:proofErr w:type="spellStart"/>
      <w:r w:rsidR="005A73AB">
        <w:rPr>
          <w:sz w:val="16"/>
          <w:szCs w:val="16"/>
        </w:rPr>
        <w:t>S</w:t>
      </w:r>
      <w:r w:rsidR="005A73AB" w:rsidRPr="007C2DC0">
        <w:rPr>
          <w:sz w:val="16"/>
          <w:szCs w:val="16"/>
          <w:vertAlign w:val="subscript"/>
        </w:rPr>
        <w:t>ads</w:t>
      </w:r>
      <w:proofErr w:type="spellEnd"/>
      <w:r w:rsidR="005A73AB">
        <w:t>°</w:t>
      </w:r>
      <w:r w:rsidR="005A73AB">
        <w:t xml:space="preserve"> adsorption:</w:t>
      </w:r>
    </w:p>
    <w:p w:rsidR="005A73AB" w:rsidRPr="005A73AB" w:rsidRDefault="005A73AB">
      <w:pPr>
        <w:rPr>
          <w:rFonts w:cstheme="minorHAnsi"/>
          <w:highlight w:val="yellow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,H2O</w:t>
      </w:r>
      <w:r w:rsidRPr="005A73AB">
        <w:rPr>
          <w:highlight w:val="yellow"/>
        </w:rPr>
        <w:t xml:space="preserve"> </w:t>
      </w:r>
      <w:r w:rsidRPr="005A73AB">
        <w:rPr>
          <w:rFonts w:cstheme="minorHAnsi"/>
          <w:highlight w:val="yellow"/>
        </w:rPr>
        <w:t>≈ -144.91</w:t>
      </w:r>
    </w:p>
    <w:p w:rsidR="005A73AB" w:rsidRDefault="005A73AB" w:rsidP="005A73AB">
      <w:pPr>
        <w:rPr>
          <w:rFonts w:cstheme="minorHAnsi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</w:t>
      </w:r>
      <w:r w:rsidRPr="005A73AB">
        <w:rPr>
          <w:highlight w:val="yellow"/>
          <w:vertAlign w:val="subscript"/>
        </w:rPr>
        <w:t>CO</w:t>
      </w:r>
      <w:r w:rsidRPr="005A73AB">
        <w:rPr>
          <w:highlight w:val="yellow"/>
        </w:rPr>
        <w:t xml:space="preserve"> </w:t>
      </w:r>
      <w:r w:rsidRPr="005A73AB">
        <w:rPr>
          <w:rFonts w:cstheme="minorHAnsi"/>
          <w:highlight w:val="yellow"/>
        </w:rPr>
        <w:t>≈</w:t>
      </w:r>
      <w:r w:rsidRPr="005A73AB">
        <w:rPr>
          <w:rFonts w:cstheme="minorHAnsi"/>
          <w:highlight w:val="yellow"/>
        </w:rPr>
        <w:t xml:space="preserve"> </w:t>
      </w:r>
      <w:r w:rsidRPr="005A73AB">
        <w:rPr>
          <w:rFonts w:cstheme="minorHAnsi"/>
          <w:highlight w:val="yellow"/>
        </w:rPr>
        <w:t>-1</w:t>
      </w:r>
      <w:r w:rsidRPr="005A73AB">
        <w:rPr>
          <w:rFonts w:cstheme="minorHAnsi"/>
          <w:highlight w:val="yellow"/>
        </w:rPr>
        <w:t>50</w:t>
      </w:r>
      <w:r w:rsidRPr="005A73AB">
        <w:rPr>
          <w:rFonts w:cstheme="minorHAnsi"/>
          <w:highlight w:val="yellow"/>
        </w:rPr>
        <w:t>.</w:t>
      </w:r>
      <w:r w:rsidRPr="005A73AB">
        <w:rPr>
          <w:rFonts w:cstheme="minorHAnsi"/>
          <w:highlight w:val="yellow"/>
        </w:rPr>
        <w:t>42</w:t>
      </w:r>
    </w:p>
    <w:p w:rsidR="005A73AB" w:rsidRDefault="005A73AB" w:rsidP="005A73AB">
      <w:pPr>
        <w:rPr>
          <w:rFonts w:cstheme="minorHAnsi"/>
        </w:rPr>
      </w:pPr>
      <w:r>
        <w:rPr>
          <w:rFonts w:cstheme="minorHAnsi"/>
        </w:rPr>
        <w:t>And from above,</w:t>
      </w:r>
    </w:p>
    <w:p w:rsidR="005A73AB" w:rsidRPr="005A73AB" w:rsidRDefault="005A73AB" w:rsidP="005A73AB">
      <w:pPr>
        <w:rPr>
          <w:highlight w:val="yellow"/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r w:rsidRPr="005A73AB">
        <w:rPr>
          <w:highlight w:val="yellow"/>
        </w:rPr>
        <w:t xml:space="preserve"> = -</w:t>
      </w:r>
      <w:r w:rsidRPr="005A73AB">
        <w:rPr>
          <w:highlight w:val="yellow"/>
          <w:lang w:val="de-DE"/>
        </w:rPr>
        <w:t xml:space="preserve">66.3 +/- 4.8 kJ/mol. </w:t>
      </w:r>
    </w:p>
    <w:p w:rsidR="005A73AB" w:rsidRPr="005A73AB" w:rsidRDefault="005A73AB" w:rsidP="005A73AB">
      <w:pPr>
        <w:rPr>
          <w:rFonts w:cstheme="minorHAnsi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</w:t>
      </w:r>
      <w:r w:rsidRPr="005A73AB">
        <w:rPr>
          <w:highlight w:val="yellow"/>
          <w:vertAlign w:val="subscript"/>
        </w:rPr>
        <w:t>H2</w:t>
      </w:r>
      <w:r w:rsidRPr="005A73AB">
        <w:rPr>
          <w:highlight w:val="yellow"/>
          <w:vertAlign w:val="subscript"/>
        </w:rPr>
        <w:t>O</w:t>
      </w:r>
      <w:r w:rsidRPr="005A73AB">
        <w:rPr>
          <w:highlight w:val="yellow"/>
        </w:rPr>
        <w:t xml:space="preserve"> = -</w:t>
      </w:r>
      <w:r w:rsidRPr="005A73AB">
        <w:rPr>
          <w:highlight w:val="yellow"/>
          <w:lang w:val="de-DE"/>
        </w:rPr>
        <w:t>82</w:t>
      </w:r>
      <w:r w:rsidRPr="005A73AB">
        <w:rPr>
          <w:highlight w:val="yellow"/>
          <w:lang w:val="de-DE"/>
        </w:rPr>
        <w:t>.</w:t>
      </w:r>
      <w:r w:rsidRPr="005A73AB">
        <w:rPr>
          <w:highlight w:val="yellow"/>
          <w:lang w:val="de-DE"/>
        </w:rPr>
        <w:t>8</w:t>
      </w:r>
      <w:r w:rsidRPr="005A73AB">
        <w:rPr>
          <w:highlight w:val="yellow"/>
          <w:lang w:val="de-DE"/>
        </w:rPr>
        <w:t xml:space="preserve"> +/- </w:t>
      </w:r>
      <w:r w:rsidRPr="005A73AB">
        <w:rPr>
          <w:highlight w:val="yellow"/>
          <w:lang w:val="de-DE"/>
        </w:rPr>
        <w:t>12</w:t>
      </w:r>
      <w:r w:rsidRPr="005A73AB">
        <w:rPr>
          <w:highlight w:val="yellow"/>
          <w:lang w:val="de-DE"/>
        </w:rPr>
        <w:t>.</w:t>
      </w:r>
      <w:r w:rsidRPr="005A73AB">
        <w:rPr>
          <w:highlight w:val="yellow"/>
          <w:lang w:val="de-DE"/>
        </w:rPr>
        <w:t>1</w:t>
      </w:r>
      <w:r w:rsidRPr="005A73AB">
        <w:rPr>
          <w:highlight w:val="yellow"/>
          <w:lang w:val="de-DE"/>
        </w:rPr>
        <w:t xml:space="preserve"> kJ/mol.</w:t>
      </w:r>
      <w:r>
        <w:rPr>
          <w:lang w:val="de-DE"/>
        </w:rPr>
        <w:t xml:space="preserve"> </w:t>
      </w:r>
    </w:p>
    <w:p w:rsidR="005A73AB" w:rsidRPr="005A73AB" w:rsidRDefault="005A73AB" w:rsidP="005A73AB">
      <w:r>
        <w:rPr>
          <w:rFonts w:cstheme="minorHAnsi"/>
        </w:rPr>
        <w:t xml:space="preserve">We will assume a standard uncertainty of 20 J/mol for the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>°</w:t>
      </w:r>
      <w:r>
        <w:t xml:space="preserve"> </w:t>
      </w:r>
      <w:r>
        <w:rPr>
          <w:rFonts w:cstheme="minorHAnsi"/>
        </w:rPr>
        <w:t>adsorption of each of these molecules.</w:t>
      </w:r>
    </w:p>
    <w:p w:rsidR="00753130" w:rsidRPr="00753130" w:rsidRDefault="005A73AB">
      <w:r>
        <w:t xml:space="preserve">Then,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G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</w:rPr>
        <w:t xml:space="preserve">=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Pr="005A73AB">
        <w:rPr>
          <w:highlight w:val="yellow"/>
        </w:rPr>
        <w:t>°</w:t>
      </w:r>
      <w:r w:rsidRPr="005A73AB">
        <w:rPr>
          <w:highlight w:val="yellow"/>
        </w:rPr>
        <w:t>-</w:t>
      </w:r>
      <w:proofErr w:type="spellStart"/>
      <w:r w:rsidRPr="005A73AB">
        <w:rPr>
          <w:highlight w:val="yellow"/>
        </w:rPr>
        <w:t>T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Pr="005A73AB">
        <w:rPr>
          <w:highlight w:val="yellow"/>
        </w:rPr>
        <w:t>°</w:t>
      </w:r>
      <w:r w:rsidR="00AD674A">
        <w:t xml:space="preserve">. Note that for any given temperature, the standard uncertainty in the prior distribution for 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5A73AB">
        <w:rPr>
          <w:sz w:val="16"/>
          <w:szCs w:val="16"/>
          <w:highlight w:val="yellow"/>
        </w:rPr>
        <w:t>G</w:t>
      </w:r>
      <w:r w:rsidR="00AD674A"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5A73AB">
        <w:rPr>
          <w:highlight w:val="yellow"/>
        </w:rPr>
        <w:t>°</w:t>
      </w:r>
      <w:r w:rsidR="00AD674A">
        <w:t xml:space="preserve"> can then be calculated from that of the other two terms, reducing to a single prior: </w:t>
      </w:r>
      <w:bookmarkStart w:id="0" w:name="_GoBack"/>
      <w:bookmarkEnd w:id="0"/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G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AD674A">
        <w:rPr>
          <w:highlight w:val="yellow"/>
        </w:rPr>
        <w:t>°</w:t>
      </w:r>
      <w:r w:rsidR="00AD674A" w:rsidRPr="00AD674A">
        <w:rPr>
          <w:highlight w:val="yellow"/>
        </w:rPr>
        <w:t>=( (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H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AD674A">
        <w:rPr>
          <w:highlight w:val="yellow"/>
        </w:rPr>
        <w:t>°</w:t>
      </w:r>
      <w:r w:rsidR="00AD674A" w:rsidRPr="00AD674A">
        <w:rPr>
          <w:highlight w:val="yellow"/>
        </w:rPr>
        <w:t>)</w:t>
      </w:r>
      <w:r w:rsidR="00AD674A" w:rsidRPr="00AD674A">
        <w:rPr>
          <w:highlight w:val="yellow"/>
          <w:vertAlign w:val="superscript"/>
        </w:rPr>
        <w:t>2</w:t>
      </w:r>
      <w:r w:rsidR="00AD674A" w:rsidRPr="00AD674A">
        <w:rPr>
          <w:highlight w:val="yellow"/>
        </w:rPr>
        <w:t xml:space="preserve"> +(T*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S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AD674A">
        <w:rPr>
          <w:highlight w:val="yellow"/>
        </w:rPr>
        <w:t>°</w:t>
      </w:r>
      <w:r w:rsidR="00AD674A" w:rsidRPr="00AD674A">
        <w:rPr>
          <w:highlight w:val="yellow"/>
        </w:rPr>
        <w:t>)</w:t>
      </w:r>
      <w:r w:rsidR="00AD674A" w:rsidRPr="00AD674A">
        <w:rPr>
          <w:highlight w:val="yellow"/>
          <w:vertAlign w:val="superscript"/>
        </w:rPr>
        <w:t>2</w:t>
      </w:r>
      <w:r w:rsidR="00AD674A" w:rsidRPr="00AD674A">
        <w:rPr>
          <w:highlight w:val="yellow"/>
        </w:rPr>
        <w:t xml:space="preserve"> ) </w:t>
      </w:r>
      <w:r w:rsidR="00AD674A" w:rsidRPr="00AD674A">
        <w:rPr>
          <w:highlight w:val="yellow"/>
          <w:vertAlign w:val="superscript"/>
        </w:rPr>
        <w:t>0.5</w:t>
      </w:r>
    </w:p>
    <w:sectPr w:rsidR="00753130" w:rsidRPr="0075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9334F3-7CA5-414E-85E2-8919EDA4FDED}"/>
    <w:docVar w:name="dgnword-eventsink" w:val="311628184"/>
  </w:docVars>
  <w:rsids>
    <w:rsidRoot w:val="00753130"/>
    <w:rsid w:val="00040F37"/>
    <w:rsid w:val="000D096D"/>
    <w:rsid w:val="002C6926"/>
    <w:rsid w:val="00346689"/>
    <w:rsid w:val="005778FA"/>
    <w:rsid w:val="005A73AB"/>
    <w:rsid w:val="006443F6"/>
    <w:rsid w:val="00753130"/>
    <w:rsid w:val="007B4021"/>
    <w:rsid w:val="008A2DA9"/>
    <w:rsid w:val="00AD674A"/>
    <w:rsid w:val="00D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46FB"/>
  <w15:chartTrackingRefBased/>
  <w15:docId w15:val="{249D3A93-2231-455C-AAB1-7FCD95B5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78F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0B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0B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ode">
    <w:name w:val="Code"/>
    <w:basedOn w:val="NoSpacing"/>
    <w:link w:val="CodeChar"/>
    <w:qFormat/>
    <w:rsid w:val="000D096D"/>
    <w:pPr>
      <w:framePr w:wrap="around" w:vAnchor="text" w:hAnchor="text" w:y="1"/>
      <w:shd w:val="clear" w:color="auto" w:fill="E7E6E6" w:themeFill="background2"/>
    </w:pPr>
    <w:rPr>
      <w:color w:val="FF0000"/>
    </w:rPr>
  </w:style>
  <w:style w:type="character" w:customStyle="1" w:styleId="CodeChar">
    <w:name w:val="Code Char"/>
    <w:basedOn w:val="DefaultParagraphFont"/>
    <w:link w:val="Code"/>
    <w:rsid w:val="000D096D"/>
    <w:rPr>
      <w:color w:val="FF0000"/>
      <w:shd w:val="clear" w:color="auto" w:fill="E7E6E6" w:themeFill="background2"/>
    </w:rPr>
  </w:style>
  <w:style w:type="paragraph" w:styleId="NoSpacing">
    <w:name w:val="No Spacing"/>
    <w:uiPriority w:val="1"/>
    <w:qFormat/>
    <w:rsid w:val="000D09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.jpcc.7b051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s.acs.org/doi/full/10.1021/acs.jpcb.7b042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10.1002/anie.201506439" TargetMode="External"/><Relationship Id="rId5" Type="http://schemas.openxmlformats.org/officeDocument/2006/relationships/hyperlink" Target="https://onlinelibrary.wiley.com/doi/10.1002/anie.201711890#anie201711890-fig-000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s.acs.org/doi/full/10.1021/acs.jpcb.7b042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</cp:revision>
  <dcterms:created xsi:type="dcterms:W3CDTF">2020-04-29T19:39:00Z</dcterms:created>
  <dcterms:modified xsi:type="dcterms:W3CDTF">2020-04-29T20:27:00Z</dcterms:modified>
</cp:coreProperties>
</file>