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w:t>
      </w:r>
      <w:r w:rsidR="00A64C65">
        <w:t>f</w:t>
      </w:r>
      <w:r w:rsidR="00FE50E9">
        <w:t xml:space="preserv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UserInput.model['InputParametersPriorValuesUncertainties'] = np.array([[1,0.0],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builtoff of  7b, but shows that we can input a full covariance matrix that is asymmetric: </w:t>
      </w:r>
      <w:r w:rsidRPr="00F90E64">
        <w:t>UserInput.model['InputParametersPriorValuesUncertainties'] = np.array([[1,0.2],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This is built off of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will make the posterior more narrow and  ridge-like.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runfile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This example uses the various states of CO adsorption on Fe3O4 and the redhead peak maximum method to estimate the DeltaH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p>
    <w:p w:rsidR="007322F8" w:rsidRDefault="002F3747" w:rsidP="00210110">
      <w:pPr>
        <w:pStyle w:val="NoSpacing"/>
      </w:pPr>
      <w:r>
        <w:rPr>
          <w:b/>
          <w:bCs/>
        </w:rPr>
        <w:t>Example 15</w:t>
      </w:r>
      <w:r>
        <w:t>: This example is based on Example 3 (two states), but cleans up the model files and also adds in a parameter for the ratio between the two states.</w:t>
      </w:r>
    </w:p>
    <w:p w:rsidR="00A60914" w:rsidRDefault="00A60914" w:rsidP="00210110">
      <w:pPr>
        <w:pStyle w:val="NoSpacing"/>
      </w:pPr>
    </w:p>
    <w:p w:rsidR="00F73D1B" w:rsidRDefault="00A60914" w:rsidP="00210110">
      <w:pPr>
        <w:pStyle w:val="NoSpacing"/>
      </w:pPr>
      <w:r>
        <w:rPr>
          <w:b/>
          <w:bCs/>
        </w:rPr>
        <w:t>Example 16</w:t>
      </w:r>
      <w:r w:rsidR="000E3782">
        <w:rPr>
          <w:b/>
          <w:bCs/>
        </w:rPr>
        <w:t>a_BPE_grid</w:t>
      </w:r>
      <w:r>
        <w:rPr>
          <w:b/>
          <w:bCs/>
        </w:rPr>
        <w:t>:</w:t>
      </w:r>
      <w:r w:rsidR="00052A16">
        <w:t xml:space="preserve"> </w:t>
      </w:r>
      <w:r w:rsidR="003B272A">
        <w:t>1,361,367 grid points.</w:t>
      </w:r>
      <w:r w:rsidR="00052A16">
        <w:t xml:space="preserve">This example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 </w:t>
      </w:r>
      <w:r w:rsidR="00052A16">
        <w:t xml:space="preserve">uses a grid search on negLogP with BEP and data_overcategory set as transient_kinetics </w:t>
      </w:r>
      <w:r w:rsidR="00052A16">
        <w:rPr>
          <w:b/>
          <w:bCs/>
        </w:rPr>
        <w:t xml:space="preserve">, </w:t>
      </w:r>
      <w:r w:rsidR="00052A16">
        <w:t>which enables the data to be transformed during exploring the posterior.</w:t>
      </w:r>
      <w:r w:rsidR="00C606A3">
        <w:t xml:space="preserve"> This example also uses </w:t>
      </w:r>
      <w:r w:rsidR="00C606A3" w:rsidRPr="00C606A3">
        <w:t>InputParameterPriorValues_upperBounds</w:t>
      </w:r>
      <w:r w:rsidR="00C606A3">
        <w:t xml:space="preserve"> and </w:t>
      </w:r>
      <w:r w:rsidR="00C606A3" w:rsidRPr="00C606A3">
        <w:t>InputParameterPriorValues_</w:t>
      </w:r>
      <w:r w:rsidR="00C606A3">
        <w:t>lower</w:t>
      </w:r>
      <w:r w:rsidR="00C606A3" w:rsidRPr="00C606A3">
        <w:t>Bounds</w:t>
      </w:r>
      <w:r w:rsidR="00C606A3">
        <w:t xml:space="preserve"> to restrict the parameter space to what is physically reasonable.</w:t>
      </w:r>
      <w:r w:rsidR="00F73D1B">
        <w:t xml:space="preserve"> As of May 2020, the bounds feature is only used with </w:t>
      </w:r>
      <w:r w:rsidR="00F73D1B" w:rsidRPr="00F73D1B">
        <w:t>UserInput.parameter_estimation_settings['scaling_uncertainties_type'] = "off"</w:t>
      </w:r>
      <w:r w:rsidR="006C3AE0">
        <w:t xml:space="preserve"> (it may also work with other choices like ‘std’, but it has not been checked).</w:t>
      </w:r>
    </w:p>
    <w:p w:rsidR="00052A16" w:rsidRDefault="00052A16" w:rsidP="00052A16">
      <w:pPr>
        <w:pStyle w:val="NoSpacing"/>
        <w:ind w:left="720"/>
      </w:pPr>
      <w:r>
        <w:sym w:font="Wingdings" w:char="F0E0"/>
      </w:r>
      <w:r>
        <w:t xml:space="preserve"> in general, the options for data_category are blank (‘ ‘), ‘transient_kinetics’, and ‘steady_state_kinetics’ but right now only ‘transient_kinetics’ does anything.</w:t>
      </w:r>
    </w:p>
    <w:p w:rsidR="00052A16" w:rsidRDefault="00052A16" w:rsidP="00052A16">
      <w:pPr>
        <w:pStyle w:val="NoSpacing"/>
        <w:ind w:left="720"/>
      </w:pPr>
      <w:r>
        <w:sym w:font="Wingdings" w:char="F0E0"/>
      </w:r>
      <w:r>
        <w:t xml:space="preserve"> response_types can have values of ‘I’ for intermediate, ‘P’ for product, ‘R’ for reactant, and ‘O for other.</w:t>
      </w:r>
    </w:p>
    <w:p w:rsidR="00052A16" w:rsidRDefault="00052A16" w:rsidP="00052A16">
      <w:pPr>
        <w:pStyle w:val="NoSpacing"/>
        <w:ind w:left="720"/>
      </w:pPr>
      <w:r>
        <w:sym w:font="Wingdings" w:char="F0E0"/>
      </w:r>
      <w:r>
        <w:t xml:space="preserve"> response_data_type can have ‘c’ for concentration or ‘r’ for rate, or ‘o’ for other.</w:t>
      </w:r>
    </w:p>
    <w:p w:rsidR="000E3782" w:rsidRDefault="000E3782" w:rsidP="00052A16">
      <w:pPr>
        <w:pStyle w:val="NoSpacing"/>
        <w:rPr>
          <w:b/>
          <w:bCs/>
        </w:rPr>
      </w:pPr>
      <w:r>
        <w:rPr>
          <w:b/>
          <w:bCs/>
        </w:rPr>
        <w:t>Example 16a_BPE_grid_opt</w:t>
      </w:r>
      <w:r w:rsidR="00241B34">
        <w:rPr>
          <w:b/>
          <w:bCs/>
        </w:rPr>
        <w:t xml:space="preserve">: </w:t>
      </w:r>
      <w:r w:rsidR="00241B34">
        <w:rPr>
          <w:b/>
          <w:bCs/>
        </w:rPr>
        <w:t>with Nelder-Mead and up to 5000 simulation iterations per point.</w:t>
      </w:r>
    </w:p>
    <w:p w:rsidR="000E3782" w:rsidRDefault="000E3782" w:rsidP="000E3782">
      <w:pPr>
        <w:pStyle w:val="NoSpacing"/>
        <w:rPr>
          <w:b/>
          <w:bCs/>
        </w:rPr>
      </w:pPr>
      <w:r>
        <w:rPr>
          <w:b/>
          <w:bCs/>
        </w:rPr>
        <w:t>Example 16a_BP</w:t>
      </w:r>
      <w:r>
        <w:rPr>
          <w:b/>
          <w:bCs/>
        </w:rPr>
        <w:t>E</w:t>
      </w:r>
      <w:r>
        <w:rPr>
          <w:b/>
          <w:bCs/>
        </w:rPr>
        <w:t>_grid_</w:t>
      </w:r>
      <w:r>
        <w:rPr>
          <w:b/>
          <w:bCs/>
        </w:rPr>
        <w:t>mcmc: 243 points with</w:t>
      </w:r>
      <w:r w:rsidR="00241B34">
        <w:rPr>
          <w:b/>
          <w:bCs/>
        </w:rPr>
        <w:t xml:space="preserve"> no burn in and</w:t>
      </w:r>
      <w:r>
        <w:rPr>
          <w:b/>
          <w:bCs/>
        </w:rPr>
        <w:t xml:space="preserve"> 1</w:t>
      </w:r>
      <w:r w:rsidR="00864619">
        <w:rPr>
          <w:b/>
          <w:bCs/>
        </w:rPr>
        <w:t>0</w:t>
      </w:r>
      <w:r>
        <w:rPr>
          <w:b/>
          <w:bCs/>
        </w:rPr>
        <w:t>000 samplings each.</w:t>
      </w:r>
    </w:p>
    <w:p w:rsidR="000E3782" w:rsidRDefault="000E3782" w:rsidP="000E3782">
      <w:pPr>
        <w:pStyle w:val="NoSpacing"/>
        <w:rPr>
          <w:b/>
          <w:bCs/>
        </w:rPr>
      </w:pPr>
    </w:p>
    <w:p w:rsidR="000E3782" w:rsidRDefault="000E3782" w:rsidP="00052A16">
      <w:pPr>
        <w:pStyle w:val="NoSpacing"/>
        <w:rPr>
          <w:b/>
          <w:bCs/>
        </w:rPr>
      </w:pPr>
      <w:r>
        <w:rPr>
          <w:b/>
          <w:bCs/>
        </w:rPr>
        <w:t>Example 16a_</w:t>
      </w:r>
      <w:r>
        <w:rPr>
          <w:b/>
          <w:bCs/>
        </w:rPr>
        <w:t>C</w:t>
      </w:r>
      <w:r>
        <w:rPr>
          <w:b/>
          <w:bCs/>
        </w:rPr>
        <w:t>PE_grid:</w:t>
      </w:r>
      <w:r w:rsidR="003B272A">
        <w:rPr>
          <w:b/>
          <w:bCs/>
        </w:rPr>
        <w:t xml:space="preserve"> </w:t>
      </w:r>
      <w:r w:rsidR="003B272A">
        <w:t>1,361,367 grid points.</w:t>
      </w:r>
      <w:r w:rsidR="003B272A">
        <w:t xml:space="preserve"> On the order of 5 hours to run.</w:t>
      </w:r>
      <w:bookmarkStart w:id="0" w:name="_GoBack"/>
      <w:bookmarkEnd w:id="0"/>
    </w:p>
    <w:p w:rsidR="000E3782" w:rsidRDefault="000E3782" w:rsidP="000E3782">
      <w:pPr>
        <w:pStyle w:val="NoSpacing"/>
        <w:rPr>
          <w:b/>
          <w:bCs/>
        </w:rPr>
      </w:pPr>
      <w:r>
        <w:rPr>
          <w:b/>
          <w:bCs/>
        </w:rPr>
        <w:t>Example 16a_CPE_grid</w:t>
      </w:r>
      <w:r>
        <w:rPr>
          <w:b/>
          <w:bCs/>
        </w:rPr>
        <w:t>_opt</w:t>
      </w:r>
      <w:r>
        <w:rPr>
          <w:b/>
          <w:bCs/>
        </w:rPr>
        <w:t>:</w:t>
      </w:r>
      <w:r w:rsidR="00241B34">
        <w:rPr>
          <w:b/>
          <w:bCs/>
        </w:rPr>
        <w:t xml:space="preserve"> with Nelder-Mead and up to 5000 simulation iterations per point.</w:t>
      </w:r>
    </w:p>
    <w:p w:rsidR="000E3782" w:rsidRDefault="000E3782" w:rsidP="000E3782">
      <w:pPr>
        <w:pStyle w:val="NoSpacing"/>
        <w:rPr>
          <w:b/>
          <w:bCs/>
        </w:rPr>
      </w:pPr>
      <w:r>
        <w:rPr>
          <w:b/>
          <w:bCs/>
        </w:rPr>
        <w:t>Example 16a_CPE_grid_</w:t>
      </w:r>
      <w:r>
        <w:rPr>
          <w:b/>
          <w:bCs/>
        </w:rPr>
        <w:t>mcmc</w:t>
      </w:r>
      <w:r>
        <w:rPr>
          <w:b/>
          <w:bCs/>
        </w:rPr>
        <w:t>:</w:t>
      </w:r>
      <w:r>
        <w:rPr>
          <w:b/>
          <w:bCs/>
        </w:rPr>
        <w:t xml:space="preserve"> </w:t>
      </w:r>
      <w:r>
        <w:rPr>
          <w:b/>
          <w:bCs/>
        </w:rPr>
        <w:t>243 points with</w:t>
      </w:r>
      <w:r w:rsidR="00241B34">
        <w:rPr>
          <w:b/>
          <w:bCs/>
        </w:rPr>
        <w:t xml:space="preserve"> no burn in and</w:t>
      </w:r>
      <w:r>
        <w:rPr>
          <w:b/>
          <w:bCs/>
        </w:rPr>
        <w:t xml:space="preserve"> 10</w:t>
      </w:r>
      <w:r w:rsidR="00864619">
        <w:rPr>
          <w:b/>
          <w:bCs/>
        </w:rPr>
        <w:t>0</w:t>
      </w:r>
      <w:r>
        <w:rPr>
          <w:b/>
          <w:bCs/>
        </w:rPr>
        <w:t>00 samplings each.</w:t>
      </w:r>
    </w:p>
    <w:p w:rsidR="000E3782" w:rsidRDefault="000E3782" w:rsidP="00052A16">
      <w:pPr>
        <w:pStyle w:val="NoSpacing"/>
        <w:rPr>
          <w:b/>
          <w:bCs/>
        </w:rPr>
      </w:pPr>
    </w:p>
    <w:p w:rsidR="000E3782" w:rsidRDefault="000E3782" w:rsidP="00052A16">
      <w:pPr>
        <w:pStyle w:val="NoSpacing"/>
        <w:rPr>
          <w:b/>
          <w:bCs/>
        </w:rPr>
      </w:pPr>
    </w:p>
    <w:p w:rsidR="00052A16" w:rsidRPr="007303EC" w:rsidRDefault="00052A16" w:rsidP="00052A16">
      <w:pPr>
        <w:pStyle w:val="NoSpacing"/>
      </w:pPr>
      <w:r>
        <w:rPr>
          <w:b/>
          <w:bCs/>
        </w:rPr>
        <w:t xml:space="preserve">Example 16b: </w:t>
      </w:r>
      <w:r w:rsidR="007303EC">
        <w:t>Does a Nelder-Mead optimization on the logP from 16a.</w:t>
      </w:r>
    </w:p>
    <w:p w:rsidR="00052A16" w:rsidRDefault="00052A16" w:rsidP="00052A16">
      <w:pPr>
        <w:pStyle w:val="NoSpacing"/>
      </w:pPr>
      <w:r>
        <w:rPr>
          <w:b/>
          <w:bCs/>
        </w:rPr>
        <w:t>Example 16c:</w:t>
      </w:r>
      <w:r w:rsidR="007303EC">
        <w:rPr>
          <w:b/>
          <w:bCs/>
        </w:rPr>
        <w:t xml:space="preserve"> </w:t>
      </w:r>
      <w:r w:rsidR="007303EC">
        <w:t>Does an MCMC on the final result from 16b.</w:t>
      </w:r>
    </w:p>
    <w:p w:rsidR="004D17C7" w:rsidRDefault="004D17C7" w:rsidP="00052A16">
      <w:pPr>
        <w:pStyle w:val="NoSpacing"/>
      </w:pPr>
      <w:r>
        <w:tab/>
        <w:t>1000 samplings takes 10 seconds. 100 samplings takes 1 second.</w:t>
      </w:r>
    </w:p>
    <w:p w:rsidR="004D17C7" w:rsidRPr="007303EC" w:rsidRDefault="004D17C7" w:rsidP="00052A16">
      <w:pPr>
        <w:pStyle w:val="NoSpacing"/>
      </w:pPr>
      <w:r>
        <w:tab/>
      </w:r>
      <w:r w:rsidR="00D84A45">
        <w:t>243 points at 100 samplings would be 5 minutes. 1000 samplings would be 50 minutes.</w:t>
      </w:r>
    </w:p>
    <w:p w:rsidR="007303EC" w:rsidRDefault="007303EC" w:rsidP="00052A16">
      <w:pPr>
        <w:pStyle w:val="NoSpacing"/>
        <w:rPr>
          <w:b/>
          <w:bCs/>
        </w:rPr>
      </w:pPr>
    </w:p>
    <w:p w:rsidR="00052A16" w:rsidRPr="00052A16" w:rsidRDefault="00052A16" w:rsidP="00052A16">
      <w:pPr>
        <w:pStyle w:val="NoSpacing"/>
      </w:pPr>
      <w:r>
        <w:rPr>
          <w:b/>
          <w:bCs/>
        </w:rPr>
        <w:t xml:space="preserve">Example 16d: </w:t>
      </w:r>
      <w:r w:rsidR="007C1729" w:rsidRPr="007C1729">
        <w:t>Like 1</w:t>
      </w:r>
      <w:r w:rsidR="007C1729">
        <w:t>6a, only using custom log prior that is always 1.</w:t>
      </w:r>
      <w:r w:rsidR="006A31CB">
        <w:t xml:space="preserve"> Still has physical limits on the likelihood.</w:t>
      </w:r>
      <w:r w:rsidR="00D92089">
        <w:t xml:space="preserv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w:t>
      </w:r>
    </w:p>
    <w:p w:rsidR="007303EC" w:rsidRPr="007303EC" w:rsidRDefault="007303EC" w:rsidP="007303EC">
      <w:pPr>
        <w:pStyle w:val="NoSpacing"/>
      </w:pPr>
      <w:r>
        <w:rPr>
          <w:b/>
          <w:bCs/>
        </w:rPr>
        <w:t xml:space="preserve">Example 16e: </w:t>
      </w:r>
      <w:r>
        <w:t>Does a Nelder-Mead optimization on the logP from 16d.</w:t>
      </w:r>
    </w:p>
    <w:p w:rsidR="007303EC" w:rsidRPr="007303EC" w:rsidRDefault="007303EC" w:rsidP="007303EC">
      <w:pPr>
        <w:pStyle w:val="NoSpacing"/>
      </w:pPr>
      <w:r>
        <w:rPr>
          <w:b/>
          <w:bCs/>
        </w:rPr>
        <w:t xml:space="preserve">Example 16f: </w:t>
      </w:r>
      <w:r>
        <w:t>Does an MCMC on the final result from 16e.</w:t>
      </w:r>
    </w:p>
    <w:p w:rsidR="00052A16" w:rsidRPr="00052A16" w:rsidRDefault="00052A16" w:rsidP="00210110">
      <w:pPr>
        <w:pStyle w:val="NoSpacing"/>
      </w:pPr>
    </w:p>
    <w:sectPr w:rsidR="00052A16" w:rsidRPr="00052A16"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52A16"/>
    <w:rsid w:val="0006021B"/>
    <w:rsid w:val="000A083C"/>
    <w:rsid w:val="000E3782"/>
    <w:rsid w:val="000E44A5"/>
    <w:rsid w:val="00140019"/>
    <w:rsid w:val="00163F94"/>
    <w:rsid w:val="00194247"/>
    <w:rsid w:val="00202350"/>
    <w:rsid w:val="00205F37"/>
    <w:rsid w:val="00210110"/>
    <w:rsid w:val="002227C2"/>
    <w:rsid w:val="00241B34"/>
    <w:rsid w:val="002A0283"/>
    <w:rsid w:val="002F3747"/>
    <w:rsid w:val="003A5C34"/>
    <w:rsid w:val="003B272A"/>
    <w:rsid w:val="003E2D96"/>
    <w:rsid w:val="0041189B"/>
    <w:rsid w:val="00413E54"/>
    <w:rsid w:val="004300AD"/>
    <w:rsid w:val="00446E25"/>
    <w:rsid w:val="00464F7C"/>
    <w:rsid w:val="004C37BF"/>
    <w:rsid w:val="004C5806"/>
    <w:rsid w:val="004D17C7"/>
    <w:rsid w:val="004D22C1"/>
    <w:rsid w:val="004E5F98"/>
    <w:rsid w:val="005A4B8A"/>
    <w:rsid w:val="005A5FC6"/>
    <w:rsid w:val="005D60E9"/>
    <w:rsid w:val="006622DF"/>
    <w:rsid w:val="0068526E"/>
    <w:rsid w:val="00692964"/>
    <w:rsid w:val="0069580E"/>
    <w:rsid w:val="006A31CB"/>
    <w:rsid w:val="006A5C38"/>
    <w:rsid w:val="006A6075"/>
    <w:rsid w:val="006C3AE0"/>
    <w:rsid w:val="006C47FD"/>
    <w:rsid w:val="00726ED1"/>
    <w:rsid w:val="007303EC"/>
    <w:rsid w:val="007322F8"/>
    <w:rsid w:val="00734100"/>
    <w:rsid w:val="007365D1"/>
    <w:rsid w:val="00790D11"/>
    <w:rsid w:val="007C1729"/>
    <w:rsid w:val="0080788C"/>
    <w:rsid w:val="00810FCF"/>
    <w:rsid w:val="00864619"/>
    <w:rsid w:val="00871C27"/>
    <w:rsid w:val="00874CD2"/>
    <w:rsid w:val="00890F20"/>
    <w:rsid w:val="00927C6A"/>
    <w:rsid w:val="009500FB"/>
    <w:rsid w:val="009753A8"/>
    <w:rsid w:val="009B111C"/>
    <w:rsid w:val="009B4022"/>
    <w:rsid w:val="009D3DAC"/>
    <w:rsid w:val="00A4673B"/>
    <w:rsid w:val="00A55100"/>
    <w:rsid w:val="00A60914"/>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606A3"/>
    <w:rsid w:val="00C628E0"/>
    <w:rsid w:val="00C748CD"/>
    <w:rsid w:val="00C94F04"/>
    <w:rsid w:val="00CA1CE4"/>
    <w:rsid w:val="00CD1679"/>
    <w:rsid w:val="00CE211B"/>
    <w:rsid w:val="00CF7A5E"/>
    <w:rsid w:val="00D0118B"/>
    <w:rsid w:val="00D1362D"/>
    <w:rsid w:val="00D3320F"/>
    <w:rsid w:val="00D356AA"/>
    <w:rsid w:val="00D84A45"/>
    <w:rsid w:val="00D92089"/>
    <w:rsid w:val="00DA7AB9"/>
    <w:rsid w:val="00DB0FB6"/>
    <w:rsid w:val="00DF32D8"/>
    <w:rsid w:val="00E24FD3"/>
    <w:rsid w:val="00E42C4D"/>
    <w:rsid w:val="00E4650A"/>
    <w:rsid w:val="00E81914"/>
    <w:rsid w:val="00EE501C"/>
    <w:rsid w:val="00EF3A3A"/>
    <w:rsid w:val="00F65531"/>
    <w:rsid w:val="00F73D1B"/>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D313"/>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5</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99</cp:revision>
  <dcterms:created xsi:type="dcterms:W3CDTF">2020-04-04T19:27:00Z</dcterms:created>
  <dcterms:modified xsi:type="dcterms:W3CDTF">2020-05-06T03:55:00Z</dcterms:modified>
</cp:coreProperties>
</file>