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B25" w:rsidRDefault="00A32B25"/>
    <w:p w:rsidR="004C22AA" w:rsidRDefault="00AA1931">
      <w:r>
        <w:fldChar w:fldCharType="begin" w:fldLock="1"/>
      </w:r>
      <w:r>
        <w:instrText>ADDIN CSL_CITATION { "citationItems" : [ { "id" : "ITEM-1", "itemData" : { "DOI" : "10.1109/ICPPW.2014.17", "ISBN" : "9781479956159", "ISSN" : "15302016", "author" : [ { "dropping-particle" : "", "family" : "Sharma", "given" : "Gokarna", "non-dropping-particle" : "", "parse-names" : false, "suffix" : "" }, { "dropping-particle" : "", "family" : "Rai", "given" : "Suresh", "non-dropping-particle" : "", "parse-names" : false, "suffix" : "" }, { "dropping-particle" : "", "family" : "Busch", "given" : "Costas", "non-dropping-particle" : "", "parse-names" : false, "suffix" : "" }, { "dropping-particle" : "", "family" : "Trahan", "given" : "Jerry L.", "non-dropping-particle" : "", "parse-names" : false, "suffix" : "" }, { "dropping-particle" : "", "family" : "Vaidyanathan", "given" : "Ramachandran", "non-dropping-particle" : "", "parse-names" : false, "suffix" : "" } ], "container-title" : "Proceedings of the International Conference on Parallel Processing Workshops", "id" : "ITEM-1", "issued" : { "date-parts" : [ [ "2015" ] ] }, "page" : "27-36", "title" : "Work-Efficient Load Balancing", "type" : "article-journal", "volume" : "2015-May" }, "uris" : [ "http://www.mendeley.com/documents/?uuid=bee62f71-9935-485e-ae3b-586691d72450" ] }, { "id" : "ITEM-2", "itemData" : { "DOI" : "10.1109/SYSOSE.2016.7542955", "ISBN" : "9781467387279", "abstract" : "Dynamic distributed algorithm for provisioning of resources has been proposed to support heterogeneous multi-cloud environment. Multi-cloud infrastructure heterogeneity implies the presence of more diverse sets of resources and constraints that aggravate competition among providers. Sigmoidal and logarithmic functions have been used as the utility functions to meet the indicated constraints in the Service Level Agreement (SLA). Spot instances as the elastic tasks can be supported with logarithmic functions while the algorithm always guaranteed sigmoidal functions have the priority over the elastic tasks. The model uses diverse sets of resources scheduled in a multi-clouds environment by the proposed Ranked method in a time window \u201cslice\u201d. The paper proposes multi-dimensional self-optimization problem in distributed autonomic computing systems to maximize the revenue and diminish cost of services in the pooled aggregated resources of multi-cloud environment.", "author" : [ { "dropping-particle" : "", "family" : "Miraftabzadeh", "given" : "Seyed Ali", "non-dropping-particle" : "", "parse-names" : false, "suffix" : "" }, { "dropping-particle" : "", "family" : "Rad", "given" : "Paul", "non-dropping-particle" : "", "parse-names" : false, "suffix" : "" }, { "dropping-particle" : "", "family" : "Jamshidi", "given" : "Mo", "non-dropping-particle" : "", "parse-names" : false, "suffix" : "" } ], "container-title" : "2016 11th Systems of Systems Engineering Conference, SoSE 2016", "id" : "ITEM-2", "issued" : { "date-parts" : [ [ "2016" ] ] }, "title" : "Efficient distributed algorithm for scheduling workload-Aware jobs on multi-clouds", "type" : "article-journal" }, "uris" : [ "http://www.mendeley.com/documents/?uuid=d2e982bf-a835-41ad-aea2-adbd9ee0306d" ] }, { "id" : "ITEM-3", "itemData" : { "DOI" : "10.1109/MCC.2017.25", "ISSN" : "23256095", "author" : [ { "dropping-particle" : "", "family" : "Kapsalis", "given" : "Andreas", "non-dropping-particle" : "", "parse-names" : false, "suffix" : "" }, { "dropping-particle" : "", "family" : "Kasnesis", "given" : "Panagiotis", "non-dropping-particle" : "", "parse-names" : false, "suffix" : "" }, { "dropping-particle" : "", "family" : "Venieris", "given" : "Iakovos S.", "non-dropping-particle" : "", "parse-names" : false, "suffix" : "" }, { "dropping-particle" : "", "family" : "Kaklamani", "given" : "Dimitra I.", "non-dropping-particle" : "", "parse-names" : false, "suffix" : "" }, { "dropping-particle" : "", "family" : "Patrikakis", "given" : "Charalampos Z.", "non-dropping-particle" : "", "parse-names" : false, "suffix" : "" } ], "container-title" : "IEEE Cloud Computing", "id" : "ITEM-3", "issue" : "2", "issued" : { "date-parts" : [ [ "2017" ] ] }, "page" : "36-45", "title" : "A Cooperative Fog Approach for Effective Workload Balancing", "type" : "article-journal", "volume" : "4" }, "uris" : [ "http://www.mendeley.com/documents/?uuid=c0e6c2b1-f376-4fa8-9f81-0a52375438aa" ] }, { "id" : "ITEM-4", "itemData" : { "DOI" : "10.1109/CLOUD.2014.58", "ISBN" : "9781479950638", "ISSN" : "21596190", "abstract" : "Traditional metrics for live migration of virtual machines (VM) include total migration time, downtime, network overhead, and application degradation. In this paper, we introduce a new metric, \"eviction time\", defined as the time to evict the entire state of a VM from the source host. Eviction time determines how quickly the source host can be taken offline, or the freed resources re-purposed for other VMs. In traditional approaches for live VM migration, such as pre-copy and post-copy, eviction time is equal to the total migration time, because the source and destination hosts are coupled for the duration of the migration. Eviction time increases if the destination host is slow to receive the incoming VM, such as due to insufficient memory or network bandwidth, thus tying up the source host. We present a new approach, called \"Scatter-Gather\" live migration, which reduces the eviction time when the destination host is resource constrained. The key idea is to decouple the source and the destination hosts. The source scatters the VM's memory state quickly to multiple intermediaries (hosts or middleboxes) in the cluster. Concurrently, the destination gathers the VM's memory from the intermediaries using a variant of post-copy VM migration. We have implemented a prototype of Scatter-Gather in the KVM/QEMU platform. In our evaluations, Scatter-Gather reduces the VM eviction time by up to a factor of 6 while maintaining comparable total migration time against traditional pre-copy and post-copy for a resource constrained destination.", "author" : [ { "dropping-particle" : "", "family" : "Deshpande", "given" : "Umesh", "non-dropping-particle" : "", "parse-names" : false, "suffix" : "" }, { "dropping-particle" : "", "family" : "You", "given" : "Yang", "non-dropping-particle" : "", "parse-names" : false, "suffix" : "" }, { "dropping-particle" : "", "family" : "Chan", "given" : "Danny", "non-dropping-particle" : "", "parse-names" : false, "suffix" : "" }, { "dropping-particle" : "", "family" : "Bila", "given" : "Nilton", "non-dropping-particle" : "", "parse-names" : false, "suffix" : "" }, { "dropping-particle" : "", "family" : "Gopalan", "given" : "Kartik", "non-dropping-particle" : "", "parse-names" : false, "suffix" : "" } ], "container-title" : "IEEE International Conference on Cloud Computing, CLOUD", "id" : "ITEM-4", "issued" : { "date-parts" : [ [ "2014" ] ] }, "page" : "376-383", "title" : "Fast server deprovisioning through scatter-gather live migration of virtual machines", "type" : "article-journal" }, "uris" : [ "http://www.mendeley.com/documents/?uuid=f16923a6-5c92-42d7-b6d6-61ab266f883d" ] }, { "id" : "ITEM-5", "itemData" : { "ISBN" : "9789380544212", "abstract" : "The technological environment is a competitive ground used by IT industries for provisioning Cloud services. It is essential for the organizations to facilitate higher availability of quality services, computing resources and faster delivery. Fog computing can work with much the same Cloud computing in promoting faster IT services. The incorporation looks after affording, maintaining and provisioning of resources like storage space, hardware virtualization, high-capacity networks, service-oriented architectures, autonomic and utility computing etc, proximal to the access point. The maximal uniform distribution of the load across closer and more number of simpler nodes can help managing and providing the big data and large workloads more easily. The paper proposes an efficient load balancing algorithm for a Fog-Cloud based architecture. The algorithm uses data replication technique for maintaining data in Fog networks which reduces overall dependency on big data centers. A comparison of present load balancing techniques in'Cloud-based' infrastructure to the presented 'Cloud-Fog' duo is also shown. The ultimate goal is to balance load through Fog networks and make internet less Cloud dependent by having data available closer to the user end.", "author" : [ { "dropping-particle" : "", "family" : "Verma", "given" : "S", "non-dropping-particle" : "", "parse-names" : false, "suffix" : "" }, { "dropping-particle" : "", "family" : "Yadav", "given" : "A K", "non-dropping-particle" : "", "parse-names" : false, "suffix" : "" }, { "dropping-particle" : "", "family" : "Motwani", "given" : "D", "non-dropping-particle" : "", "parse-names" : false, "suffix" : "" }, { "dropping-particle" : "", "family" : "Raw", "given" : "R S", "non-dropping-particle" : "", "parse-names" : false, "suffix" : "" }, { "dropping-particle" : "", "family" : "Singh", "given" : "H K", "non-dropping-particle" : "", "parse-names" : false, "suffix" : "" } ], "container-title" : "International Conference on Computing for Sustainable Global Development (INDIACom)", "id" : "ITEM-5", "issued" : { "date-parts" : [ [ "2016" ] ] }, "page" : "2888-2895", "title" : "An efficient Data Replication and Load Balancing Technique for Fog Computing Environment", "type" : "article-journal" }, "uris" : [ "http://www.mendeley.com/documents/?uuid=d86ba58e-3f1c-4344-8ea6-51a76bd43785" ] }, { "id" : "ITEM-6", "itemData" : { "ISBN" : "9781467377584", "author" : [ { "dropping-particle" : "", "family" : "Baviskar", "given" : "Yogita S", "non-dropping-particle" : "", "parse-names" : false, "suffix" : "" }, { "dropping-particle" : "", "family" : "Patil", "given" : "Shailaja C", "non-dropping-particle" : "", "parse-names" : false, "suffix" : "" }, { "dropping-particle" : "", "family" : "Govind", "given" : "Suraj B", "non-dropping-particle" : "", "parse-names" : false, "suffix" : "" } ], "id" : "ITEM-6", "issued" : { "date-parts" : [ [ "2015" ] ] }, "page" : "464-467", "title" : "Energy Efficient Load Balancing Algorithm in Cloud Based Wireless Sensor Network", "type" : "article-journal" }, "uris" : [ "http://www.mendeley.com/documents/?uuid=c440d91c-e043-4897-8d2e-07a7e0290ae0" ] }, { "id" : "ITEM-7", "itemData" : { "ISBN" : "9781509036462", "author" : [ { "dropping-particle" : "", "family" : "Member", "given" : "Student", "non-dropping-particle" : "", "parse-names" : false, "suffix" : "" } ], "id" : "ITEM-7", "issued" : { "date-parts" : [ [ "0" ] ] }, "page" : "1-6", "title" : "An efficient Power Flow Method for Distribution System Studies under various load models", "type" : "article-journal" }, "uris" : [ "http://www.mendeley.com/documents/?uuid=b9bfcc20-61b0-45c6-9c92-7f329bf85f08" ] }, { "id" : "ITEM-8", "itemData" : { "DOI" : "10.1109/ICDCSW.2011.39", "ISBN" : "9780769543864", "abstract" : "Wireless sensor networks are composed of low cost and extremely power constrained sensor nodes which are scattered over a region forming multi-hop and self organized networks, making energy consumption a crucial design issue. These networks are used for various applications such as field monitoring, home automation, seismic and medical data collection or surveillance. Research has shown that clustering sensor nodes is an efficient method to manage energy consumption for prolonging the network lifetime. In this paper we propose a new architecture called HARP, a Hierarchical Adaptive and Reliable Routing Protocol, a clustering algorithm which builds inter-cluster and intra-cluster hierarchical trees, which are optimized to save power. This architecture is scalable and can be used in both homogeneous and heterogeneous wireless sensor networks. By means of the addition of a recovery slot in the scheduling scheme, HARP provides efficient link fault tolerance and also supports node mobility management. The same process can additionally function as a joining mechanism for newly deployed nodes. This architecture is highly adaptive to specific application requirements and provides bounded-time data transmissions. Furthermore, a new cluster head election formulation and its associated data gathering protocol (s-HARP) is proposed. This protocol optimizes and balances the energy consumption in the network. Our performance evaluation has shown that HARP and s-HARP can significantly reduce the energy consumption and prolong the useful lifetime of the network in typical applications as compared with the most popular wireless sensor network protocol. &amp;copy; 2011 IEEE.", "author" : [ { "dropping-particle" : "", "family" : "Atero", "given" : "F. J.", "non-dropping-particle" : "", "parse-names" : false, "suffix" : "" }, { "dropping-particle" : "", "family" : "Vinagre", "given" : "J. J.", "non-dropping-particle" : "", "parse-names" : false, "suffix" : "" }, { "dropping-particle" : "", "family" : "Morgado", "given" : "E.", "non-dropping-particle" : "", "parse-names" : false, "suffix" : "" }, { "dropping-particle" : "", "family" : "Wilby", "given" : "M. R.", "non-dropping-particle" : "", "parse-names" : false, "suffix" : "" } ], "container-title" : "Proceedings - International Conference on Distributed Computing Systems", "id" : "ITEM-8", "issued" : { "date-parts" : [ [ "2011" ] ] }, "page" : "172-181", "title" : "A low energy and adaptive architecture for efficient routing and robust mobility management in wireless sensor networks", "type" : "article-journal" }, "uris" : [ "http://www.mendeley.com/documents/?uuid=d69f3723-8bc7-4e6c-8b6b-11726b0dafe0" ] }, { "id" : "ITEM-9", "itemData" : { "DOI" : "10.1109/FMEC.2017.7946412", "ISBN" : "9781538628591", "abstract" : "\u2014Fog computing is a model in which data and processing are concentrated on devices at the edge of the network, rather than almost entirely in the cloud. This new paradigm tries to solve the latency and bandwidth issues that the current cloud systems have to deal with, and also addresses the scalability problems caused by the exponential growth of the number of smart devices due to the success of the Internet of Things. In this paper we introduce the idea of using public-resource computing and storage techniques in order to process part of the workload of the current cloud systems so as to avoid saturating the cloud. This idea proposes the use of devices working as participants, which form a data center between the cloud service providers and the end-clients. A participant can be any type of device, from a traditional PC (Personal Computer), to a smartphone or tablet or even a smart TV. We have evaluated two different case studies by simulating the use of participating nodes in video-transfer applications. The results of the simulations demonstrate that public-resource computing and storage can be used to solve the latency and bandwidth issues that affect the current cloud systems. Therefore, our results represent a feasible solution for applications that process or store public data.", "author" : [ { "dropping-particle" : "", "family" : "Alonso-Monsalve", "given" : "Saul", "non-dropping-particle" : "", "parse-names" : false, "suffix" : "" }, { "dropping-particle" : "", "family" : "Garcia-Carballeira", "given" : "Felix", "non-dropping-particle" : "", "parse-names" : false, "suffix" : "" }, { "dropping-particle" : "", "family" : "Calderon", "given" : "Alejandro", "non-dropping-particle" : "", "parse-names" : false, "suffix" : "" } ], "container-title" : "2017 2nd International Conference on Fog and Mobile Edge Computing, FMEC 2017", "id" : "ITEM-9", "issued" : { "date-parts" : [ [ "2017" ] ] }, "page" : "81-87", "title" : "Fog computing through public-resource computing and storage", "type" : "article-journal" }, "uris" : [ "http://www.mendeley.com/documents/?uuid=5b0d297a-fefb-46fc-b7ce-512ff36e30b2" ] }, { "id" : "ITEM-10", "itemData" : { "ISBN" : "1424410312", "author" : [ { "dropping-particle" : "", "family" : "Al-Obasiat Y.; Braun", "given" : "R.;", "non-dropping-particle" : "", "parse-names" : false, "suffix" : "" } ], "container-title" : "Computer Systems and Applications, 2007. AICCSA '07. IEEE/ACS International Conference on;", "id" : "ITEM-10", "issued" : { "date-parts" : [ [ "2007" ] ] }, "page" : "124-131", "title" : "A Multi-Agent Flexible Architecture for Autonomic Services and Network Management; Computer Systems and Applications", "type" : "article-journal" }, "uris" : [ "http://www.mendeley.com/documents/?uuid=7f2f5f04-0191-4b57-82ec-dc6abe7a5e38" ] }, { "id" : "ITEM-11", "itemData" : { "ISBN" : "9781467393386", "author" : [ { "dropping-particle" : "", "family" : "Pavithra", "given" : "B", "non-dropping-particle" : "", "parse-names" : false, "suffix" : "" }, { "dropping-particle" : "", "family" : "Ranjana", "given" : "R", "non-dropping-particle" : "", "parse-names" : false, "suffix" : "" } ], "id" : "ITEM-11", "issued" : { "date-parts" : [ [ "2016" ] ] }, "page" : "1192-1196", "title" : "A Comparative Study on Performance of Energy Efficient Load Balancing Techniques in Cloud", "type" : "article-journal" }, "uris" : [ "http://www.mendeley.com/documents/?uuid=c4ff30d1-3b60-4a28-bdf8-e79598ac7286" ] }, { "id" : "ITEM-12", "itemData" : { "DOI" : "10.1109/TPDS.2016.2582160", "ISSN" : "10459219", "author" : [ { "dropping-particle" : "", "family" : "Laredo", "given" : "Juan Luis Jimenez", "non-dropping-particle" : "", "parse-names" : false, "suffix" : "" }, { "dropping-particle" : "", "family" : "Guinand", "given" : "Frederic", "non-dropping-particle" : "", "parse-names" : false, "suffix" : "" }, { "dropping-particle" : "", "family" : "Olivier", "given" : "Damien", "non-dropping-particle" : "", "parse-names" : false, "suffix" : "" }, { "dropping-particle" : "", "family" : "Bouvry", "given" : "Pascal", "non-dropping-particle" : "", "parse-names" : false, "suffix" : "" } ], "container-title" : "IEEE Transactions on Parallel and Distributed Systems", "id" : "ITEM-12", "issue" : "2", "issued" : { "date-parts" : [ [ "2017" ] ] }, "page" : "517-529", "title" : "Load Balancing at the Edge of Chaos: How Self-Organized Criticality Can Lead to Energy-Efficient Computing", "type" : "article-journal", "volume" : "28" }, "uris" : [ "http://www.mendeley.com/documents/?uuid=25de7754-6081-439b-aa99-c10007232570" ] }, { "id" : "ITEM-13", "itemData" : { "DOI" : "10.1109/12.238484", "ISSN" : "00189340", "abstract" : "The operations of scattering and gathering in a network of\\nprocessors involve one processor of the network - call it CALP-0 -\\ncommunicating with all other processors. In scattering, CALP-0 sends\\n(possibly) distinct messages to all other processors; in gathering, the\\nother processors send (possibly) distinct messages to CALP-0. We\\nconsider networks that are trees of processors; we present algorithms\\nfor scattering messages from and gathering messages to the processor\\nthat resides at the root of the tree. The algorithms are: quite general,\\nin that the messages transmitted can differ arbitrarily in length; quite\\nstrong, in that they send messages along noncolliding paths, hence do\\nnot require any buffering or queuing mechanisms in the processors; quite\\nefficient: the algorithms for scattering in general trees are optimal,\\nthe algorithm for gathering in a path is optimal, and the algorithms for\\ngathering in general trees are nearly optimal. Our algorithms can easily\\nbe converted, via the use of spanning trees, to efficient algorithms for\\nscattering and gathering in networks of arbitrary topologies.", "author" : [ { "dropping-particle" : "", "family" : "Bhatt", "given" : "Sandeep N.", "non-dropping-particle" : "", "parse-names" : false, "suffix" : "" }, { "dropping-particle" : "", "family" : "Pucci", "given" : "Geppino", "non-dropping-particle" : "", "parse-names" : false, "suffix" : "" }, { "dropping-particle" : "", "family" : "Ranade", "given" : "Abhiram", "non-dropping-particle" : "", "parse-names" : false, "suffix" : "" }, { "dropping-particle" : "", "family" : "Rosenberg", "given" : "Arnold L.", "non-dropping-particle" : "", "parse-names" : false, "suffix" : "" } ], "container-title" : "IEEE Transactions on Computers", "id" : "ITEM-13", "issue" : "8", "issued" : { "date-parts" : [ [ "1993" ] ] }, "page" : "938-949", "title" : "Scattering and Gathering Messages in Networks of Processors", "type" : "article-journal", "volume" : "42" }, "uris" : [ "http://www.mendeley.com/documents/?uuid=31e828bb-d756-48f3-807e-cd4f59b0ac11" ] }, { "id" : "ITEM-14", "itemData" : { "author" : [ { "dropping-particle" : "Ben", "family" : "Miled", "given" : "Zina", "non-dropping-particle" : "", "parse-names" : false, "suffix" : "" } ], "id" : "ITEM-14", "issued" : { "date-parts" : [ [ "1998" ] ] }, "page" : "216-225", "title" : "Zina Ben Miled", "type" : "article-journal" }, "uris" : [ "http://www.mendeley.com/documents/?uuid=9b2911f1-92f0-4595-9025-bd00201f732b" ] }, { "id" : "ITEM-15", "itemData" : { "DOI" : "10.1109/IPDPSW.2010.5470853", "ISBN" : "9781424465347", "abstract" : "Modern high performance computing systems are being increasingly deployed in a hierarchical fashion with multi-core computing platforms forming the base of the hierarchy. These systems are usually comprised of multiple racks, with each rack consisting of a finite number of chassis, and each chassis having multiple compute nodes or blades, based on multi-core architectures. The networks are also hierarchical with multiple levels of switches. Message exchange operations between processes that belong to different racks involve multiple hops across different switches and this directly affects the performance of collective operations. In this paper, we take on the challenges involved in detecting the topology of large scale InfiniBand clusters and leveraging this knowledge to design efficient topology-aware algorithms for collective operations. We also propose a communication model to analyze the communication costs involved in collective operations on large scale supercomputing systems. We have analyzed the performance characteristics of two collectives, MPI_Gather and MPI_Scatter, on such systems and we have proposed topology-aware algorithms for these operations. Our experimental results have shown that the proposed algorithms can improve the performance of these collective operations by almost 54% at the micro-benchmark level. View full abstract", "author" : [ { "dropping-particle" : "", "family" : "Kandalla", "given" : "Krishna", "non-dropping-particle" : "", "parse-names" : false, "suffix" : "" }, { "dropping-particle" : "", "family" : "Subramoni", "given" : "Hari", "non-dropping-particle" : "", "parse-names" : false, "suffix" : "" }, { "dropping-particle" : "", "family" : "Vishnu", "given" : "Abhinav", "non-dropping-particle" : "", "parse-names" : false, "suffix" : "" }, { "dropping-particle" : "", "family" : "Panda", "given" : "Dhabaleswar K.", "non-dropping-particle" : "", "parse-names" : false, "suffix" : "" } ], "container-title" : "Proceedings of the 2010 IEEE International Symposium on Parallel and Distributed Processing, Workshops and Phd Forum, IPDPSW 2010", "id" : "ITEM-15", "issued" : { "date-parts" : [ [ "2010" ] ] }, "title" : "Designing topology-aware collective communication algorithms for large scale InfiniBand clusters: Case studies with Scatter and Gather", "type" : "article-journal" }, "uris" : [ "http://www.mendeley.com/documents/?uuid=87498530-7a78-4b42-80d7-6bbef29b307c" ] }, { "id" : "ITEM-16", "itemData" : { "DOI" : "10.1109/TCC.2015.2481424", "ISSN" : "21687161", "author" : [ { "dropping-particle" : "", "family" : "Deshpande", "given" : "Umesh", "non-dropping-particle" : "", "parse-names" : false, "suffix" : "" }, { "dropping-particle" : "", "family" : "Chan", "given" : "Danny", "non-dropping-particle" : "", "parse-names" : false, "suffix" : "" }, { "dropping-particle" : "", "family" : "Chan", "given" : "Steven", "non-dropping-particle" : "", "parse-names" : false, "suffix" : "" }, { "dropping-particle" : "", "family" : "Gopalan", "given" : "Kartik", "non-dropping-particle" : "", "parse-names" : false, "suffix" : "" }, { "dropping-particle" : "", "family" : "Bila", "given" : "Nilton", "non-dropping-particle" : "", "parse-names" : false, "suffix" : "" } ], "container-title" : "IEEE Transactions on Cloud Computing", "id" : "ITEM-16", "issue" : "99", "issued" : { "date-parts" : [ [ "2015" ] ] }, "page" : "1-14", "title" : "Scatter-gather live migration of virtual machines", "type" : "article-journal", "volume" : "PP" }, "uris" : [ "http://www.mendeley.com/documents/?uuid=75ed3a53-3b75-4fcf-9c99-ac87ce210c7d" ] }, { "id" : "ITEM-17", "itemData" : { "DOI" : "10.1145/2830772.2830820", "ISBN" : "9781450340342", "ISSN" : "10724451", "abstract" : "Many data structures (e.g., matrices) are typically accessed with multiple access patterns. Depending on the layout of the data structure in physical address space, some access patterns result in non-unit strides. In existing systems, which are optimized to store and access cache lines, non-unit strided accesses exhibit low spatial locality. Therefore, they incur high latency, and waste memory bandwidth and cache space. We propose the Gather-Scatter DRAM (GS-DRAM) to address this problem. We observe that a commodity DRAM module contains many chips. Each chip stores a part of every cache line mapped to the module. Our idea is to enable the memory controller to access multiple values that belong to a strided pattern from different chips using a single read/write command. To realize this idea, GS-DRAM first maps the data of each cache line to different chips such that multiple values of a strided access pattern are mapped to different chips. Second, instead of sending a separate address to each chip, GS-DRAM maps each strided pattern to a small pattern ID that is communicated to the module. Based on the pattern ID, each chip independently computes the address of the value to be accessed. The cache line returned by the module contains different values of the strided pattern gathered from different chips. We show that this approach enables GS-DRAM to achieve near-ideal memory bandwidth and cache utilization for many common access patterns. We design an end-to-end system to exploit GS-DRAM. Our evaluations show that 1) for in-memory databases, GS-DRAM obtains the best of the row store and the column store layouts, in terms of both performance and energy, and 2) for matrix-matrix multiplication, GS-DRAM seamlessly enables SIMD optimizations and outperforms the best tiled layout. Our framework is general, and can benefit many modern data-intensive applications.", "author" : [ { "dropping-particle" : "", "family" : "Seshadri", "given" : "Vivek", "non-dropping-particle" : "", "parse-names" : false, "suffix" : "" }, { "dropping-particle" : "", "family" : "Mullins", "given" : "Thomas", "non-dropping-particle" : "", "parse-names" : false, "suffix" : "" }, { "dropping-particle" : "", "family" : "Boroumand", "given" : "Amirali", "non-dropping-particle" : "", "parse-names" : false, "suffix" : "" }, { "dropping-particle" : "", "family" : "Mutlu", "given" : "Onur", "non-dropping-particle" : "", "parse-names" : false, "suffix" : "" }, { "dropping-particle" : "", "family" : "Gibbons", "given" : "Phillip B.", "non-dropping-particle" : "", "parse-names" : false, "suffix" : "" }, { "dropping-particle" : "", "family" : "Kozuch", "given" : "Michael A.", "non-dropping-particle" : "", "parse-names" : false, "suffix" : "" }, { "dropping-particle" : "", "family" : "Mowry", "given" : "Todd C.", "non-dropping-particle" : "", "parse-names" : false, "suffix" : "" } ], "container-title" : "Proceedings of the 48th International Symposium on Microarchitecture", "id" : "ITEM-17", "issued" : { "date-parts" : [ [ "2015" ] ] }, "page" : "267-280", "title" : "Gather-scatter DRAM: in-DRAM address translation to improve the spatial locality of non-unit strided accesses", "type" : "article-journal" }, "uris" : [ "http://www.mendeley.com/documents/?uuid=99369ed5-de6a-42b7-9ef9-734e90ac14c4" ] }, { "id" : "ITEM-18", "itemData" : { "DOI" : "10.1109/INFOCOM.2017.8057196", "ISBN" : "978-1-5090-5336-0", "author" : [ { "dropping-particle" : "", "family" : "Xiao", "given" : "Yong", "non-dropping-particle" : "", "parse-names" : false, "suffix" : "" }, { "dropping-particle" : "", "family" : "Krunz", "given" : "Marwan", "non-dropping-particle" : "", "parse-names" : false, "suffix" : "" } ], "container-title" : "IEEE INFOCOM 2017 - IEEE Conference on Computer Communications", "id" : "ITEM-18", "issued" : { "date-parts" : [ [ "2017" ] ] }, "page" : "1-9", "title" : "QoE and power efficiency tradeoff for fog computing networks with fog node cooperation", "type" : "article-journal" }, "uris" : [ "http://www.mendeley.com/documents/?uuid=fda9cb17-2ebb-4990-bfd7-07fe35a2d79f" ] } ], "mendeley" : { "formattedCitation" : "(Al-Obasiat Y.; Braun, 2007; Alonso-Monsalve, Garcia-Carballeira, &amp; Calderon, 2017; Atero, Vinagre, Morgado, &amp; Wilby, 2011; Baviskar, Patil, &amp; Govind, 2015; Bhatt, Pucci, Ranade, &amp; Rosenberg, 1993; Deshpande, Chan, Chan, Gopalan, &amp; Bila, 2015; Deshpande, You, Chan, Bila, &amp; Gopalan, 2014; Kandalla, Subramoni, Vishnu, &amp; Panda, 2010; Kapsalis, Kasnesis, Venieris, Kaklamani, &amp; Patrikakis, 2017; Laredo, Guinand, Olivier, &amp; Bouvry, 2017; Member, n.d.; Miled, 1998; Miraftabzadeh, Rad, &amp; Jamshidi, 2016; Pavithra &amp; Ranjana, 2016; Seshadri et al., 2015; Sharma, Rai, Busch, Trahan, &amp; Vaidyanathan, 2015; Verma, Yadav, Motwani, Raw, &amp; Singh, 2016; Xiao &amp; Krunz, 2017)", "plainTextFormattedCitation" : "(Al-Obasiat Y.; Braun, 2007; Alonso-Monsalve, Garcia-Carballeira, &amp; Calderon, 2017; Atero, Vinagre, Morgado, &amp; Wilby, 2011; Baviskar, Patil, &amp; Govind, 2015; Bhatt, Pucci, Ranade, &amp; Rosenberg, 1993; Deshpande, Chan, Chan, Gopalan, &amp; Bila, 2015; Deshpande, You, Chan, Bila, &amp; Gopalan, 2014; Kandalla, Subramoni, Vishnu, &amp; Panda, 2010; Kapsalis, Kasnesis, Venieris, Kaklamani, &amp; Patrikakis, 2017; Laredo, Guinand, Olivier, &amp; Bouvry, 2017; Member, n.d.; Miled, 1998; Miraftabzadeh, Rad, &amp; Jamshidi, 2016; Pavithra &amp; Ranjana, 2016; Seshadri et al., 2015; Sharma, Rai, Busch, Trahan, &amp; Vaidyanathan, 2015; Verma, Yadav, Motwani, Raw, &amp; Singh, 2016; Xiao &amp; Krunz, 2017)", "previouslyFormattedCitation" : "(Al-Obasiat Y.; Braun, 2007; Alonso-Monsalve, Garcia-Carballeira, &amp; Calderon, 2017; Atero, Vinagre, Morgado, &amp; Wilby, 2011; Baviskar, Patil, &amp; Govind, 2015; Bhatt, Pucci, Ranade, &amp; Rosenberg, 1993; Deshpande, Chan, Chan, Gopalan, &amp; Bila, 2015; Deshpande, You, Chan, Bila, &amp; Gopalan, 2014; Kandalla, Subramoni, Vishnu, &amp; Panda, 2010; Kapsalis, Kasnesis, Venieris, Kaklamani, &amp; Patrikakis, 2017; Laredo, Guinand, Olivier, &amp; Bouvry, 2017; Member, n.d.; Miled, 1998; Miraftabzadeh, Rad, &amp; Jamshidi, 2016; Pavithra &amp; Ranjana, 2016; Seshadri et al., 2015; Sharma, Rai, Busch, Trahan, &amp; Vaidyanathan, 2015; Verma, Yadav, Motwani, Raw, &amp; Singh, 2016; Xiao &amp; Krunz, 2017)" }, "properties" : { "noteIndex" : 0 }, "schema" : "https://github.com/citation-style-language/schema/raw/master/csl-citation.json" }</w:instrText>
      </w:r>
      <w:r>
        <w:fldChar w:fldCharType="separate"/>
      </w:r>
      <w:r w:rsidRPr="00AA1931">
        <w:rPr>
          <w:noProof/>
        </w:rPr>
        <w:t>(Al-Obasiat Y.; Braun, 2007; Alonso-Monsalve, Garcia-Carballeira, &amp; Calderon, 2017; Atero, Vinagre, Morgado, &amp; Wilby, 2011; Baviskar, Patil, &amp; Govind, 2015; Bhatt, Pucci, Ranade, &amp; Rosenberg, 1993; Deshpande, Chan, Chan, Gopalan, &amp; Bila, 2015; Deshpande, You, Chan, Bila, &amp; Gopalan, 2014; Kandalla, Subramoni, Vishnu, &amp; Panda, 2010; Kapsalis, Kasnesis, Venieris, Kaklamani, &amp; Patrikakis, 2017; Laredo, Guinand, Olivier, &amp; Bouvry, 2017; Member, n.d.; Miled, 1998; Miraftabzadeh, Rad, &amp; Jamshidi, 2016; Pavithra &amp; Ranjana, 2016; Seshadri et al., 2015; Sharma, Rai, Busch, Trahan, &amp; Vaidyanathan, 2015; Verma, Yadav, Motwani, Raw, &amp; Singh, 2016; Xiao &amp; Krunz, 2017)</w:t>
      </w:r>
      <w:r>
        <w:fldChar w:fldCharType="end"/>
      </w:r>
    </w:p>
    <w:p w:rsidR="003E20D9" w:rsidRDefault="003E20D9" w:rsidP="003E20D9">
      <w:pPr>
        <w:widowControl w:val="0"/>
        <w:autoSpaceDE w:val="0"/>
        <w:autoSpaceDN w:val="0"/>
        <w:adjustRightInd w:val="0"/>
        <w:spacing w:line="240" w:lineRule="auto"/>
        <w:ind w:left="480" w:hanging="480"/>
        <w:rPr>
          <w:rFonts w:ascii="Calibri" w:hAnsi="Calibri" w:cs="Calibri"/>
          <w:noProof/>
          <w:szCs w:val="24"/>
        </w:rPr>
      </w:pPr>
    </w:p>
    <w:p w:rsidR="003E20D9" w:rsidRPr="00AA1931" w:rsidRDefault="003E20D9" w:rsidP="003E20D9">
      <w:pPr>
        <w:widowControl w:val="0"/>
        <w:autoSpaceDE w:val="0"/>
        <w:autoSpaceDN w:val="0"/>
        <w:adjustRightInd w:val="0"/>
        <w:spacing w:line="240" w:lineRule="auto"/>
        <w:ind w:left="480" w:hanging="480"/>
        <w:rPr>
          <w:rFonts w:ascii="Calibri" w:hAnsi="Calibri" w:cs="Calibri"/>
          <w:noProof/>
          <w:szCs w:val="24"/>
        </w:rPr>
      </w:pPr>
      <w:r w:rsidRPr="00AA1931">
        <w:rPr>
          <w:rFonts w:ascii="Calibri" w:hAnsi="Calibri" w:cs="Calibri"/>
          <w:noProof/>
          <w:szCs w:val="24"/>
        </w:rPr>
        <w:t xml:space="preserve">Seshadri, V., Mullins, T., Boroumand, A., Mutlu, O., Gibbons, P. B., Kozuch, M. A., &amp; Mowry, T. C. (2015). Gather-scatter DRAM: in-DRAM address translation to improve the spatial locality of non-unit strided accesses. </w:t>
      </w:r>
      <w:r w:rsidRPr="00AA1931">
        <w:rPr>
          <w:rFonts w:ascii="Calibri" w:hAnsi="Calibri" w:cs="Calibri"/>
          <w:i/>
          <w:iCs/>
          <w:noProof/>
          <w:szCs w:val="24"/>
        </w:rPr>
        <w:t>Proceedings of the 48th International Symposium on Microarchitecture</w:t>
      </w:r>
      <w:r w:rsidRPr="00AA1931">
        <w:rPr>
          <w:rFonts w:ascii="Calibri" w:hAnsi="Calibri" w:cs="Calibri"/>
          <w:noProof/>
          <w:szCs w:val="24"/>
        </w:rPr>
        <w:t>, 267–280. https://doi.org/10.1145/2830772.2830820</w:t>
      </w:r>
    </w:p>
    <w:p w:rsidR="00D72528" w:rsidRDefault="00D72528" w:rsidP="00AA1931">
      <w:pPr>
        <w:widowControl w:val="0"/>
        <w:autoSpaceDE w:val="0"/>
        <w:autoSpaceDN w:val="0"/>
        <w:adjustRightInd w:val="0"/>
        <w:spacing w:line="240" w:lineRule="auto"/>
        <w:ind w:left="480" w:hanging="480"/>
      </w:pPr>
      <w:bookmarkStart w:id="0" w:name="_GoBack"/>
      <w:bookmarkEnd w:id="0"/>
    </w:p>
    <w:p w:rsidR="00506523" w:rsidRPr="00AA1931" w:rsidRDefault="00506523" w:rsidP="00506523">
      <w:pPr>
        <w:widowControl w:val="0"/>
        <w:autoSpaceDE w:val="0"/>
        <w:autoSpaceDN w:val="0"/>
        <w:adjustRightInd w:val="0"/>
        <w:spacing w:line="240" w:lineRule="auto"/>
        <w:ind w:left="480" w:hanging="480"/>
        <w:rPr>
          <w:rFonts w:ascii="Calibri" w:hAnsi="Calibri" w:cs="Calibri"/>
          <w:noProof/>
          <w:szCs w:val="24"/>
        </w:rPr>
      </w:pPr>
      <w:r w:rsidRPr="00AA1931">
        <w:rPr>
          <w:rFonts w:ascii="Calibri" w:hAnsi="Calibri" w:cs="Calibri"/>
          <w:noProof/>
          <w:szCs w:val="24"/>
        </w:rPr>
        <w:t xml:space="preserve">Deshpande, U., You, Y., Chan, D., Bila, N., &amp; Gopalan, K. (2014). Fast server deprovisioning through scatter-gather live migration of virtual machines. </w:t>
      </w:r>
      <w:r w:rsidRPr="00AA1931">
        <w:rPr>
          <w:rFonts w:ascii="Calibri" w:hAnsi="Calibri" w:cs="Calibri"/>
          <w:i/>
          <w:iCs/>
          <w:noProof/>
          <w:szCs w:val="24"/>
        </w:rPr>
        <w:t>IEEE International Conference on Cloud Computing, CLOUD</w:t>
      </w:r>
      <w:r w:rsidRPr="00AA1931">
        <w:rPr>
          <w:rFonts w:ascii="Calibri" w:hAnsi="Calibri" w:cs="Calibri"/>
          <w:noProof/>
          <w:szCs w:val="24"/>
        </w:rPr>
        <w:t>, 376–383. https://doi.org/10.1109/CLOUD.2014.58</w:t>
      </w:r>
    </w:p>
    <w:p w:rsidR="00D72528" w:rsidRPr="000F7A97" w:rsidRDefault="000F7A97" w:rsidP="000F7A97">
      <w:pPr>
        <w:widowControl w:val="0"/>
        <w:autoSpaceDE w:val="0"/>
        <w:autoSpaceDN w:val="0"/>
        <w:adjustRightInd w:val="0"/>
        <w:spacing w:line="240" w:lineRule="auto"/>
        <w:ind w:left="480" w:hanging="480"/>
        <w:rPr>
          <w:rFonts w:ascii="Calibri" w:hAnsi="Calibri" w:cs="Calibri"/>
          <w:noProof/>
          <w:szCs w:val="24"/>
        </w:rPr>
      </w:pPr>
      <w:r w:rsidRPr="00814B1A">
        <w:rPr>
          <w:rFonts w:ascii="Calibri" w:hAnsi="Calibri" w:cs="Calibri"/>
          <w:noProof/>
          <w:szCs w:val="24"/>
        </w:rPr>
        <w:t>Member, S. (n.d.). An efficient Power Flow Method for Distribution System Studies under various load models, 1–</w:t>
      </w:r>
      <w:r>
        <w:rPr>
          <w:rFonts w:ascii="Calibri" w:hAnsi="Calibri" w:cs="Calibri"/>
          <w:noProof/>
          <w:szCs w:val="24"/>
        </w:rPr>
        <w:t>6.</w:t>
      </w:r>
      <w:r w:rsidRPr="00814B1A">
        <w:rPr>
          <w:rFonts w:ascii="Calibri" w:hAnsi="Calibri" w:cs="Calibri"/>
          <w:noProof/>
          <w:szCs w:val="24"/>
        </w:rPr>
        <w:t>Miled, Z. Ben. (1998). Zina Ben Miled, 216–225.</w:t>
      </w:r>
    </w:p>
    <w:p w:rsidR="00D72528" w:rsidRDefault="00D72528" w:rsidP="00AA1931">
      <w:pPr>
        <w:widowControl w:val="0"/>
        <w:autoSpaceDE w:val="0"/>
        <w:autoSpaceDN w:val="0"/>
        <w:adjustRightInd w:val="0"/>
        <w:spacing w:line="240" w:lineRule="auto"/>
        <w:ind w:left="480" w:hanging="480"/>
      </w:pPr>
    </w:p>
    <w:p w:rsidR="00D72528" w:rsidRDefault="00D72528" w:rsidP="00D72528">
      <w:pPr>
        <w:widowControl w:val="0"/>
        <w:autoSpaceDE w:val="0"/>
        <w:autoSpaceDN w:val="0"/>
        <w:adjustRightInd w:val="0"/>
        <w:spacing w:line="240" w:lineRule="auto"/>
        <w:ind w:left="480" w:hanging="480"/>
        <w:rPr>
          <w:rFonts w:ascii="Calibri" w:hAnsi="Calibri" w:cs="Calibri"/>
          <w:noProof/>
          <w:szCs w:val="24"/>
        </w:rPr>
      </w:pPr>
      <w:r w:rsidRPr="00AA1931">
        <w:rPr>
          <w:rFonts w:ascii="Calibri" w:hAnsi="Calibri" w:cs="Calibri"/>
          <w:noProof/>
          <w:szCs w:val="24"/>
        </w:rPr>
        <w:t xml:space="preserve">Deshpande, U., Chan, D., Chan, S., Gopalan, K., &amp; Bila, N. (2015). Scatter-gather live migration of virtual machines. </w:t>
      </w:r>
      <w:r w:rsidRPr="00AA1931">
        <w:rPr>
          <w:rFonts w:ascii="Calibri" w:hAnsi="Calibri" w:cs="Calibri"/>
          <w:i/>
          <w:iCs/>
          <w:noProof/>
          <w:szCs w:val="24"/>
        </w:rPr>
        <w:t>IEEE Transactions on Cloud Computing</w:t>
      </w:r>
      <w:r w:rsidRPr="00AA1931">
        <w:rPr>
          <w:rFonts w:ascii="Calibri" w:hAnsi="Calibri" w:cs="Calibri"/>
          <w:noProof/>
          <w:szCs w:val="24"/>
        </w:rPr>
        <w:t xml:space="preserve">, </w:t>
      </w:r>
      <w:r w:rsidRPr="00AA1931">
        <w:rPr>
          <w:rFonts w:ascii="Calibri" w:hAnsi="Calibri" w:cs="Calibri"/>
          <w:i/>
          <w:iCs/>
          <w:noProof/>
          <w:szCs w:val="24"/>
        </w:rPr>
        <w:t>PP</w:t>
      </w:r>
      <w:r w:rsidRPr="00AA1931">
        <w:rPr>
          <w:rFonts w:ascii="Calibri" w:hAnsi="Calibri" w:cs="Calibri"/>
          <w:noProof/>
          <w:szCs w:val="24"/>
        </w:rPr>
        <w:t xml:space="preserve">(99), 1–14. </w:t>
      </w:r>
      <w:hyperlink r:id="rId5" w:history="1">
        <w:r w:rsidRPr="00722620">
          <w:rPr>
            <w:rStyle w:val="Hyperlink"/>
            <w:rFonts w:ascii="Calibri" w:hAnsi="Calibri" w:cs="Calibri"/>
            <w:noProof/>
            <w:szCs w:val="24"/>
          </w:rPr>
          <w:t>https://doi.org/10.1109/TCC.2015.2481424</w:t>
        </w:r>
      </w:hyperlink>
    </w:p>
    <w:p w:rsidR="00D72528" w:rsidRDefault="00D72528" w:rsidP="00D72528">
      <w:pPr>
        <w:widowControl w:val="0"/>
        <w:autoSpaceDE w:val="0"/>
        <w:autoSpaceDN w:val="0"/>
        <w:adjustRightInd w:val="0"/>
        <w:spacing w:line="240" w:lineRule="auto"/>
        <w:ind w:left="480" w:hanging="480"/>
        <w:rPr>
          <w:rFonts w:ascii="Calibri" w:hAnsi="Calibri" w:cs="Calibri"/>
          <w:noProof/>
          <w:szCs w:val="24"/>
        </w:rPr>
      </w:pPr>
    </w:p>
    <w:p w:rsidR="00D72528" w:rsidRPr="00AA1931" w:rsidRDefault="00D72528" w:rsidP="00D72528">
      <w:pPr>
        <w:widowControl w:val="0"/>
        <w:autoSpaceDE w:val="0"/>
        <w:autoSpaceDN w:val="0"/>
        <w:adjustRightInd w:val="0"/>
        <w:spacing w:line="240" w:lineRule="auto"/>
        <w:ind w:left="480" w:hanging="480"/>
        <w:rPr>
          <w:rFonts w:ascii="Calibri" w:hAnsi="Calibri" w:cs="Calibri"/>
          <w:noProof/>
          <w:szCs w:val="24"/>
        </w:rPr>
      </w:pPr>
      <w:r w:rsidRPr="00AA1931">
        <w:rPr>
          <w:rFonts w:ascii="Calibri" w:hAnsi="Calibri" w:cs="Calibri"/>
          <w:noProof/>
          <w:szCs w:val="24"/>
        </w:rPr>
        <w:t xml:space="preserve">Kandalla, K., Subramoni, H., Vishnu, A., &amp; Panda, D. K. (2010). Designing topology-aware collective communication algorithms for large scale InfiniBand clusters: Case studies with Scatter and Gather. </w:t>
      </w:r>
      <w:r w:rsidRPr="00AA1931">
        <w:rPr>
          <w:rFonts w:ascii="Calibri" w:hAnsi="Calibri" w:cs="Calibri"/>
          <w:i/>
          <w:iCs/>
          <w:noProof/>
          <w:szCs w:val="24"/>
        </w:rPr>
        <w:t>Proceedings of the 2010 IEEE International Symposium on Parallel and Distributed Processing, Workshops and Phd Forum, IPDPSW 2010</w:t>
      </w:r>
      <w:r w:rsidRPr="00AA1931">
        <w:rPr>
          <w:rFonts w:ascii="Calibri" w:hAnsi="Calibri" w:cs="Calibri"/>
          <w:noProof/>
          <w:szCs w:val="24"/>
        </w:rPr>
        <w:t>. https://doi.org/10.1109/IPDPSW.2010.5470853</w:t>
      </w:r>
    </w:p>
    <w:p w:rsidR="00D72528" w:rsidRDefault="00D72528" w:rsidP="00D72528">
      <w:pPr>
        <w:widowControl w:val="0"/>
        <w:autoSpaceDE w:val="0"/>
        <w:autoSpaceDN w:val="0"/>
        <w:adjustRightInd w:val="0"/>
        <w:spacing w:line="240" w:lineRule="auto"/>
        <w:ind w:left="480" w:hanging="480"/>
        <w:rPr>
          <w:rFonts w:ascii="Calibri" w:hAnsi="Calibri" w:cs="Calibri"/>
          <w:noProof/>
          <w:szCs w:val="24"/>
        </w:rPr>
      </w:pPr>
    </w:p>
    <w:p w:rsidR="00D72528" w:rsidRPr="00AA1931" w:rsidRDefault="00D72528" w:rsidP="00D72528">
      <w:pPr>
        <w:widowControl w:val="0"/>
        <w:autoSpaceDE w:val="0"/>
        <w:autoSpaceDN w:val="0"/>
        <w:adjustRightInd w:val="0"/>
        <w:spacing w:line="240" w:lineRule="auto"/>
        <w:ind w:left="480" w:hanging="480"/>
        <w:rPr>
          <w:rFonts w:ascii="Calibri" w:hAnsi="Calibri" w:cs="Calibri"/>
          <w:noProof/>
          <w:szCs w:val="24"/>
        </w:rPr>
      </w:pPr>
      <w:r w:rsidRPr="00AA1931">
        <w:rPr>
          <w:rFonts w:ascii="Calibri" w:hAnsi="Calibri" w:cs="Calibri"/>
          <w:noProof/>
          <w:szCs w:val="24"/>
        </w:rPr>
        <w:t xml:space="preserve">Bhatt, S. N., Pucci, G., Ranade, A., &amp; Rosenberg, A. L. (1993). Scattering and Gathering Messages in Networks of Processors. </w:t>
      </w:r>
      <w:r w:rsidRPr="00AA1931">
        <w:rPr>
          <w:rFonts w:ascii="Calibri" w:hAnsi="Calibri" w:cs="Calibri"/>
          <w:i/>
          <w:iCs/>
          <w:noProof/>
          <w:szCs w:val="24"/>
        </w:rPr>
        <w:t>IEEE Transactions on Computers</w:t>
      </w:r>
      <w:r w:rsidRPr="00AA1931">
        <w:rPr>
          <w:rFonts w:ascii="Calibri" w:hAnsi="Calibri" w:cs="Calibri"/>
          <w:noProof/>
          <w:szCs w:val="24"/>
        </w:rPr>
        <w:t xml:space="preserve">, </w:t>
      </w:r>
      <w:r w:rsidRPr="00AA1931">
        <w:rPr>
          <w:rFonts w:ascii="Calibri" w:hAnsi="Calibri" w:cs="Calibri"/>
          <w:i/>
          <w:iCs/>
          <w:noProof/>
          <w:szCs w:val="24"/>
        </w:rPr>
        <w:t>42</w:t>
      </w:r>
      <w:r w:rsidRPr="00AA1931">
        <w:rPr>
          <w:rFonts w:ascii="Calibri" w:hAnsi="Calibri" w:cs="Calibri"/>
          <w:noProof/>
          <w:szCs w:val="24"/>
        </w:rPr>
        <w:t>(8), 938–949. https://doi.org/10.1109/12.238484</w:t>
      </w:r>
    </w:p>
    <w:p w:rsidR="00D72528" w:rsidRPr="00AA1931" w:rsidRDefault="00D72528" w:rsidP="00D72528">
      <w:pPr>
        <w:widowControl w:val="0"/>
        <w:autoSpaceDE w:val="0"/>
        <w:autoSpaceDN w:val="0"/>
        <w:adjustRightInd w:val="0"/>
        <w:spacing w:line="240" w:lineRule="auto"/>
        <w:ind w:left="480" w:hanging="480"/>
        <w:rPr>
          <w:rFonts w:ascii="Calibri" w:hAnsi="Calibri" w:cs="Calibri"/>
          <w:noProof/>
          <w:szCs w:val="24"/>
        </w:rPr>
      </w:pPr>
    </w:p>
    <w:p w:rsidR="00D72528" w:rsidRDefault="00D72528" w:rsidP="00AA1931">
      <w:pPr>
        <w:widowControl w:val="0"/>
        <w:autoSpaceDE w:val="0"/>
        <w:autoSpaceDN w:val="0"/>
        <w:adjustRightInd w:val="0"/>
        <w:spacing w:line="240" w:lineRule="auto"/>
        <w:ind w:left="480" w:hanging="480"/>
      </w:pPr>
    </w:p>
    <w:p w:rsidR="00D72528" w:rsidRDefault="00D72528" w:rsidP="00AA1931">
      <w:pPr>
        <w:widowControl w:val="0"/>
        <w:autoSpaceDE w:val="0"/>
        <w:autoSpaceDN w:val="0"/>
        <w:adjustRightInd w:val="0"/>
        <w:spacing w:line="240" w:lineRule="auto"/>
        <w:ind w:left="480" w:hanging="480"/>
      </w:pPr>
    </w:p>
    <w:p w:rsidR="00D72528" w:rsidRDefault="00D72528" w:rsidP="00AA1931">
      <w:pPr>
        <w:widowControl w:val="0"/>
        <w:autoSpaceDE w:val="0"/>
        <w:autoSpaceDN w:val="0"/>
        <w:adjustRightInd w:val="0"/>
        <w:spacing w:line="240" w:lineRule="auto"/>
        <w:ind w:left="480" w:hanging="480"/>
      </w:pPr>
    </w:p>
    <w:p w:rsidR="004B1183" w:rsidRDefault="004B1183" w:rsidP="00AA1931">
      <w:pPr>
        <w:widowControl w:val="0"/>
        <w:autoSpaceDE w:val="0"/>
        <w:autoSpaceDN w:val="0"/>
        <w:adjustRightInd w:val="0"/>
        <w:spacing w:line="240" w:lineRule="auto"/>
        <w:ind w:left="480" w:hanging="480"/>
      </w:pPr>
    </w:p>
    <w:p w:rsidR="004B1183" w:rsidRDefault="004B1183" w:rsidP="00AA1931">
      <w:pPr>
        <w:widowControl w:val="0"/>
        <w:autoSpaceDE w:val="0"/>
        <w:autoSpaceDN w:val="0"/>
        <w:adjustRightInd w:val="0"/>
        <w:spacing w:line="240" w:lineRule="auto"/>
        <w:ind w:left="480" w:hanging="480"/>
      </w:pPr>
    </w:p>
    <w:p w:rsidR="000F7A97" w:rsidRPr="000F7A97" w:rsidRDefault="00AA1931" w:rsidP="000F7A97">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0F7A97" w:rsidRPr="000F7A97">
        <w:rPr>
          <w:rFonts w:ascii="Calibri" w:hAnsi="Calibri" w:cs="Calibri"/>
          <w:noProof/>
          <w:szCs w:val="24"/>
        </w:rPr>
        <w:t xml:space="preserve">Al-Obasiat Y.; Braun, R. . (2007). A Multi-Agent Flexible Architecture for Autonomic Services and Network Management; Computer Systems and Applications. </w:t>
      </w:r>
      <w:r w:rsidR="000F7A97" w:rsidRPr="000F7A97">
        <w:rPr>
          <w:rFonts w:ascii="Calibri" w:hAnsi="Calibri" w:cs="Calibri"/>
          <w:i/>
          <w:iCs/>
          <w:noProof/>
          <w:szCs w:val="24"/>
        </w:rPr>
        <w:t>Computer Systems and Applications, 2007. AICCSA ’07. IEEE/ACS International Conference On;</w:t>
      </w:r>
      <w:r w:rsidR="000F7A97" w:rsidRPr="000F7A97">
        <w:rPr>
          <w:rFonts w:ascii="Calibri" w:hAnsi="Calibri" w:cs="Calibri"/>
          <w:noProof/>
          <w:szCs w:val="24"/>
        </w:rPr>
        <w:t>, 124–131.</w:t>
      </w:r>
    </w:p>
    <w:p w:rsidR="000F7A97" w:rsidRPr="000F7A97" w:rsidRDefault="000F7A97" w:rsidP="000F7A97">
      <w:pPr>
        <w:widowControl w:val="0"/>
        <w:autoSpaceDE w:val="0"/>
        <w:autoSpaceDN w:val="0"/>
        <w:adjustRightInd w:val="0"/>
        <w:spacing w:line="240" w:lineRule="auto"/>
        <w:ind w:left="480" w:hanging="480"/>
        <w:rPr>
          <w:rFonts w:ascii="Calibri" w:hAnsi="Calibri" w:cs="Calibri"/>
          <w:noProof/>
          <w:szCs w:val="24"/>
        </w:rPr>
      </w:pPr>
      <w:r w:rsidRPr="000F7A97">
        <w:rPr>
          <w:rFonts w:ascii="Calibri" w:hAnsi="Calibri" w:cs="Calibri"/>
          <w:noProof/>
          <w:szCs w:val="24"/>
        </w:rPr>
        <w:t xml:space="preserve">Alonso-Monsalve, S., Garcia-Carballeira, F., &amp; Calderon, A. (2017). Fog computing through public-resource computing and storage. </w:t>
      </w:r>
      <w:r w:rsidRPr="000F7A97">
        <w:rPr>
          <w:rFonts w:ascii="Calibri" w:hAnsi="Calibri" w:cs="Calibri"/>
          <w:i/>
          <w:iCs/>
          <w:noProof/>
          <w:szCs w:val="24"/>
        </w:rPr>
        <w:t>2017 2nd International Conference on Fog and Mobile Edge Computing, FMEC 2017</w:t>
      </w:r>
      <w:r w:rsidRPr="000F7A97">
        <w:rPr>
          <w:rFonts w:ascii="Calibri" w:hAnsi="Calibri" w:cs="Calibri"/>
          <w:noProof/>
          <w:szCs w:val="24"/>
        </w:rPr>
        <w:t>, 81–87. https://doi.org/10.1109/FMEC.2017.7946412</w:t>
      </w:r>
    </w:p>
    <w:p w:rsidR="000F7A97" w:rsidRPr="000F7A97" w:rsidRDefault="000F7A97" w:rsidP="000F7A97">
      <w:pPr>
        <w:widowControl w:val="0"/>
        <w:autoSpaceDE w:val="0"/>
        <w:autoSpaceDN w:val="0"/>
        <w:adjustRightInd w:val="0"/>
        <w:spacing w:line="240" w:lineRule="auto"/>
        <w:ind w:left="480" w:hanging="480"/>
        <w:rPr>
          <w:rFonts w:ascii="Calibri" w:hAnsi="Calibri" w:cs="Calibri"/>
          <w:noProof/>
          <w:szCs w:val="24"/>
        </w:rPr>
      </w:pPr>
      <w:r w:rsidRPr="000F7A97">
        <w:rPr>
          <w:rFonts w:ascii="Calibri" w:hAnsi="Calibri" w:cs="Calibri"/>
          <w:noProof/>
          <w:szCs w:val="24"/>
        </w:rPr>
        <w:t xml:space="preserve">Atero, F. J., Vinagre, J. J., Morgado, E., &amp; Wilby, M. R. (2011). A low energy and adaptive architecture for efficient routing and robust mobility management in wireless sensor networks. </w:t>
      </w:r>
      <w:r w:rsidRPr="000F7A97">
        <w:rPr>
          <w:rFonts w:ascii="Calibri" w:hAnsi="Calibri" w:cs="Calibri"/>
          <w:i/>
          <w:iCs/>
          <w:noProof/>
          <w:szCs w:val="24"/>
        </w:rPr>
        <w:t>Proceedings - International Conference on Distributed Computing Systems</w:t>
      </w:r>
      <w:r w:rsidRPr="000F7A97">
        <w:rPr>
          <w:rFonts w:ascii="Calibri" w:hAnsi="Calibri" w:cs="Calibri"/>
          <w:noProof/>
          <w:szCs w:val="24"/>
        </w:rPr>
        <w:t>, 172–181. https://doi.org/10.1109/ICDCSW.2011.39</w:t>
      </w:r>
    </w:p>
    <w:p w:rsidR="000F7A97" w:rsidRPr="000F7A97" w:rsidRDefault="000F7A97" w:rsidP="000F7A97">
      <w:pPr>
        <w:widowControl w:val="0"/>
        <w:autoSpaceDE w:val="0"/>
        <w:autoSpaceDN w:val="0"/>
        <w:adjustRightInd w:val="0"/>
        <w:spacing w:line="240" w:lineRule="auto"/>
        <w:ind w:left="480" w:hanging="480"/>
        <w:rPr>
          <w:rFonts w:ascii="Calibri" w:hAnsi="Calibri" w:cs="Calibri"/>
          <w:noProof/>
          <w:szCs w:val="24"/>
        </w:rPr>
      </w:pPr>
      <w:r w:rsidRPr="000F7A97">
        <w:rPr>
          <w:rFonts w:ascii="Calibri" w:hAnsi="Calibri" w:cs="Calibri"/>
          <w:noProof/>
          <w:szCs w:val="24"/>
        </w:rPr>
        <w:t>Baviskar, Y. S., Patil, S. C., &amp; Govind, S. B. (2015). Energy Efficient Load Balancing Algorithm in Cloud Based Wireless Sensor Network, 464–467.</w:t>
      </w:r>
    </w:p>
    <w:p w:rsidR="000F7A97" w:rsidRPr="000F7A97" w:rsidRDefault="000F7A97" w:rsidP="000F7A97">
      <w:pPr>
        <w:widowControl w:val="0"/>
        <w:autoSpaceDE w:val="0"/>
        <w:autoSpaceDN w:val="0"/>
        <w:adjustRightInd w:val="0"/>
        <w:spacing w:line="240" w:lineRule="auto"/>
        <w:ind w:left="480" w:hanging="480"/>
        <w:rPr>
          <w:rFonts w:ascii="Calibri" w:hAnsi="Calibri" w:cs="Calibri"/>
          <w:noProof/>
          <w:szCs w:val="24"/>
        </w:rPr>
      </w:pPr>
      <w:r w:rsidRPr="000F7A97">
        <w:rPr>
          <w:rFonts w:ascii="Calibri" w:hAnsi="Calibri" w:cs="Calibri"/>
          <w:noProof/>
          <w:szCs w:val="24"/>
        </w:rPr>
        <w:t xml:space="preserve">Bhatt, S. N., Pucci, G., Ranade, A., &amp; Rosenberg, A. L. (1993). Scattering and Gathering Messages in Networks of Processors. </w:t>
      </w:r>
      <w:r w:rsidRPr="000F7A97">
        <w:rPr>
          <w:rFonts w:ascii="Calibri" w:hAnsi="Calibri" w:cs="Calibri"/>
          <w:i/>
          <w:iCs/>
          <w:noProof/>
          <w:szCs w:val="24"/>
        </w:rPr>
        <w:t>IEEE Transactions on Computers</w:t>
      </w:r>
      <w:r w:rsidRPr="000F7A97">
        <w:rPr>
          <w:rFonts w:ascii="Calibri" w:hAnsi="Calibri" w:cs="Calibri"/>
          <w:noProof/>
          <w:szCs w:val="24"/>
        </w:rPr>
        <w:t xml:space="preserve">, </w:t>
      </w:r>
      <w:r w:rsidRPr="000F7A97">
        <w:rPr>
          <w:rFonts w:ascii="Calibri" w:hAnsi="Calibri" w:cs="Calibri"/>
          <w:i/>
          <w:iCs/>
          <w:noProof/>
          <w:szCs w:val="24"/>
        </w:rPr>
        <w:t>42</w:t>
      </w:r>
      <w:r w:rsidRPr="000F7A97">
        <w:rPr>
          <w:rFonts w:ascii="Calibri" w:hAnsi="Calibri" w:cs="Calibri"/>
          <w:noProof/>
          <w:szCs w:val="24"/>
        </w:rPr>
        <w:t>(8), 938–949. https://doi.org/10.1109/12.238484</w:t>
      </w:r>
    </w:p>
    <w:p w:rsidR="000F7A97" w:rsidRPr="000F7A97" w:rsidRDefault="000F7A97" w:rsidP="000F7A97">
      <w:pPr>
        <w:widowControl w:val="0"/>
        <w:autoSpaceDE w:val="0"/>
        <w:autoSpaceDN w:val="0"/>
        <w:adjustRightInd w:val="0"/>
        <w:spacing w:line="240" w:lineRule="auto"/>
        <w:ind w:left="480" w:hanging="480"/>
        <w:rPr>
          <w:rFonts w:ascii="Calibri" w:hAnsi="Calibri" w:cs="Calibri"/>
          <w:noProof/>
          <w:szCs w:val="24"/>
        </w:rPr>
      </w:pPr>
      <w:r w:rsidRPr="000F7A97">
        <w:rPr>
          <w:rFonts w:ascii="Calibri" w:hAnsi="Calibri" w:cs="Calibri"/>
          <w:noProof/>
          <w:szCs w:val="24"/>
        </w:rPr>
        <w:t xml:space="preserve">Deshpande, U., Chan, D., Chan, S., Gopalan, K., &amp; Bila, N. (2015). Scatter-gather live migration of virtual machines. </w:t>
      </w:r>
      <w:r w:rsidRPr="000F7A97">
        <w:rPr>
          <w:rFonts w:ascii="Calibri" w:hAnsi="Calibri" w:cs="Calibri"/>
          <w:i/>
          <w:iCs/>
          <w:noProof/>
          <w:szCs w:val="24"/>
        </w:rPr>
        <w:t>IEEE Transactions on Cloud Computing</w:t>
      </w:r>
      <w:r w:rsidRPr="000F7A97">
        <w:rPr>
          <w:rFonts w:ascii="Calibri" w:hAnsi="Calibri" w:cs="Calibri"/>
          <w:noProof/>
          <w:szCs w:val="24"/>
        </w:rPr>
        <w:t xml:space="preserve">, </w:t>
      </w:r>
      <w:r w:rsidRPr="000F7A97">
        <w:rPr>
          <w:rFonts w:ascii="Calibri" w:hAnsi="Calibri" w:cs="Calibri"/>
          <w:i/>
          <w:iCs/>
          <w:noProof/>
          <w:szCs w:val="24"/>
        </w:rPr>
        <w:t>PP</w:t>
      </w:r>
      <w:r w:rsidRPr="000F7A97">
        <w:rPr>
          <w:rFonts w:ascii="Calibri" w:hAnsi="Calibri" w:cs="Calibri"/>
          <w:noProof/>
          <w:szCs w:val="24"/>
        </w:rPr>
        <w:t>(99), 1–14. https://doi.org/10.1109/TCC.2015.2481424</w:t>
      </w:r>
    </w:p>
    <w:p w:rsidR="000F7A97" w:rsidRPr="000F7A97" w:rsidRDefault="000F7A97" w:rsidP="000F7A97">
      <w:pPr>
        <w:widowControl w:val="0"/>
        <w:autoSpaceDE w:val="0"/>
        <w:autoSpaceDN w:val="0"/>
        <w:adjustRightInd w:val="0"/>
        <w:spacing w:line="240" w:lineRule="auto"/>
        <w:ind w:left="480" w:hanging="480"/>
        <w:rPr>
          <w:rFonts w:ascii="Calibri" w:hAnsi="Calibri" w:cs="Calibri"/>
          <w:noProof/>
          <w:szCs w:val="24"/>
        </w:rPr>
      </w:pPr>
      <w:r w:rsidRPr="000F7A97">
        <w:rPr>
          <w:rFonts w:ascii="Calibri" w:hAnsi="Calibri" w:cs="Calibri"/>
          <w:noProof/>
          <w:szCs w:val="24"/>
        </w:rPr>
        <w:t xml:space="preserve">Deshpande, U., You, Y., Chan, D., Bila, N., &amp; Gopalan, K. (2014). Fast server deprovisioning through scatter-gather live migration of virtual machines. </w:t>
      </w:r>
      <w:r w:rsidRPr="000F7A97">
        <w:rPr>
          <w:rFonts w:ascii="Calibri" w:hAnsi="Calibri" w:cs="Calibri"/>
          <w:i/>
          <w:iCs/>
          <w:noProof/>
          <w:szCs w:val="24"/>
        </w:rPr>
        <w:t>IEEE International Conference on Cloud Computing, CLOUD</w:t>
      </w:r>
      <w:r w:rsidRPr="000F7A97">
        <w:rPr>
          <w:rFonts w:ascii="Calibri" w:hAnsi="Calibri" w:cs="Calibri"/>
          <w:noProof/>
          <w:szCs w:val="24"/>
        </w:rPr>
        <w:t>, 376–383. https://doi.org/10.1109/CLOUD.2014.58</w:t>
      </w:r>
    </w:p>
    <w:p w:rsidR="000F7A97" w:rsidRPr="000F7A97" w:rsidRDefault="000F7A97" w:rsidP="000F7A97">
      <w:pPr>
        <w:widowControl w:val="0"/>
        <w:autoSpaceDE w:val="0"/>
        <w:autoSpaceDN w:val="0"/>
        <w:adjustRightInd w:val="0"/>
        <w:spacing w:line="240" w:lineRule="auto"/>
        <w:ind w:left="480" w:hanging="480"/>
        <w:rPr>
          <w:rFonts w:ascii="Calibri" w:hAnsi="Calibri" w:cs="Calibri"/>
          <w:noProof/>
          <w:szCs w:val="24"/>
        </w:rPr>
      </w:pPr>
      <w:r w:rsidRPr="000F7A97">
        <w:rPr>
          <w:rFonts w:ascii="Calibri" w:hAnsi="Calibri" w:cs="Calibri"/>
          <w:noProof/>
          <w:szCs w:val="24"/>
        </w:rPr>
        <w:t xml:space="preserve">Kandalla, K., Subramoni, H., Vishnu, A., &amp; Panda, D. K. (2010). Designing topology-aware collective communication algorithms for large scale InfiniBand clusters: Case studies with Scatter and Gather. </w:t>
      </w:r>
      <w:r w:rsidRPr="000F7A97">
        <w:rPr>
          <w:rFonts w:ascii="Calibri" w:hAnsi="Calibri" w:cs="Calibri"/>
          <w:i/>
          <w:iCs/>
          <w:noProof/>
          <w:szCs w:val="24"/>
        </w:rPr>
        <w:t>Proceedings of the 2010 IEEE International Symposium on Parallel and Distributed Processing, Workshops and Phd Forum, IPDPSW 2010</w:t>
      </w:r>
      <w:r w:rsidRPr="000F7A97">
        <w:rPr>
          <w:rFonts w:ascii="Calibri" w:hAnsi="Calibri" w:cs="Calibri"/>
          <w:noProof/>
          <w:szCs w:val="24"/>
        </w:rPr>
        <w:t>. https://doi.org/10.1109/IPDPSW.2010.5470853</w:t>
      </w:r>
    </w:p>
    <w:p w:rsidR="000F7A97" w:rsidRPr="000F7A97" w:rsidRDefault="000F7A97" w:rsidP="000F7A97">
      <w:pPr>
        <w:widowControl w:val="0"/>
        <w:autoSpaceDE w:val="0"/>
        <w:autoSpaceDN w:val="0"/>
        <w:adjustRightInd w:val="0"/>
        <w:spacing w:line="240" w:lineRule="auto"/>
        <w:ind w:left="480" w:hanging="480"/>
        <w:rPr>
          <w:rFonts w:ascii="Calibri" w:hAnsi="Calibri" w:cs="Calibri"/>
          <w:noProof/>
          <w:szCs w:val="24"/>
        </w:rPr>
      </w:pPr>
      <w:r w:rsidRPr="000F7A97">
        <w:rPr>
          <w:rFonts w:ascii="Calibri" w:hAnsi="Calibri" w:cs="Calibri"/>
          <w:noProof/>
          <w:szCs w:val="24"/>
        </w:rPr>
        <w:t xml:space="preserve">Kapsalis, A., Kasnesis, P., Venieris, I. S., Kaklamani, D. I., &amp; Patrikakis, C. Z. (2017). A Cooperative Fog Approach for Effective Workload Balancing. </w:t>
      </w:r>
      <w:r w:rsidRPr="000F7A97">
        <w:rPr>
          <w:rFonts w:ascii="Calibri" w:hAnsi="Calibri" w:cs="Calibri"/>
          <w:i/>
          <w:iCs/>
          <w:noProof/>
          <w:szCs w:val="24"/>
        </w:rPr>
        <w:t>IEEE Cloud Computing</w:t>
      </w:r>
      <w:r w:rsidRPr="000F7A97">
        <w:rPr>
          <w:rFonts w:ascii="Calibri" w:hAnsi="Calibri" w:cs="Calibri"/>
          <w:noProof/>
          <w:szCs w:val="24"/>
        </w:rPr>
        <w:t xml:space="preserve">, </w:t>
      </w:r>
      <w:r w:rsidRPr="000F7A97">
        <w:rPr>
          <w:rFonts w:ascii="Calibri" w:hAnsi="Calibri" w:cs="Calibri"/>
          <w:i/>
          <w:iCs/>
          <w:noProof/>
          <w:szCs w:val="24"/>
        </w:rPr>
        <w:t>4</w:t>
      </w:r>
      <w:r w:rsidRPr="000F7A97">
        <w:rPr>
          <w:rFonts w:ascii="Calibri" w:hAnsi="Calibri" w:cs="Calibri"/>
          <w:noProof/>
          <w:szCs w:val="24"/>
        </w:rPr>
        <w:t>(2), 36–45. https://doi.org/10.1109/MCC.2017.25</w:t>
      </w:r>
    </w:p>
    <w:p w:rsidR="000F7A97" w:rsidRPr="000F7A97" w:rsidRDefault="000F7A97" w:rsidP="000F7A97">
      <w:pPr>
        <w:widowControl w:val="0"/>
        <w:autoSpaceDE w:val="0"/>
        <w:autoSpaceDN w:val="0"/>
        <w:adjustRightInd w:val="0"/>
        <w:spacing w:line="240" w:lineRule="auto"/>
        <w:ind w:left="480" w:hanging="480"/>
        <w:rPr>
          <w:rFonts w:ascii="Calibri" w:hAnsi="Calibri" w:cs="Calibri"/>
          <w:noProof/>
          <w:szCs w:val="24"/>
        </w:rPr>
      </w:pPr>
      <w:r w:rsidRPr="000F7A97">
        <w:rPr>
          <w:rFonts w:ascii="Calibri" w:hAnsi="Calibri" w:cs="Calibri"/>
          <w:noProof/>
          <w:szCs w:val="24"/>
        </w:rPr>
        <w:t xml:space="preserve">Laredo, J. L. J., Guinand, F., Olivier, D., &amp; Bouvry, P. (2017). Load Balancing at the Edge of Chaos: How Self-Organized Criticality Can Lead to Energy-Efficient Computing. </w:t>
      </w:r>
      <w:r w:rsidRPr="000F7A97">
        <w:rPr>
          <w:rFonts w:ascii="Calibri" w:hAnsi="Calibri" w:cs="Calibri"/>
          <w:i/>
          <w:iCs/>
          <w:noProof/>
          <w:szCs w:val="24"/>
        </w:rPr>
        <w:t>IEEE Transactions on Parallel and Distributed Systems</w:t>
      </w:r>
      <w:r w:rsidRPr="000F7A97">
        <w:rPr>
          <w:rFonts w:ascii="Calibri" w:hAnsi="Calibri" w:cs="Calibri"/>
          <w:noProof/>
          <w:szCs w:val="24"/>
        </w:rPr>
        <w:t xml:space="preserve">, </w:t>
      </w:r>
      <w:r w:rsidRPr="000F7A97">
        <w:rPr>
          <w:rFonts w:ascii="Calibri" w:hAnsi="Calibri" w:cs="Calibri"/>
          <w:i/>
          <w:iCs/>
          <w:noProof/>
          <w:szCs w:val="24"/>
        </w:rPr>
        <w:t>28</w:t>
      </w:r>
      <w:r w:rsidRPr="000F7A97">
        <w:rPr>
          <w:rFonts w:ascii="Calibri" w:hAnsi="Calibri" w:cs="Calibri"/>
          <w:noProof/>
          <w:szCs w:val="24"/>
        </w:rPr>
        <w:t>(2), 517–529. https://doi.org/10.1109/TPDS.2016.2582160</w:t>
      </w:r>
    </w:p>
    <w:p w:rsidR="000F7A97" w:rsidRPr="000F7A97" w:rsidRDefault="000F7A97" w:rsidP="000F7A97">
      <w:pPr>
        <w:widowControl w:val="0"/>
        <w:autoSpaceDE w:val="0"/>
        <w:autoSpaceDN w:val="0"/>
        <w:adjustRightInd w:val="0"/>
        <w:spacing w:line="240" w:lineRule="auto"/>
        <w:ind w:left="480" w:hanging="480"/>
        <w:rPr>
          <w:rFonts w:ascii="Calibri" w:hAnsi="Calibri" w:cs="Calibri"/>
          <w:noProof/>
          <w:szCs w:val="24"/>
        </w:rPr>
      </w:pPr>
      <w:r w:rsidRPr="000F7A97">
        <w:rPr>
          <w:rFonts w:ascii="Calibri" w:hAnsi="Calibri" w:cs="Calibri"/>
          <w:noProof/>
          <w:szCs w:val="24"/>
        </w:rPr>
        <w:t>Member, S. (n.d.). An efficient Power Flow Method for Distribution System Studies under various load models, 1–6.</w:t>
      </w:r>
    </w:p>
    <w:p w:rsidR="000F7A97" w:rsidRPr="000F7A97" w:rsidRDefault="000F7A97" w:rsidP="000F7A97">
      <w:pPr>
        <w:widowControl w:val="0"/>
        <w:autoSpaceDE w:val="0"/>
        <w:autoSpaceDN w:val="0"/>
        <w:adjustRightInd w:val="0"/>
        <w:spacing w:line="240" w:lineRule="auto"/>
        <w:ind w:left="480" w:hanging="480"/>
        <w:rPr>
          <w:rFonts w:ascii="Calibri" w:hAnsi="Calibri" w:cs="Calibri"/>
          <w:noProof/>
          <w:szCs w:val="24"/>
        </w:rPr>
      </w:pPr>
      <w:r w:rsidRPr="000F7A97">
        <w:rPr>
          <w:rFonts w:ascii="Calibri" w:hAnsi="Calibri" w:cs="Calibri"/>
          <w:noProof/>
          <w:szCs w:val="24"/>
        </w:rPr>
        <w:t>Miled, Z. Ben. (1998). Zina Ben Miled, 216–225.</w:t>
      </w:r>
    </w:p>
    <w:p w:rsidR="000F7A97" w:rsidRPr="000F7A97" w:rsidRDefault="000F7A97" w:rsidP="000F7A97">
      <w:pPr>
        <w:widowControl w:val="0"/>
        <w:autoSpaceDE w:val="0"/>
        <w:autoSpaceDN w:val="0"/>
        <w:adjustRightInd w:val="0"/>
        <w:spacing w:line="240" w:lineRule="auto"/>
        <w:ind w:left="480" w:hanging="480"/>
        <w:rPr>
          <w:rFonts w:ascii="Calibri" w:hAnsi="Calibri" w:cs="Calibri"/>
          <w:noProof/>
          <w:szCs w:val="24"/>
        </w:rPr>
      </w:pPr>
      <w:r w:rsidRPr="000F7A97">
        <w:rPr>
          <w:rFonts w:ascii="Calibri" w:hAnsi="Calibri" w:cs="Calibri"/>
          <w:noProof/>
          <w:szCs w:val="24"/>
        </w:rPr>
        <w:t xml:space="preserve">Miraftabzadeh, S. A., Rad, P., &amp; Jamshidi, M. (2016). Efficient distributed algorithm for scheduling workload-Aware jobs on multi-clouds. </w:t>
      </w:r>
      <w:r w:rsidRPr="000F7A97">
        <w:rPr>
          <w:rFonts w:ascii="Calibri" w:hAnsi="Calibri" w:cs="Calibri"/>
          <w:i/>
          <w:iCs/>
          <w:noProof/>
          <w:szCs w:val="24"/>
        </w:rPr>
        <w:t>2016 11th Systems of Systems Engineering Conference, SoSE 2016</w:t>
      </w:r>
      <w:r w:rsidRPr="000F7A97">
        <w:rPr>
          <w:rFonts w:ascii="Calibri" w:hAnsi="Calibri" w:cs="Calibri"/>
          <w:noProof/>
          <w:szCs w:val="24"/>
        </w:rPr>
        <w:t>. https://doi.org/10.1109/SYSOSE.2016.7542955</w:t>
      </w:r>
    </w:p>
    <w:p w:rsidR="000F7A97" w:rsidRPr="000F7A97" w:rsidRDefault="000F7A97" w:rsidP="000F7A97">
      <w:pPr>
        <w:widowControl w:val="0"/>
        <w:autoSpaceDE w:val="0"/>
        <w:autoSpaceDN w:val="0"/>
        <w:adjustRightInd w:val="0"/>
        <w:spacing w:line="240" w:lineRule="auto"/>
        <w:ind w:left="480" w:hanging="480"/>
        <w:rPr>
          <w:rFonts w:ascii="Calibri" w:hAnsi="Calibri" w:cs="Calibri"/>
          <w:noProof/>
          <w:szCs w:val="24"/>
        </w:rPr>
      </w:pPr>
      <w:r w:rsidRPr="000F7A97">
        <w:rPr>
          <w:rFonts w:ascii="Calibri" w:hAnsi="Calibri" w:cs="Calibri"/>
          <w:noProof/>
          <w:szCs w:val="24"/>
        </w:rPr>
        <w:t xml:space="preserve">Pavithra, B., &amp; Ranjana, R. (2016). A Comparative Study on Performance of Energy Efficient Load </w:t>
      </w:r>
      <w:r w:rsidRPr="000F7A97">
        <w:rPr>
          <w:rFonts w:ascii="Calibri" w:hAnsi="Calibri" w:cs="Calibri"/>
          <w:noProof/>
          <w:szCs w:val="24"/>
        </w:rPr>
        <w:lastRenderedPageBreak/>
        <w:t>Balancing Techniques in Cloud, 1192–1196.</w:t>
      </w:r>
    </w:p>
    <w:p w:rsidR="000F7A97" w:rsidRPr="000F7A97" w:rsidRDefault="000F7A97" w:rsidP="000F7A97">
      <w:pPr>
        <w:widowControl w:val="0"/>
        <w:autoSpaceDE w:val="0"/>
        <w:autoSpaceDN w:val="0"/>
        <w:adjustRightInd w:val="0"/>
        <w:spacing w:line="240" w:lineRule="auto"/>
        <w:ind w:left="480" w:hanging="480"/>
        <w:rPr>
          <w:rFonts w:ascii="Calibri" w:hAnsi="Calibri" w:cs="Calibri"/>
          <w:noProof/>
          <w:szCs w:val="24"/>
        </w:rPr>
      </w:pPr>
      <w:r w:rsidRPr="000F7A97">
        <w:rPr>
          <w:rFonts w:ascii="Calibri" w:hAnsi="Calibri" w:cs="Calibri"/>
          <w:noProof/>
          <w:szCs w:val="24"/>
        </w:rPr>
        <w:t xml:space="preserve">Seshadri, V., Mullins, T., Boroumand, A., Mutlu, O., Gibbons, P. B., Kozuch, M. A., &amp; Mowry, T. C. (2015). Gather-scatter DRAM: in-DRAM address translation to improve the spatial locality of non-unit strided accesses. </w:t>
      </w:r>
      <w:r w:rsidRPr="000F7A97">
        <w:rPr>
          <w:rFonts w:ascii="Calibri" w:hAnsi="Calibri" w:cs="Calibri"/>
          <w:i/>
          <w:iCs/>
          <w:noProof/>
          <w:szCs w:val="24"/>
        </w:rPr>
        <w:t>Proceedings of the 48th International Symposium on Microarchitecture</w:t>
      </w:r>
      <w:r w:rsidRPr="000F7A97">
        <w:rPr>
          <w:rFonts w:ascii="Calibri" w:hAnsi="Calibri" w:cs="Calibri"/>
          <w:noProof/>
          <w:szCs w:val="24"/>
        </w:rPr>
        <w:t>, 267–280. https://doi.org/10.1145/2830772.2830820</w:t>
      </w:r>
    </w:p>
    <w:p w:rsidR="000F7A97" w:rsidRPr="000F7A97" w:rsidRDefault="000F7A97" w:rsidP="000F7A97">
      <w:pPr>
        <w:widowControl w:val="0"/>
        <w:autoSpaceDE w:val="0"/>
        <w:autoSpaceDN w:val="0"/>
        <w:adjustRightInd w:val="0"/>
        <w:spacing w:line="240" w:lineRule="auto"/>
        <w:ind w:left="480" w:hanging="480"/>
        <w:rPr>
          <w:rFonts w:ascii="Calibri" w:hAnsi="Calibri" w:cs="Calibri"/>
          <w:noProof/>
          <w:szCs w:val="24"/>
        </w:rPr>
      </w:pPr>
      <w:r w:rsidRPr="000F7A97">
        <w:rPr>
          <w:rFonts w:ascii="Calibri" w:hAnsi="Calibri" w:cs="Calibri"/>
          <w:noProof/>
          <w:szCs w:val="24"/>
        </w:rPr>
        <w:t xml:space="preserve">Sharma, G., Rai, S., Busch, C., Trahan, J. L., &amp; Vaidyanathan, R. (2015). Work-Efficient Load Balancing. </w:t>
      </w:r>
      <w:r w:rsidRPr="000F7A97">
        <w:rPr>
          <w:rFonts w:ascii="Calibri" w:hAnsi="Calibri" w:cs="Calibri"/>
          <w:i/>
          <w:iCs/>
          <w:noProof/>
          <w:szCs w:val="24"/>
        </w:rPr>
        <w:t>Proceedings of the International Conference on Parallel Processing Workshops</w:t>
      </w:r>
      <w:r w:rsidRPr="000F7A97">
        <w:rPr>
          <w:rFonts w:ascii="Calibri" w:hAnsi="Calibri" w:cs="Calibri"/>
          <w:noProof/>
          <w:szCs w:val="24"/>
        </w:rPr>
        <w:t xml:space="preserve">, </w:t>
      </w:r>
      <w:r w:rsidRPr="000F7A97">
        <w:rPr>
          <w:rFonts w:ascii="Calibri" w:hAnsi="Calibri" w:cs="Calibri"/>
          <w:i/>
          <w:iCs/>
          <w:noProof/>
          <w:szCs w:val="24"/>
        </w:rPr>
        <w:t>2015</w:t>
      </w:r>
      <w:r w:rsidRPr="000F7A97">
        <w:rPr>
          <w:rFonts w:ascii="Calibri" w:hAnsi="Calibri" w:cs="Calibri"/>
          <w:noProof/>
          <w:szCs w:val="24"/>
        </w:rPr>
        <w:t>–</w:t>
      </w:r>
      <w:r w:rsidRPr="000F7A97">
        <w:rPr>
          <w:rFonts w:ascii="Calibri" w:hAnsi="Calibri" w:cs="Calibri"/>
          <w:i/>
          <w:iCs/>
          <w:noProof/>
          <w:szCs w:val="24"/>
        </w:rPr>
        <w:t>May</w:t>
      </w:r>
      <w:r w:rsidRPr="000F7A97">
        <w:rPr>
          <w:rFonts w:ascii="Calibri" w:hAnsi="Calibri" w:cs="Calibri"/>
          <w:noProof/>
          <w:szCs w:val="24"/>
        </w:rPr>
        <w:t>, 27–36. https://doi.org/10.1109/ICPPW.2014.17</w:t>
      </w:r>
    </w:p>
    <w:p w:rsidR="000F7A97" w:rsidRPr="000F7A97" w:rsidRDefault="000F7A97" w:rsidP="000F7A97">
      <w:pPr>
        <w:widowControl w:val="0"/>
        <w:autoSpaceDE w:val="0"/>
        <w:autoSpaceDN w:val="0"/>
        <w:adjustRightInd w:val="0"/>
        <w:spacing w:line="240" w:lineRule="auto"/>
        <w:ind w:left="480" w:hanging="480"/>
        <w:rPr>
          <w:rFonts w:ascii="Calibri" w:hAnsi="Calibri" w:cs="Calibri"/>
          <w:noProof/>
          <w:szCs w:val="24"/>
        </w:rPr>
      </w:pPr>
      <w:r w:rsidRPr="000F7A97">
        <w:rPr>
          <w:rFonts w:ascii="Calibri" w:hAnsi="Calibri" w:cs="Calibri"/>
          <w:noProof/>
          <w:szCs w:val="24"/>
        </w:rPr>
        <w:t xml:space="preserve">Verma, S., Yadav, A. K., Motwani, D., Raw, R. S., &amp; Singh, H. K. (2016). An efficient Data Replication and Load Balancing Technique for Fog Computing Environment. </w:t>
      </w:r>
      <w:r w:rsidRPr="000F7A97">
        <w:rPr>
          <w:rFonts w:ascii="Calibri" w:hAnsi="Calibri" w:cs="Calibri"/>
          <w:i/>
          <w:iCs/>
          <w:noProof/>
          <w:szCs w:val="24"/>
        </w:rPr>
        <w:t>International Conference on Computing for Sustainable Global Development (INDIACom)</w:t>
      </w:r>
      <w:r w:rsidRPr="000F7A97">
        <w:rPr>
          <w:rFonts w:ascii="Calibri" w:hAnsi="Calibri" w:cs="Calibri"/>
          <w:noProof/>
          <w:szCs w:val="24"/>
        </w:rPr>
        <w:t>, 2888–2895.</w:t>
      </w:r>
    </w:p>
    <w:p w:rsidR="000F7A97" w:rsidRDefault="000F7A97" w:rsidP="000F7A97">
      <w:pPr>
        <w:widowControl w:val="0"/>
        <w:autoSpaceDE w:val="0"/>
        <w:autoSpaceDN w:val="0"/>
        <w:adjustRightInd w:val="0"/>
        <w:spacing w:line="240" w:lineRule="auto"/>
        <w:ind w:left="480" w:hanging="480"/>
        <w:rPr>
          <w:rFonts w:ascii="Calibri" w:hAnsi="Calibri" w:cs="Calibri"/>
          <w:noProof/>
          <w:szCs w:val="24"/>
        </w:rPr>
      </w:pPr>
      <w:r w:rsidRPr="000F7A97">
        <w:rPr>
          <w:rFonts w:ascii="Calibri" w:hAnsi="Calibri" w:cs="Calibri"/>
          <w:noProof/>
          <w:szCs w:val="24"/>
        </w:rPr>
        <w:t xml:space="preserve">Xiao, Y., &amp; Krunz, M. (2017). QoE and power efficiency tradeoff for fog computing networks with fog node cooperation. </w:t>
      </w:r>
      <w:r w:rsidRPr="000F7A97">
        <w:rPr>
          <w:rFonts w:ascii="Calibri" w:hAnsi="Calibri" w:cs="Calibri"/>
          <w:i/>
          <w:iCs/>
          <w:noProof/>
          <w:szCs w:val="24"/>
        </w:rPr>
        <w:t>IEEE INFOCOM 2017 - IEEE Conference on Computer Communications</w:t>
      </w:r>
      <w:r w:rsidRPr="000F7A97">
        <w:rPr>
          <w:rFonts w:ascii="Calibri" w:hAnsi="Calibri" w:cs="Calibri"/>
          <w:noProof/>
          <w:szCs w:val="24"/>
        </w:rPr>
        <w:t>, 1–9. https://doi.org/10.1109/INFOCOM.2017.8057196</w:t>
      </w:r>
    </w:p>
    <w:p w:rsidR="000F7A97" w:rsidRPr="000F7A97" w:rsidRDefault="000F7A97" w:rsidP="000F7A97">
      <w:pPr>
        <w:widowControl w:val="0"/>
        <w:autoSpaceDE w:val="0"/>
        <w:autoSpaceDN w:val="0"/>
        <w:adjustRightInd w:val="0"/>
        <w:spacing w:line="240" w:lineRule="auto"/>
        <w:ind w:left="480" w:hanging="480"/>
        <w:rPr>
          <w:rFonts w:ascii="Calibri" w:hAnsi="Calibri" w:cs="Calibri"/>
          <w:noProof/>
        </w:rPr>
      </w:pPr>
    </w:p>
    <w:p w:rsidR="00AA1931" w:rsidRDefault="00AA1931">
      <w:r>
        <w:fldChar w:fldCharType="end"/>
      </w:r>
    </w:p>
    <w:sectPr w:rsidR="00AA1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931"/>
    <w:rsid w:val="000F7A97"/>
    <w:rsid w:val="003E20D9"/>
    <w:rsid w:val="004B1183"/>
    <w:rsid w:val="004C22AA"/>
    <w:rsid w:val="00506523"/>
    <w:rsid w:val="00A32B25"/>
    <w:rsid w:val="00A66377"/>
    <w:rsid w:val="00AA1931"/>
    <w:rsid w:val="00D72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7DA91-397D-43DF-8CC4-64B7CC934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5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oi.org/10.1109/TCC.2015.24814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2449C-6399-416A-AC37-DC460AFD2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5616</Words>
  <Characters>32016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rao vadlamani</dc:creator>
  <cp:keywords/>
  <dc:description/>
  <cp:lastModifiedBy>srinivasa rao vadlamani</cp:lastModifiedBy>
  <cp:revision>6</cp:revision>
  <dcterms:created xsi:type="dcterms:W3CDTF">2017-11-06T09:57:00Z</dcterms:created>
  <dcterms:modified xsi:type="dcterms:W3CDTF">2017-11-06T11:58:00Z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ffcaa660-74bc-3878-9bb6-3e5cb509a40f</vt:lpwstr>
  </property>
  <property fmtid="{D5CDD505-2E9C-101B-9397-08002B2CF9AE}" pid="24" name="Mendeley Citation Style_1">
    <vt:lpwstr>http://www.zotero.org/styles/apa</vt:lpwstr>
  </property>
</Properties>
</file>