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46"/>
          <w:szCs w:val="46"/>
        </w:rPr>
      </w:pPr>
      <w:r>
        <w:rPr>
          <w:rFonts w:ascii="Arial" w:hAnsi="Arial"/>
          <w:b w:val="1"/>
          <w:bCs w:val="1"/>
          <w:sz w:val="46"/>
          <w:szCs w:val="46"/>
          <w:rtl w:val="0"/>
          <w:lang w:val="en-US"/>
        </w:rPr>
        <w:t>Incident Postmortem: Spring4Shell Exploit (CVE-2022-22965)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incident involved a series of attempted remote code execution (RCE) attacks targeting vulnerabilities (CVE-2022-22965) within the Spring Framework. The attacks were detected on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2022-03-20 03:16:34 UTC,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leveraged a flaw that allowed unauthenticated attackers to inject malicious code through crafted HTTP requests.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Stakeholders: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 Operations Team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Network Security Team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Teams 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Severity: Critical</w:t>
      </w: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Impact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potential impact of a successful Spring4Shell exploit could have been severe. Attackers could have gained unauthorized access to sensitive data, deployed malware, or disrupted critical systems.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Detection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Security Operations Team identified the attack attempts by analyzing firewall logs for suspicious traffic patterns.Specifically, logs indicated a spike in malicious POST requests targeting the /tomcatwar.jsp endpoint and containing parameters associated with the Spring4Shell exploit (e.g.,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class.module.classLoader.resources.context.parent.pipeline.first.pattern").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Root Cause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root cause of this incident was the presence of the Spring4Shell vulnerability (CVE-2022-22965) within potentially exploited applications. This vulnerability stemmed from the ability for attackers to manipulate specific Spring Framework properties, ultimately enabling RCE.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Resolution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Network Mitigation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The Network Security Team implemented a firewall rule to block incoming HTTP POST requests containing the identified malicious parameters (class.module.classLoader.resources.context.parent.pipeline.first.pattern and Runtime.getRuntime().exec) targeting the /tomcatwar.jsp endpoint.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Application Patching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The development teams were notified and coordinated patching efforts to update any vulnerable Spring Framework libraries within their applications.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Action Items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Security Awareness Training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Conduct Security Awareness training to educate personnel about the Spring4Shell vulnerability and best practices for secure coding practices.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Vulnerability Scanning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Implement automated vulnerability scanning for Spring Framework dependencies to proactively identify and address future vulnerabilities.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Penetration Testing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Conduct regular penetration testing to identify and remediate potential security weaknesses within applications.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Review Firewall Rules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Regularly review and update firewall rules to address evolving security threats and vulnerabilities.</w:t>
      </w:r>
    </w:p>
    <w:p>
      <w:pPr>
        <w:pStyle w:val="Normal (Web)"/>
        <w:spacing w:before="0" w:after="0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Lessons Learned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importance of staying informed about emerging security threats and applying security patches promptly.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effectiveness of proactive security measures such as network monitoring and vulnerability scanning.</w:t>
      </w:r>
    </w:p>
    <w:p>
      <w:pPr>
        <w:pStyle w:val="Normal (Web)"/>
        <w:numPr>
          <w:ilvl w:val="0"/>
          <w:numId w:val="2"/>
        </w:numPr>
        <w:spacing w:before="0" w:after="0"/>
        <w:rPr>
          <w:sz w:val="22"/>
          <w:szCs w:val="22"/>
          <w:lang w:val="en-US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value of collaboration between Security Operations, Network Security, and Development Teams for efficient incident response.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