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1FCAF" w14:textId="22B6ADBF" w:rsidR="002746F0" w:rsidRDefault="002746F0">
      <w:r w:rsidRPr="002746F0">
        <w:t xml:space="preserve">Deploying LLMs on Low-Power Edge Devices: Techniques, Algorithms, and RISC-V Optimizations Author: Generated by GPT-5 Thinking </w:t>
      </w:r>
      <w:proofErr w:type="gramStart"/>
      <w:r w:rsidRPr="002746F0">
        <w:t>mini Date</w:t>
      </w:r>
      <w:proofErr w:type="gramEnd"/>
      <w:r w:rsidRPr="002746F0">
        <w:t xml:space="preserve">: September 21, 2025 Abstract: This document provides an in-depth, practical guide to deploying large language models (LLMs) on constrained edge devices, with a focus on techniques that reduce inference time, memory footprint, and power consumption. It covers model compression (quantization, pruning, distillation), efficient transformer variants, runtime/kernel optimizations, and concrete RISC-V-specific hardware and ISA strategies. Additionally, it discusses tooling, benchmarking, security, and a step-by-step implementation plan for engineers targeting IoT-class hardware. 1. Introduction and problem statement Introduction and Problem Statement Running state-of-the-art LLMs on cloud servers yields excellent performance but depends on network connectivity, latency, data privacy, and operational costs. For many applications — industrial sensors, wearable devices, remote monitoring, and privacy-sensitive workloads — on-device inference is desirable or required. Edge devices impose strict constraints: limited RAM (often 64KB to a few MB for microcontrollers, up to a few GB for higher-end SoCs), tight energy budgets, lower compute (small integer ALUs, limited or no floating-point units), and reduced storage. Achieving LLM-like capabilities under these constraints requires rethinking models, runtimes, and hardware support. This document frames the problem: deliver useful language capabilities (inference, classification, retrieval-augmented responses) with acceptable latency (tens to hundreds of milliseconds where possible), minimal power draw, and a small memory footprint while maintaining privacy and robustness. The remainder of the PDF outlines approaches at the algorithmic, system, and ISA levels to meet this challenge. 2. Background — LLMs, architecture, and compute profile Background — LLMs, architecture, and compute profile </w:t>
      </w:r>
      <w:proofErr w:type="gramStart"/>
      <w:r w:rsidRPr="002746F0">
        <w:t>Large</w:t>
      </w:r>
      <w:proofErr w:type="gramEnd"/>
      <w:r w:rsidRPr="002746F0">
        <w:t xml:space="preserve"> language models are built from transformer blocks: multi-head self-attention, feed-forward networks (FFNs), normalization layers, and embeddings. The dominant computational kernels are matrix multiplications (GEMM), </w:t>
      </w:r>
      <w:proofErr w:type="spellStart"/>
      <w:r w:rsidRPr="002746F0">
        <w:t>softmax</w:t>
      </w:r>
      <w:proofErr w:type="spellEnd"/>
      <w:r w:rsidRPr="002746F0">
        <w:t xml:space="preserve"> and layer normalization. These kernels are heavy in memory bandwidth and require efficient implementation for quantized data types. Key compute characteristics: - Dominant GEMM workloads: attention and FFN layers. Memory-bound vs compute-bound: smaller models tend to be compute-bound on tiny devices, while larger layers become memory-bandwidth-bound. - Sensitivity to numerical precision: transformers often tolerate reduced precision (8-bit, 4-bit, and in some cases 2-bit quantization) when properly calibrated with quantization-aware training or post-training techniques. Understanding these traits informs which algorithmic and hardware optimizations will yield the largest real-world gains. 3. Model compression — pruning, quantization, and distillation Model compression techniques 1) Quantization </w:t>
      </w:r>
      <w:proofErr w:type="spellStart"/>
      <w:r w:rsidRPr="002746F0">
        <w:t>Quantization</w:t>
      </w:r>
      <w:proofErr w:type="spellEnd"/>
      <w:r w:rsidRPr="002746F0">
        <w:t xml:space="preserve"> maps high-precision floating values to lower bit-width integer representations. Common strategies: - Post-Training Quantization (PTQ): simple and fast, but may degrade accuracy for aggressive bit-widths. - Quantization-Aware Training (QAT): simulates quantization during training to retain accuracy. - Mixed precision:</w:t>
      </w:r>
    </w:p>
    <w:sectPr w:rsidR="00274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6F0"/>
    <w:rsid w:val="002746F0"/>
    <w:rsid w:val="00302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47E89"/>
  <w15:chartTrackingRefBased/>
  <w15:docId w15:val="{2BC48914-1027-4DA3-8AAA-DEFC91417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thriambak S</dc:creator>
  <cp:keywords/>
  <dc:description/>
  <cp:lastModifiedBy>thriambak S</cp:lastModifiedBy>
  <cp:revision>1</cp:revision>
  <dcterms:created xsi:type="dcterms:W3CDTF">2025-09-21T14:20:00Z</dcterms:created>
  <dcterms:modified xsi:type="dcterms:W3CDTF">2025-09-21T14:21:00Z</dcterms:modified>
</cp:coreProperties>
</file>