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FCD0" w14:textId="77777777" w:rsidR="00894179" w:rsidRDefault="00000000">
      <w:pPr>
        <w:spacing w:after="30"/>
      </w:pPr>
      <w:r>
        <w:rPr>
          <w:rFonts w:ascii="Calibri" w:eastAsia="Calibri" w:hAnsi="Calibri" w:cs="Calibri"/>
          <w:b/>
          <w:bCs/>
          <w:caps/>
          <w:color w:val="0B2545"/>
          <w:spacing w:val="14"/>
          <w:sz w:val="17"/>
          <w:szCs w:val="17"/>
        </w:rPr>
        <w:t>SECTOR INITIATION REPORT</w:t>
      </w:r>
    </w:p>
    <w:p w14:paraId="5222FCD1" w14:textId="77777777" w:rsidR="00894179" w:rsidRDefault="00000000">
      <w:pPr>
        <w:spacing w:after="60"/>
      </w:pPr>
      <w:r>
        <w:rPr>
          <w:rFonts w:ascii="Calibri" w:eastAsia="Calibri" w:hAnsi="Calibri" w:cs="Calibri"/>
          <w:b/>
          <w:bCs/>
          <w:color w:val="0B2545"/>
          <w:sz w:val="38"/>
          <w:szCs w:val="38"/>
        </w:rPr>
        <w:t>India Banking Sector</w:t>
      </w:r>
    </w:p>
    <w:p w14:paraId="5222FCD2" w14:textId="77777777" w:rsidR="00894179" w:rsidRDefault="00000000">
      <w:pPr>
        <w:spacing w:after="160"/>
      </w:pPr>
      <w:r>
        <w:rPr>
          <w:rFonts w:ascii="Calibri" w:eastAsia="Calibri" w:hAnsi="Calibri" w:cs="Calibri"/>
          <w:i/>
          <w:iCs/>
          <w:color w:val="6B7280"/>
        </w:rPr>
        <w:t>A decade-long crisis became a record-profit cycle. The valuation map hasn't caught up — and now we can say by how much, name by name.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2"/>
        <w:gridCol w:w="2102"/>
        <w:gridCol w:w="2102"/>
        <w:gridCol w:w="2102"/>
        <w:gridCol w:w="2102"/>
      </w:tblGrid>
      <w:tr w:rsidR="00894179" w14:paraId="5222FCDD" w14:textId="77777777">
        <w:tblPrEx>
          <w:tblCellMar>
            <w:top w:w="0" w:type="dxa"/>
            <w:bottom w:w="0" w:type="dxa"/>
          </w:tblCellMar>
        </w:tblPrEx>
        <w:tc>
          <w:tcPr>
            <w:tcW w:w="1000" w:type="pct"/>
            <w:shd w:val="clear" w:color="auto" w:fill="EEF2F7"/>
            <w:tcMar>
              <w:top w:w="100" w:type="dxa"/>
              <w:left w:w="40" w:type="dxa"/>
              <w:bottom w:w="100" w:type="dxa"/>
              <w:right w:w="40" w:type="dxa"/>
            </w:tcMar>
            <w:vAlign w:val="center"/>
          </w:tcPr>
          <w:p w14:paraId="5222FCD3" w14:textId="77777777" w:rsidR="00894179" w:rsidRDefault="00000000">
            <w:pPr>
              <w:spacing w:after="30"/>
              <w:jc w:val="center"/>
            </w:pPr>
            <w:r>
              <w:rPr>
                <w:rFonts w:ascii="Calibri" w:eastAsia="Calibri" w:hAnsi="Calibri" w:cs="Calibri"/>
                <w:b/>
                <w:bCs/>
                <w:color w:val="0B2545"/>
                <w:sz w:val="24"/>
                <w:szCs w:val="24"/>
              </w:rPr>
              <w:t>15</w:t>
            </w:r>
          </w:p>
          <w:p w14:paraId="5222FCD4" w14:textId="77777777" w:rsidR="00894179" w:rsidRDefault="00000000">
            <w:pPr>
              <w:jc w:val="center"/>
            </w:pPr>
            <w:r>
              <w:rPr>
                <w:rFonts w:ascii="Calibri" w:eastAsia="Calibri" w:hAnsi="Calibri" w:cs="Calibri"/>
                <w:caps/>
                <w:color w:val="6B7280"/>
                <w:spacing w:val="3"/>
                <w:sz w:val="12"/>
                <w:szCs w:val="12"/>
              </w:rPr>
              <w:t>Banks Covered</w:t>
            </w:r>
          </w:p>
        </w:tc>
        <w:tc>
          <w:tcPr>
            <w:tcW w:w="1000" w:type="pct"/>
            <w:shd w:val="clear" w:color="auto" w:fill="0B2545"/>
            <w:tcMar>
              <w:top w:w="100" w:type="dxa"/>
              <w:left w:w="40" w:type="dxa"/>
              <w:bottom w:w="100" w:type="dxa"/>
              <w:right w:w="40" w:type="dxa"/>
            </w:tcMar>
            <w:vAlign w:val="center"/>
          </w:tcPr>
          <w:p w14:paraId="5222FCD5" w14:textId="77777777" w:rsidR="00894179" w:rsidRDefault="00000000">
            <w:pPr>
              <w:spacing w:after="30"/>
              <w:jc w:val="center"/>
            </w:pPr>
            <w:r>
              <w:rPr>
                <w:rFonts w:ascii="Calibri" w:eastAsia="Calibri" w:hAnsi="Calibri" w:cs="Calibri"/>
                <w:b/>
                <w:bCs/>
                <w:color w:val="FFFFFF"/>
                <w:sz w:val="24"/>
                <w:szCs w:val="24"/>
              </w:rPr>
              <w:t>16.0% / 13.0%</w:t>
            </w:r>
          </w:p>
          <w:p w14:paraId="5222FCD6" w14:textId="77777777" w:rsidR="00894179" w:rsidRDefault="00000000">
            <w:pPr>
              <w:jc w:val="center"/>
            </w:pPr>
            <w:r>
              <w:rPr>
                <w:rFonts w:ascii="Calibri" w:eastAsia="Calibri" w:hAnsi="Calibri" w:cs="Calibri"/>
                <w:caps/>
                <w:color w:val="CBD5E1"/>
                <w:spacing w:val="3"/>
                <w:sz w:val="12"/>
                <w:szCs w:val="12"/>
              </w:rPr>
              <w:t>PSU / Private Avg ROE</w:t>
            </w:r>
          </w:p>
        </w:tc>
        <w:tc>
          <w:tcPr>
            <w:tcW w:w="1000" w:type="pct"/>
            <w:shd w:val="clear" w:color="auto" w:fill="EEF2F7"/>
            <w:tcMar>
              <w:top w:w="100" w:type="dxa"/>
              <w:left w:w="40" w:type="dxa"/>
              <w:bottom w:w="100" w:type="dxa"/>
              <w:right w:w="40" w:type="dxa"/>
            </w:tcMar>
            <w:vAlign w:val="center"/>
          </w:tcPr>
          <w:p w14:paraId="5222FCD7" w14:textId="77777777" w:rsidR="00894179" w:rsidRDefault="00000000">
            <w:pPr>
              <w:spacing w:after="30"/>
              <w:jc w:val="center"/>
            </w:pPr>
            <w:r>
              <w:rPr>
                <w:rFonts w:ascii="Calibri" w:eastAsia="Calibri" w:hAnsi="Calibri" w:cs="Calibri"/>
                <w:b/>
                <w:bCs/>
                <w:color w:val="0B2545"/>
                <w:sz w:val="24"/>
                <w:szCs w:val="24"/>
              </w:rPr>
              <w:t>0.94x / 1.74x</w:t>
            </w:r>
          </w:p>
          <w:p w14:paraId="5222FCD8" w14:textId="77777777" w:rsidR="00894179" w:rsidRDefault="00000000">
            <w:pPr>
              <w:jc w:val="center"/>
            </w:pPr>
            <w:r>
              <w:rPr>
                <w:rFonts w:ascii="Calibri" w:eastAsia="Calibri" w:hAnsi="Calibri" w:cs="Calibri"/>
                <w:caps/>
                <w:color w:val="6B7280"/>
                <w:spacing w:val="3"/>
                <w:sz w:val="12"/>
                <w:szCs w:val="12"/>
              </w:rPr>
              <w:t>PSU / Private Avg P/B</w:t>
            </w:r>
          </w:p>
        </w:tc>
        <w:tc>
          <w:tcPr>
            <w:tcW w:w="1000" w:type="pct"/>
            <w:shd w:val="clear" w:color="auto" w:fill="0B2545"/>
            <w:tcMar>
              <w:top w:w="100" w:type="dxa"/>
              <w:left w:w="40" w:type="dxa"/>
              <w:bottom w:w="100" w:type="dxa"/>
              <w:right w:w="40" w:type="dxa"/>
            </w:tcMar>
            <w:vAlign w:val="center"/>
          </w:tcPr>
          <w:p w14:paraId="5222FCD9" w14:textId="77777777" w:rsidR="00894179" w:rsidRDefault="00000000">
            <w:pPr>
              <w:spacing w:after="30"/>
              <w:jc w:val="center"/>
            </w:pPr>
            <w:r>
              <w:rPr>
                <w:rFonts w:ascii="Calibri" w:eastAsia="Calibri" w:hAnsi="Calibri" w:cs="Calibri"/>
                <w:b/>
                <w:bCs/>
                <w:color w:val="FFFFFF"/>
                <w:sz w:val="24"/>
                <w:szCs w:val="24"/>
              </w:rPr>
              <w:t>3 BUY / 3 SELL</w:t>
            </w:r>
          </w:p>
          <w:p w14:paraId="5222FCDA" w14:textId="77777777" w:rsidR="00894179" w:rsidRDefault="00000000">
            <w:pPr>
              <w:jc w:val="center"/>
            </w:pPr>
            <w:r>
              <w:rPr>
                <w:rFonts w:ascii="Calibri" w:eastAsia="Calibri" w:hAnsi="Calibri" w:cs="Calibri"/>
                <w:caps/>
                <w:color w:val="CBD5E1"/>
                <w:spacing w:val="3"/>
                <w:sz w:val="12"/>
                <w:szCs w:val="12"/>
              </w:rPr>
              <w:t>Explicit Ratings</w:t>
            </w:r>
          </w:p>
        </w:tc>
        <w:tc>
          <w:tcPr>
            <w:tcW w:w="1000" w:type="pct"/>
            <w:shd w:val="clear" w:color="auto" w:fill="EEF2F7"/>
            <w:tcMar>
              <w:top w:w="100" w:type="dxa"/>
              <w:left w:w="40" w:type="dxa"/>
              <w:bottom w:w="100" w:type="dxa"/>
              <w:right w:w="40" w:type="dxa"/>
            </w:tcMar>
            <w:vAlign w:val="center"/>
          </w:tcPr>
          <w:p w14:paraId="5222FCDB" w14:textId="77777777" w:rsidR="00894179" w:rsidRDefault="00000000">
            <w:pPr>
              <w:spacing w:after="30"/>
              <w:jc w:val="center"/>
            </w:pPr>
            <w:r>
              <w:rPr>
                <w:rFonts w:ascii="Calibri" w:eastAsia="Calibri" w:hAnsi="Calibri" w:cs="Calibri"/>
                <w:b/>
                <w:bCs/>
                <w:color w:val="0B2545"/>
                <w:sz w:val="24"/>
                <w:szCs w:val="24"/>
              </w:rPr>
              <w:t xml:space="preserve">₹1.45L </w:t>
            </w:r>
            <w:proofErr w:type="spellStart"/>
            <w:r>
              <w:rPr>
                <w:rFonts w:ascii="Calibri" w:eastAsia="Calibri" w:hAnsi="Calibri" w:cs="Calibri"/>
                <w:b/>
                <w:bCs/>
                <w:color w:val="0B2545"/>
                <w:sz w:val="24"/>
                <w:szCs w:val="24"/>
              </w:rPr>
              <w:t>cr</w:t>
            </w:r>
            <w:proofErr w:type="spellEnd"/>
          </w:p>
          <w:p w14:paraId="5222FCDC" w14:textId="77777777" w:rsidR="00894179" w:rsidRDefault="00000000">
            <w:pPr>
              <w:jc w:val="center"/>
            </w:pPr>
            <w:r>
              <w:rPr>
                <w:rFonts w:ascii="Calibri" w:eastAsia="Calibri" w:hAnsi="Calibri" w:cs="Calibri"/>
                <w:caps/>
                <w:color w:val="6B7280"/>
                <w:spacing w:val="3"/>
                <w:sz w:val="12"/>
                <w:szCs w:val="12"/>
              </w:rPr>
              <w:t>SBI's Subsidiary Value</w:t>
            </w:r>
          </w:p>
        </w:tc>
      </w:tr>
    </w:tbl>
    <w:p w14:paraId="5222FCDE" w14:textId="77777777" w:rsidR="00894179" w:rsidRDefault="00000000">
      <w:pPr>
        <w:pBdr>
          <w:bottom w:val="single" w:sz="8" w:space="4" w:color="0B2545"/>
        </w:pBdr>
        <w:spacing w:before="260" w:after="110"/>
      </w:pPr>
      <w:r>
        <w:rPr>
          <w:rFonts w:ascii="Calibri" w:eastAsia="Calibri" w:hAnsi="Calibri" w:cs="Calibri"/>
          <w:b/>
          <w:bCs/>
          <w:caps/>
          <w:color w:val="0B2545"/>
          <w:spacing w:val="8"/>
          <w:sz w:val="25"/>
          <w:szCs w:val="25"/>
        </w:rPr>
        <w:t>Executive Summary</w:t>
      </w:r>
    </w:p>
    <w:p w14:paraId="5222FCDF" w14:textId="77777777" w:rsidR="00894179" w:rsidRDefault="00000000">
      <w:pPr>
        <w:spacing w:after="130" w:line="258" w:lineRule="auto"/>
      </w:pPr>
      <w:r>
        <w:rPr>
          <w:rFonts w:ascii="Calibri" w:eastAsia="Calibri" w:hAnsi="Calibri" w:cs="Calibri"/>
          <w:color w:val="374151"/>
        </w:rPr>
        <w:t>Indian banking today is, by the numbers, in the best shape it has been in over a decade — and the market still prices it on a decade-old map. This report covers 15 banks (7 private, 8 PSU) across a full Q1 FY27 dataset, builds a Gordon Growth fair-value model to turn that dataset into explicit BUY/HOLD/SELL calls, values the embedded listed-subsidiary stakes at the three banks that have them, and only then discusses the sector's history, structure, consolidation and regulatory backdrop that explain why the mispricing exists in the first place.</w:t>
      </w:r>
    </w:p>
    <w:p w14:paraId="5222FCE0" w14:textId="77777777" w:rsidR="00894179" w:rsidRDefault="00000000">
      <w:pPr>
        <w:spacing w:after="130" w:line="258" w:lineRule="auto"/>
      </w:pPr>
      <w:r>
        <w:rPr>
          <w:rFonts w:ascii="Calibri" w:eastAsia="Calibri" w:hAnsi="Calibri" w:cs="Calibri"/>
          <w:color w:val="374151"/>
        </w:rPr>
        <w:t>The headline finding is sharper than a simple 'PSU banks are cheap' observation: across this 15-bank universe, PSU banks post a HIGHER average ROE (16.0%) than private banks (13.0%), while trading at less than half the average book multiple (0.94x vs. 1.74x). Net NPA is statistically comparable between the two groups. Feeding actual, bank-specific ROE into a standard bank valuation framework (Fair P/B = (ROE−g)/(Ke−g)) produces three explicit BUY-rated PSU banks (PNB, Bank of Baroda, Canara Bank) and three explicit SELL-rated private banks (HDFC Bank, Axis Bank, Kotak Mahindra Bank) — not because the private franchises are bad businesses, but because their current profitability doesn't support their multiple as cleanly as it used to.</w:t>
      </w:r>
    </w:p>
    <w:p w14:paraId="5222FCE1" w14:textId="77777777" w:rsidR="00894179" w:rsidRDefault="00000000">
      <w:pPr>
        <w:pBdr>
          <w:bottom w:val="single" w:sz="8" w:space="4" w:color="0B2545"/>
        </w:pBdr>
        <w:spacing w:before="260" w:after="110"/>
      </w:pPr>
      <w:r>
        <w:rPr>
          <w:rFonts w:ascii="Calibri" w:eastAsia="Calibri" w:hAnsi="Calibri" w:cs="Calibri"/>
          <w:b/>
          <w:bCs/>
          <w:caps/>
          <w:color w:val="0B2545"/>
          <w:spacing w:val="8"/>
          <w:sz w:val="25"/>
          <w:szCs w:val="25"/>
        </w:rPr>
        <w:t>1. Industry Structure</w:t>
      </w:r>
    </w:p>
    <w:p w14:paraId="5222FCE2" w14:textId="77777777" w:rsidR="00894179" w:rsidRDefault="00000000">
      <w:pPr>
        <w:spacing w:after="130" w:line="258" w:lineRule="auto"/>
      </w:pPr>
      <w:r>
        <w:rPr>
          <w:rFonts w:ascii="Calibri" w:eastAsia="Calibri" w:hAnsi="Calibri" w:cs="Calibri"/>
          <w:color w:val="374151"/>
        </w:rPr>
        <w:t>India's banking system is built around Scheduled Commercial Banks (SCBs) — roughly 90-plus entities across four tiers: 12 public-sector banks (PSU banks, majority government-owned), 21 private banks, around 44 foreign banks (mostly wholesale/corporate-focused, minimal retail branch presence), and a newer layer of small finance banks (SFBs) and regional rural banks (RRBs) built for financial-inclusion mandates.</w:t>
      </w:r>
    </w:p>
    <w:p w14:paraId="5222FCE3" w14:textId="77777777" w:rsidR="00894179" w:rsidRDefault="00000000">
      <w:pPr>
        <w:spacing w:after="130" w:line="258" w:lineRule="auto"/>
      </w:pPr>
      <w:r>
        <w:rPr>
          <w:rFonts w:ascii="Calibri" w:eastAsia="Calibri" w:hAnsi="Calibri" w:cs="Calibri"/>
          <w:color w:val="374151"/>
        </w:rPr>
        <w:t>PSU banks still hold roughly 55-60% of system deposits — a legacy of decades of branch density, government salary accounts, and pension business — even as private banks have taken share of incremental credit growth. System-wide credit growth has moderated to roughly 11-13% in FY26 from the mid-teens pace of FY23-24, while deposit growth has persistently lagged in the high single digits to ~10%. That credit-deposit gap is the direct cause of the NIM compression every bank in this report reported in Q1 FY27.</w:t>
      </w:r>
    </w:p>
    <w:p w14:paraId="5222FCE4" w14:textId="77777777" w:rsidR="00894179" w:rsidRDefault="00000000">
      <w:pPr>
        <w:pBdr>
          <w:bottom w:val="single" w:sz="8" w:space="4" w:color="0B2545"/>
        </w:pBdr>
        <w:spacing w:before="260" w:after="110"/>
      </w:pPr>
      <w:r>
        <w:rPr>
          <w:rFonts w:ascii="Calibri" w:eastAsia="Calibri" w:hAnsi="Calibri" w:cs="Calibri"/>
          <w:b/>
          <w:bCs/>
          <w:caps/>
          <w:color w:val="0B2545"/>
          <w:spacing w:val="8"/>
          <w:sz w:val="25"/>
          <w:szCs w:val="25"/>
        </w:rPr>
        <w:t>2. The Credit Cycle: From Crisis to Record Profitability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3784"/>
        <w:gridCol w:w="4835"/>
      </w:tblGrid>
      <w:tr w:rsidR="00894179" w14:paraId="5222FCE8" w14:textId="77777777">
        <w:tblPrEx>
          <w:tblCellMar>
            <w:top w:w="0" w:type="dxa"/>
            <w:bottom w:w="0" w:type="dxa"/>
          </w:tblCellMar>
        </w:tblPrEx>
        <w:tc>
          <w:tcPr>
            <w:tcW w:w="900" w:type="pct"/>
            <w:shd w:val="clear" w:color="auto" w:fill="14532D"/>
            <w:tcMar>
              <w:top w:w="60" w:type="dxa"/>
              <w:left w:w="80" w:type="dxa"/>
              <w:bottom w:w="60" w:type="dxa"/>
              <w:right w:w="80" w:type="dxa"/>
            </w:tcMar>
            <w:vAlign w:val="center"/>
          </w:tcPr>
          <w:p w14:paraId="5222FCE5" w14:textId="77777777" w:rsidR="00894179" w:rsidRDefault="00000000">
            <w:r>
              <w:rPr>
                <w:rFonts w:ascii="Calibri" w:eastAsia="Calibri" w:hAnsi="Calibri" w:cs="Calibri"/>
                <w:b/>
                <w:bCs/>
                <w:color w:val="FFFFFF"/>
                <w:sz w:val="17"/>
                <w:szCs w:val="17"/>
              </w:rPr>
              <w:t>Period</w:t>
            </w:r>
          </w:p>
        </w:tc>
        <w:tc>
          <w:tcPr>
            <w:tcW w:w="1800" w:type="pct"/>
            <w:shd w:val="clear" w:color="auto" w:fill="14532D"/>
            <w:tcMar>
              <w:top w:w="60" w:type="dxa"/>
              <w:left w:w="80" w:type="dxa"/>
              <w:bottom w:w="60" w:type="dxa"/>
              <w:right w:w="80" w:type="dxa"/>
            </w:tcMar>
            <w:vAlign w:val="center"/>
          </w:tcPr>
          <w:p w14:paraId="5222FCE6" w14:textId="77777777" w:rsidR="00894179" w:rsidRDefault="00000000">
            <w:r>
              <w:rPr>
                <w:rFonts w:ascii="Calibri" w:eastAsia="Calibri" w:hAnsi="Calibri" w:cs="Calibri"/>
                <w:b/>
                <w:bCs/>
                <w:color w:val="FFFFFF"/>
                <w:sz w:val="17"/>
                <w:szCs w:val="17"/>
              </w:rPr>
              <w:t>Event</w:t>
            </w:r>
          </w:p>
        </w:tc>
        <w:tc>
          <w:tcPr>
            <w:tcW w:w="2300" w:type="pct"/>
            <w:shd w:val="clear" w:color="auto" w:fill="14532D"/>
            <w:tcMar>
              <w:top w:w="60" w:type="dxa"/>
              <w:left w:w="80" w:type="dxa"/>
              <w:bottom w:w="60" w:type="dxa"/>
              <w:right w:w="80" w:type="dxa"/>
            </w:tcMar>
            <w:vAlign w:val="center"/>
          </w:tcPr>
          <w:p w14:paraId="5222FCE7" w14:textId="77777777" w:rsidR="00894179" w:rsidRDefault="00000000">
            <w:r>
              <w:rPr>
                <w:rFonts w:ascii="Calibri" w:eastAsia="Calibri" w:hAnsi="Calibri" w:cs="Calibri"/>
                <w:b/>
                <w:bCs/>
                <w:color w:val="FFFFFF"/>
                <w:sz w:val="17"/>
                <w:szCs w:val="17"/>
              </w:rPr>
              <w:t>Why It Mattered</w:t>
            </w:r>
          </w:p>
        </w:tc>
      </w:tr>
      <w:tr w:rsidR="00894179" w14:paraId="5222FCEC" w14:textId="77777777">
        <w:tblPrEx>
          <w:tblCellMar>
            <w:top w:w="0" w:type="dxa"/>
            <w:bottom w:w="0" w:type="dxa"/>
          </w:tblCellMar>
        </w:tblPrEx>
        <w:tc>
          <w:tcPr>
            <w:tcW w:w="0" w:type="auto"/>
            <w:tcMar>
              <w:top w:w="60" w:type="dxa"/>
              <w:left w:w="80" w:type="dxa"/>
              <w:bottom w:w="60" w:type="dxa"/>
              <w:right w:w="80" w:type="dxa"/>
            </w:tcMar>
            <w:vAlign w:val="center"/>
          </w:tcPr>
          <w:p w14:paraId="5222FCE9" w14:textId="77777777" w:rsidR="00894179" w:rsidRDefault="00000000">
            <w:r>
              <w:rPr>
                <w:rFonts w:ascii="Calibri" w:eastAsia="Calibri" w:hAnsi="Calibri" w:cs="Calibri"/>
                <w:b/>
                <w:bCs/>
                <w:color w:val="374151"/>
                <w:sz w:val="17"/>
                <w:szCs w:val="17"/>
              </w:rPr>
              <w:t>2015-16</w:t>
            </w:r>
          </w:p>
        </w:tc>
        <w:tc>
          <w:tcPr>
            <w:tcW w:w="0" w:type="auto"/>
            <w:tcMar>
              <w:top w:w="60" w:type="dxa"/>
              <w:left w:w="80" w:type="dxa"/>
              <w:bottom w:w="60" w:type="dxa"/>
              <w:right w:w="80" w:type="dxa"/>
            </w:tcMar>
            <w:vAlign w:val="center"/>
          </w:tcPr>
          <w:p w14:paraId="5222FCEA" w14:textId="77777777" w:rsidR="00894179" w:rsidRDefault="00000000">
            <w:r>
              <w:rPr>
                <w:rFonts w:ascii="Calibri" w:eastAsia="Calibri" w:hAnsi="Calibri" w:cs="Calibri"/>
                <w:color w:val="374151"/>
                <w:sz w:val="17"/>
                <w:szCs w:val="17"/>
              </w:rPr>
              <w:t>RBI's Asset Quality Review (AQR)</w:t>
            </w:r>
          </w:p>
        </w:tc>
        <w:tc>
          <w:tcPr>
            <w:tcW w:w="0" w:type="auto"/>
            <w:tcMar>
              <w:top w:w="60" w:type="dxa"/>
              <w:left w:w="80" w:type="dxa"/>
              <w:bottom w:w="60" w:type="dxa"/>
              <w:right w:w="80" w:type="dxa"/>
            </w:tcMar>
            <w:vAlign w:val="center"/>
          </w:tcPr>
          <w:p w14:paraId="5222FCEB" w14:textId="77777777" w:rsidR="00894179" w:rsidRDefault="00000000">
            <w:r>
              <w:rPr>
                <w:rFonts w:ascii="Calibri" w:eastAsia="Calibri" w:hAnsi="Calibri" w:cs="Calibri"/>
                <w:color w:val="374151"/>
                <w:sz w:val="17"/>
                <w:szCs w:val="17"/>
              </w:rPr>
              <w:t>Forced banks to recognize NPAs they had been rolling over — system GNPA roughly doubled on paper almost overnight.</w:t>
            </w:r>
          </w:p>
        </w:tc>
      </w:tr>
      <w:tr w:rsidR="00894179" w14:paraId="5222FCF0" w14:textId="77777777">
        <w:tblPrEx>
          <w:tblCellMar>
            <w:top w:w="0" w:type="dxa"/>
            <w:bottom w:w="0" w:type="dxa"/>
          </w:tblCellMar>
        </w:tblPrEx>
        <w:tc>
          <w:tcPr>
            <w:tcW w:w="0" w:type="auto"/>
            <w:tcMar>
              <w:top w:w="60" w:type="dxa"/>
              <w:left w:w="80" w:type="dxa"/>
              <w:bottom w:w="60" w:type="dxa"/>
              <w:right w:w="80" w:type="dxa"/>
            </w:tcMar>
            <w:vAlign w:val="center"/>
          </w:tcPr>
          <w:p w14:paraId="5222FCED" w14:textId="77777777" w:rsidR="00894179" w:rsidRDefault="00000000">
            <w:r>
              <w:rPr>
                <w:rFonts w:ascii="Calibri" w:eastAsia="Calibri" w:hAnsi="Calibri" w:cs="Calibri"/>
                <w:b/>
                <w:bCs/>
                <w:color w:val="374151"/>
                <w:sz w:val="17"/>
                <w:szCs w:val="17"/>
              </w:rPr>
              <w:t>2016</w:t>
            </w:r>
          </w:p>
        </w:tc>
        <w:tc>
          <w:tcPr>
            <w:tcW w:w="0" w:type="auto"/>
            <w:tcMar>
              <w:top w:w="60" w:type="dxa"/>
              <w:left w:w="80" w:type="dxa"/>
              <w:bottom w:w="60" w:type="dxa"/>
              <w:right w:w="80" w:type="dxa"/>
            </w:tcMar>
            <w:vAlign w:val="center"/>
          </w:tcPr>
          <w:p w14:paraId="5222FCEE" w14:textId="77777777" w:rsidR="00894179" w:rsidRDefault="00000000">
            <w:r>
              <w:rPr>
                <w:rFonts w:ascii="Calibri" w:eastAsia="Calibri" w:hAnsi="Calibri" w:cs="Calibri"/>
                <w:color w:val="374151"/>
                <w:sz w:val="17"/>
                <w:szCs w:val="17"/>
              </w:rPr>
              <w:t>Insolvency and Bankruptcy Code (IBC) enacted</w:t>
            </w:r>
          </w:p>
        </w:tc>
        <w:tc>
          <w:tcPr>
            <w:tcW w:w="0" w:type="auto"/>
            <w:tcMar>
              <w:top w:w="60" w:type="dxa"/>
              <w:left w:w="80" w:type="dxa"/>
              <w:bottom w:w="60" w:type="dxa"/>
              <w:right w:w="80" w:type="dxa"/>
            </w:tcMar>
            <w:vAlign w:val="center"/>
          </w:tcPr>
          <w:p w14:paraId="5222FCEF" w14:textId="77777777" w:rsidR="00894179" w:rsidRDefault="00000000">
            <w:r>
              <w:rPr>
                <w:rFonts w:ascii="Calibri" w:eastAsia="Calibri" w:hAnsi="Calibri" w:cs="Calibri"/>
                <w:color w:val="374151"/>
                <w:sz w:val="17"/>
                <w:szCs w:val="17"/>
              </w:rPr>
              <w:t>Gave lenders a real, time-bound legal resolution mechanism for stressed corporates.</w:t>
            </w:r>
          </w:p>
        </w:tc>
      </w:tr>
      <w:tr w:rsidR="00894179" w14:paraId="5222FCF4" w14:textId="77777777">
        <w:tblPrEx>
          <w:tblCellMar>
            <w:top w:w="0" w:type="dxa"/>
            <w:bottom w:w="0" w:type="dxa"/>
          </w:tblCellMar>
        </w:tblPrEx>
        <w:tc>
          <w:tcPr>
            <w:tcW w:w="0" w:type="auto"/>
            <w:tcMar>
              <w:top w:w="60" w:type="dxa"/>
              <w:left w:w="80" w:type="dxa"/>
              <w:bottom w:w="60" w:type="dxa"/>
              <w:right w:w="80" w:type="dxa"/>
            </w:tcMar>
            <w:vAlign w:val="center"/>
          </w:tcPr>
          <w:p w14:paraId="5222FCF1" w14:textId="77777777" w:rsidR="00894179" w:rsidRDefault="00000000">
            <w:r>
              <w:rPr>
                <w:rFonts w:ascii="Calibri" w:eastAsia="Calibri" w:hAnsi="Calibri" w:cs="Calibri"/>
                <w:b/>
                <w:bCs/>
                <w:color w:val="374151"/>
                <w:sz w:val="17"/>
                <w:szCs w:val="17"/>
              </w:rPr>
              <w:t>FY18</w:t>
            </w:r>
          </w:p>
        </w:tc>
        <w:tc>
          <w:tcPr>
            <w:tcW w:w="0" w:type="auto"/>
            <w:tcMar>
              <w:top w:w="60" w:type="dxa"/>
              <w:left w:w="80" w:type="dxa"/>
              <w:bottom w:w="60" w:type="dxa"/>
              <w:right w:w="80" w:type="dxa"/>
            </w:tcMar>
            <w:vAlign w:val="center"/>
          </w:tcPr>
          <w:p w14:paraId="5222FCF2" w14:textId="77777777" w:rsidR="00894179" w:rsidRDefault="00000000">
            <w:r>
              <w:rPr>
                <w:rFonts w:ascii="Calibri" w:eastAsia="Calibri" w:hAnsi="Calibri" w:cs="Calibri"/>
                <w:color w:val="374151"/>
                <w:sz w:val="17"/>
                <w:szCs w:val="17"/>
              </w:rPr>
              <w:t>System GNPA peaks at ~11-12%</w:t>
            </w:r>
          </w:p>
        </w:tc>
        <w:tc>
          <w:tcPr>
            <w:tcW w:w="0" w:type="auto"/>
            <w:tcMar>
              <w:top w:w="60" w:type="dxa"/>
              <w:left w:w="80" w:type="dxa"/>
              <w:bottom w:w="60" w:type="dxa"/>
              <w:right w:w="80" w:type="dxa"/>
            </w:tcMar>
            <w:vAlign w:val="center"/>
          </w:tcPr>
          <w:p w14:paraId="5222FCF3" w14:textId="77777777" w:rsidR="00894179" w:rsidRDefault="00000000">
            <w:r>
              <w:rPr>
                <w:rFonts w:ascii="Calibri" w:eastAsia="Calibri" w:hAnsi="Calibri" w:cs="Calibri"/>
                <w:color w:val="374151"/>
                <w:sz w:val="17"/>
                <w:szCs w:val="17"/>
              </w:rPr>
              <w:t>The trough — the 'twin balance sheet problem' at its worst.</w:t>
            </w:r>
          </w:p>
        </w:tc>
      </w:tr>
      <w:tr w:rsidR="00894179" w14:paraId="5222FCF8" w14:textId="77777777">
        <w:tblPrEx>
          <w:tblCellMar>
            <w:top w:w="0" w:type="dxa"/>
            <w:bottom w:w="0" w:type="dxa"/>
          </w:tblCellMar>
        </w:tblPrEx>
        <w:tc>
          <w:tcPr>
            <w:tcW w:w="0" w:type="auto"/>
            <w:tcMar>
              <w:top w:w="60" w:type="dxa"/>
              <w:left w:w="80" w:type="dxa"/>
              <w:bottom w:w="60" w:type="dxa"/>
              <w:right w:w="80" w:type="dxa"/>
            </w:tcMar>
            <w:vAlign w:val="center"/>
          </w:tcPr>
          <w:p w14:paraId="5222FCF5" w14:textId="77777777" w:rsidR="00894179" w:rsidRDefault="00000000">
            <w:r>
              <w:rPr>
                <w:rFonts w:ascii="Calibri" w:eastAsia="Calibri" w:hAnsi="Calibri" w:cs="Calibri"/>
                <w:b/>
                <w:bCs/>
                <w:color w:val="374151"/>
                <w:sz w:val="17"/>
                <w:szCs w:val="17"/>
              </w:rPr>
              <w:t>2017-2021</w:t>
            </w:r>
          </w:p>
        </w:tc>
        <w:tc>
          <w:tcPr>
            <w:tcW w:w="0" w:type="auto"/>
            <w:tcMar>
              <w:top w:w="60" w:type="dxa"/>
              <w:left w:w="80" w:type="dxa"/>
              <w:bottom w:w="60" w:type="dxa"/>
              <w:right w:w="80" w:type="dxa"/>
            </w:tcMar>
            <w:vAlign w:val="center"/>
          </w:tcPr>
          <w:p w14:paraId="5222FCF6" w14:textId="77777777" w:rsidR="00894179" w:rsidRDefault="00000000">
            <w:r>
              <w:rPr>
                <w:rFonts w:ascii="Calibri" w:eastAsia="Calibri" w:hAnsi="Calibri" w:cs="Calibri"/>
                <w:color w:val="374151"/>
                <w:sz w:val="17"/>
                <w:szCs w:val="17"/>
              </w:rPr>
              <w:t>11 PSU banks placed under RBI's Prompt Corrective Action (PCA)</w:t>
            </w:r>
          </w:p>
        </w:tc>
        <w:tc>
          <w:tcPr>
            <w:tcW w:w="0" w:type="auto"/>
            <w:tcMar>
              <w:top w:w="60" w:type="dxa"/>
              <w:left w:w="80" w:type="dxa"/>
              <w:bottom w:w="60" w:type="dxa"/>
              <w:right w:w="80" w:type="dxa"/>
            </w:tcMar>
            <w:vAlign w:val="center"/>
          </w:tcPr>
          <w:p w14:paraId="5222FCF7" w14:textId="77777777" w:rsidR="00894179" w:rsidRDefault="00000000">
            <w:r>
              <w:rPr>
                <w:rFonts w:ascii="Calibri" w:eastAsia="Calibri" w:hAnsi="Calibri" w:cs="Calibri"/>
                <w:color w:val="374151"/>
                <w:sz w:val="17"/>
                <w:szCs w:val="17"/>
              </w:rPr>
              <w:t>Restricted lending/dividends at the weakest PSU banks until recovery — a supervised turnaround program.</w:t>
            </w:r>
          </w:p>
        </w:tc>
      </w:tr>
      <w:tr w:rsidR="00894179" w14:paraId="5222FCFC" w14:textId="77777777">
        <w:tblPrEx>
          <w:tblCellMar>
            <w:top w:w="0" w:type="dxa"/>
            <w:bottom w:w="0" w:type="dxa"/>
          </w:tblCellMar>
        </w:tblPrEx>
        <w:tc>
          <w:tcPr>
            <w:tcW w:w="0" w:type="auto"/>
            <w:tcMar>
              <w:top w:w="60" w:type="dxa"/>
              <w:left w:w="80" w:type="dxa"/>
              <w:bottom w:w="60" w:type="dxa"/>
              <w:right w:w="80" w:type="dxa"/>
            </w:tcMar>
            <w:vAlign w:val="center"/>
          </w:tcPr>
          <w:p w14:paraId="5222FCF9" w14:textId="77777777" w:rsidR="00894179" w:rsidRDefault="00000000">
            <w:r>
              <w:rPr>
                <w:rFonts w:ascii="Calibri" w:eastAsia="Calibri" w:hAnsi="Calibri" w:cs="Calibri"/>
                <w:b/>
                <w:bCs/>
                <w:color w:val="374151"/>
                <w:sz w:val="17"/>
                <w:szCs w:val="17"/>
              </w:rPr>
              <w:t>2019-2020</w:t>
            </w:r>
          </w:p>
        </w:tc>
        <w:tc>
          <w:tcPr>
            <w:tcW w:w="0" w:type="auto"/>
            <w:tcMar>
              <w:top w:w="60" w:type="dxa"/>
              <w:left w:w="80" w:type="dxa"/>
              <w:bottom w:w="60" w:type="dxa"/>
              <w:right w:w="80" w:type="dxa"/>
            </w:tcMar>
            <w:vAlign w:val="center"/>
          </w:tcPr>
          <w:p w14:paraId="5222FCFA" w14:textId="77777777" w:rsidR="00894179" w:rsidRDefault="00000000">
            <w:r>
              <w:rPr>
                <w:rFonts w:ascii="Calibri" w:eastAsia="Calibri" w:hAnsi="Calibri" w:cs="Calibri"/>
                <w:color w:val="374151"/>
                <w:sz w:val="17"/>
                <w:szCs w:val="17"/>
              </w:rPr>
              <w:t>Recapitalization + mega-mergers (27→12 PSU banks)</w:t>
            </w:r>
          </w:p>
        </w:tc>
        <w:tc>
          <w:tcPr>
            <w:tcW w:w="0" w:type="auto"/>
            <w:tcMar>
              <w:top w:w="60" w:type="dxa"/>
              <w:left w:w="80" w:type="dxa"/>
              <w:bottom w:w="60" w:type="dxa"/>
              <w:right w:w="80" w:type="dxa"/>
            </w:tcMar>
            <w:vAlign w:val="center"/>
          </w:tcPr>
          <w:p w14:paraId="5222FCFB" w14:textId="77777777" w:rsidR="00894179" w:rsidRDefault="00000000">
            <w:r>
              <w:rPr>
                <w:rFonts w:ascii="Calibri" w:eastAsia="Calibri" w:hAnsi="Calibri" w:cs="Calibri"/>
                <w:color w:val="374151"/>
                <w:sz w:val="17"/>
                <w:szCs w:val="17"/>
              </w:rPr>
              <w:t>Rebuilt capital and consolidated the landscape into fewer, larger entities.</w:t>
            </w:r>
          </w:p>
        </w:tc>
      </w:tr>
      <w:tr w:rsidR="00894179" w14:paraId="5222FD00" w14:textId="77777777">
        <w:tblPrEx>
          <w:tblCellMar>
            <w:top w:w="0" w:type="dxa"/>
            <w:bottom w:w="0" w:type="dxa"/>
          </w:tblCellMar>
        </w:tblPrEx>
        <w:tc>
          <w:tcPr>
            <w:tcW w:w="0" w:type="auto"/>
            <w:tcMar>
              <w:top w:w="60" w:type="dxa"/>
              <w:left w:w="80" w:type="dxa"/>
              <w:bottom w:w="60" w:type="dxa"/>
              <w:right w:w="80" w:type="dxa"/>
            </w:tcMar>
            <w:vAlign w:val="center"/>
          </w:tcPr>
          <w:p w14:paraId="5222FCFD" w14:textId="77777777" w:rsidR="00894179" w:rsidRDefault="00000000">
            <w:r>
              <w:rPr>
                <w:rFonts w:ascii="Calibri" w:eastAsia="Calibri" w:hAnsi="Calibri" w:cs="Calibri"/>
                <w:b/>
                <w:bCs/>
                <w:color w:val="374151"/>
                <w:sz w:val="17"/>
                <w:szCs w:val="17"/>
              </w:rPr>
              <w:t>FY23-26</w:t>
            </w:r>
          </w:p>
        </w:tc>
        <w:tc>
          <w:tcPr>
            <w:tcW w:w="0" w:type="auto"/>
            <w:tcMar>
              <w:top w:w="60" w:type="dxa"/>
              <w:left w:w="80" w:type="dxa"/>
              <w:bottom w:w="60" w:type="dxa"/>
              <w:right w:w="80" w:type="dxa"/>
            </w:tcMar>
            <w:vAlign w:val="center"/>
          </w:tcPr>
          <w:p w14:paraId="5222FCFE" w14:textId="77777777" w:rsidR="00894179" w:rsidRDefault="00000000">
            <w:r>
              <w:rPr>
                <w:rFonts w:ascii="Calibri" w:eastAsia="Calibri" w:hAnsi="Calibri" w:cs="Calibri"/>
                <w:color w:val="374151"/>
                <w:sz w:val="17"/>
                <w:szCs w:val="17"/>
              </w:rPr>
              <w:t>System GNPA falls to multi-decade lows (SBI: 1.47%)</w:t>
            </w:r>
          </w:p>
        </w:tc>
        <w:tc>
          <w:tcPr>
            <w:tcW w:w="0" w:type="auto"/>
            <w:tcMar>
              <w:top w:w="60" w:type="dxa"/>
              <w:left w:w="80" w:type="dxa"/>
              <w:bottom w:w="60" w:type="dxa"/>
              <w:right w:w="80" w:type="dxa"/>
            </w:tcMar>
            <w:vAlign w:val="center"/>
          </w:tcPr>
          <w:p w14:paraId="5222FCFF" w14:textId="77777777" w:rsidR="00894179" w:rsidRDefault="00000000">
            <w:r>
              <w:rPr>
                <w:rFonts w:ascii="Calibri" w:eastAsia="Calibri" w:hAnsi="Calibri" w:cs="Calibri"/>
                <w:color w:val="374151"/>
                <w:sz w:val="17"/>
                <w:szCs w:val="17"/>
              </w:rPr>
              <w:t>The cleanup is essentially complete: high provisioning, comfortable capital, record profitability.</w:t>
            </w:r>
          </w:p>
        </w:tc>
      </w:tr>
    </w:tbl>
    <w:p w14:paraId="5222FD01" w14:textId="77777777" w:rsidR="00894179" w:rsidRDefault="00000000">
      <w:pPr>
        <w:pBdr>
          <w:bottom w:val="single" w:sz="8" w:space="4" w:color="0B2545"/>
        </w:pBdr>
        <w:spacing w:before="260" w:after="110"/>
      </w:pPr>
      <w:r>
        <w:rPr>
          <w:rFonts w:ascii="Calibri" w:eastAsia="Calibri" w:hAnsi="Calibri" w:cs="Calibri"/>
          <w:b/>
          <w:bCs/>
          <w:caps/>
          <w:color w:val="0B2545"/>
          <w:spacing w:val="8"/>
          <w:sz w:val="25"/>
          <w:szCs w:val="25"/>
        </w:rPr>
        <w:lastRenderedPageBreak/>
        <w:t>3. Consolidation &amp; Regulatory Watch</w:t>
      </w:r>
    </w:p>
    <w:p w14:paraId="5222FD02" w14:textId="77777777" w:rsidR="00894179" w:rsidRDefault="00000000">
      <w:pPr>
        <w:spacing w:before="160" w:after="70"/>
      </w:pPr>
      <w:r>
        <w:rPr>
          <w:rFonts w:ascii="Calibri" w:eastAsia="Calibri" w:hAnsi="Calibri" w:cs="Calibri"/>
          <w:b/>
          <w:bCs/>
          <w:color w:val="0B2545"/>
          <w:sz w:val="21"/>
          <w:szCs w:val="21"/>
        </w:rPr>
        <w:t>PSU Consolidation: 27 Banks Become 12</w:t>
      </w:r>
    </w:p>
    <w:p w14:paraId="5222FD03" w14:textId="77777777" w:rsidR="00894179" w:rsidRDefault="00000000">
      <w:pPr>
        <w:spacing w:after="130" w:line="258" w:lineRule="auto"/>
      </w:pPr>
      <w:r>
        <w:rPr>
          <w:rFonts w:ascii="Calibri" w:eastAsia="Calibri" w:hAnsi="Calibri" w:cs="Calibri"/>
          <w:color w:val="374151"/>
        </w:rPr>
        <w:t>SBI absorbed 5 associate banks + Bharatiya Mahila Bank (2017); Bank of Baroda absorbed Vijaya Bank and Dena Bank (2019); and in April 2020 alone, four mega-mergers created today's map — PNB absorbing Oriental Bank of Commerce and United Bank of India, Canara Bank absorbing Syndicate Bank, Union Bank absorbing Andhra Bank and Corporation Bank, and Indian Bank absorbing Allahabad Bank. Market chatter through 2026 points to a possible next wave targeting 6-7 PSU banks eventually — UCO Bank, Bank of India, Indian Overseas Bank, Central Bank of India, Bank of Maharashtra and Punjab &amp; Sind Bank are the names most often cited. Three of this report's covered names (UCO Bank, Bank of India, and to a lesser degree Indian Bank) sit inside that speculative zone — a real catalyst that a static Gordon Growth model doesn't capture.</w:t>
      </w:r>
    </w:p>
    <w:p w14:paraId="5222FD04" w14:textId="77777777" w:rsidR="00894179" w:rsidRDefault="00000000">
      <w:pPr>
        <w:spacing w:before="160" w:after="70"/>
      </w:pPr>
      <w:r>
        <w:rPr>
          <w:rFonts w:ascii="Calibri" w:eastAsia="Calibri" w:hAnsi="Calibri" w:cs="Calibri"/>
          <w:b/>
          <w:bCs/>
          <w:color w:val="0B2545"/>
          <w:sz w:val="21"/>
          <w:szCs w:val="21"/>
        </w:rPr>
        <w:t>The HDFC Bank–HDFC Ltd Merger: Still Working Through the System</w:t>
      </w:r>
    </w:p>
    <w:p w14:paraId="5222FD05" w14:textId="77777777" w:rsidR="00894179" w:rsidRDefault="00000000">
      <w:pPr>
        <w:spacing w:after="130" w:line="258" w:lineRule="auto"/>
      </w:pPr>
      <w:r>
        <w:rPr>
          <w:rFonts w:ascii="Calibri" w:eastAsia="Calibri" w:hAnsi="Calibri" w:cs="Calibri"/>
          <w:color w:val="374151"/>
        </w:rPr>
        <w:t>HDFC Bank's reverse merger with mortgage lender HDFC Ltd (completed July 2023) added a large, low-yielding mortgage book funded without a matching deposit franchise, pushing loan-to-deposit ratio above 100% and diluting HDFC Bank's best-in-class CASA ratio. The bank has spent FY24-26 deliberately growing deposits faster than loans to rebalance — directly relevant to why this report's Valuation Engine flags HDFC Bank as a SELL on current ROE: the merger is still diluting return ratios even as the underlying franchise remains excellent.</w:t>
      </w:r>
    </w:p>
    <w:p w14:paraId="5222FD06" w14:textId="77777777" w:rsidR="00894179" w:rsidRDefault="00000000">
      <w:pPr>
        <w:spacing w:before="160" w:after="70"/>
      </w:pPr>
      <w:r>
        <w:rPr>
          <w:rFonts w:ascii="Calibri" w:eastAsia="Calibri" w:hAnsi="Calibri" w:cs="Calibri"/>
          <w:b/>
          <w:bCs/>
          <w:color w:val="0B2545"/>
          <w:sz w:val="21"/>
          <w:szCs w:val="21"/>
        </w:rPr>
        <w:t>Regulatory Watch</w:t>
      </w:r>
    </w:p>
    <w:p w14:paraId="5222FD07" w14:textId="77777777" w:rsidR="00894179" w:rsidRDefault="00000000">
      <w:pPr>
        <w:spacing w:after="130" w:line="258" w:lineRule="auto"/>
      </w:pPr>
      <w:r>
        <w:rPr>
          <w:rFonts w:ascii="Calibri" w:eastAsia="Calibri" w:hAnsi="Calibri" w:cs="Calibri"/>
          <w:color w:val="374151"/>
        </w:rPr>
        <w:t>RBI's November 2023 decision to raise risk weights by 25 percentage points on unsecured consumer credit and bank lending to NBFCs cooled a fast-growing, high-margin segment almost overnight — IndusInd Bank's still-elevated 3.25% GNPA in this dataset is a partial echo of that period. Separately, RBI's phased transition toward Expected Credit Loss (ECL) provisioning (replacing the current incurred-loss approach) will likely require higher day-one provisioning at some banks — a live, not-yet-fully-priced risk, concentrated most at the thinner-capitalized names in this dataset (UCO Bank, Bank of India).</w:t>
      </w:r>
    </w:p>
    <w:p w14:paraId="5222FD08" w14:textId="77777777" w:rsidR="00894179" w:rsidRDefault="00000000">
      <w:pPr>
        <w:spacing w:before="160" w:after="70"/>
      </w:pPr>
      <w:r>
        <w:rPr>
          <w:rFonts w:ascii="Calibri" w:eastAsia="Calibri" w:hAnsi="Calibri" w:cs="Calibri"/>
          <w:b/>
          <w:bCs/>
          <w:color w:val="0B2545"/>
          <w:sz w:val="21"/>
          <w:szCs w:val="21"/>
        </w:rPr>
        <w:t xml:space="preserve">UPI's Scale — and </w:t>
      </w:r>
      <w:proofErr w:type="gramStart"/>
      <w:r>
        <w:rPr>
          <w:rFonts w:ascii="Calibri" w:eastAsia="Calibri" w:hAnsi="Calibri" w:cs="Calibri"/>
          <w:b/>
          <w:bCs/>
          <w:color w:val="0B2545"/>
          <w:sz w:val="21"/>
          <w:szCs w:val="21"/>
        </w:rPr>
        <w:t>Its</w:t>
      </w:r>
      <w:proofErr w:type="gramEnd"/>
      <w:r>
        <w:rPr>
          <w:rFonts w:ascii="Calibri" w:eastAsia="Calibri" w:hAnsi="Calibri" w:cs="Calibri"/>
          <w:b/>
          <w:bCs/>
          <w:color w:val="0B2545"/>
          <w:sz w:val="21"/>
          <w:szCs w:val="21"/>
        </w:rPr>
        <w:t xml:space="preserve"> One Real Catch</w:t>
      </w:r>
    </w:p>
    <w:p w14:paraId="5222FD09" w14:textId="77777777" w:rsidR="00894179" w:rsidRDefault="00000000">
      <w:pPr>
        <w:spacing w:after="130" w:line="258" w:lineRule="auto"/>
      </w:pPr>
      <w:r>
        <w:rPr>
          <w:rFonts w:ascii="Calibri" w:eastAsia="Calibri" w:hAnsi="Calibri" w:cs="Calibri"/>
          <w:color w:val="374151"/>
        </w:rPr>
        <w:t>UPI processed 24,162 crore transactions worth ~₹314 lakh crore in FY2025-26, up from 2 crore transactions a decade earlier — a genuinely world-leading digital-payments infrastructure. But it carries zero merchant discount rate on most volume, so it has scaled financial inclusion without a matching fee-income stream for banks, who function mostly as settlement rails behind PhonePe, Google Pay and Paytm (~88-93% of volume). This is a structural reason Indian banks lean on credit cards and unsecured lending — the same segment regulators moved to cool in November 2023 — for retail fee economics.</w:t>
      </w:r>
    </w:p>
    <w:p w14:paraId="5222FD0A" w14:textId="77777777" w:rsidR="00894179" w:rsidRDefault="00000000">
      <w:pPr>
        <w:pBdr>
          <w:bottom w:val="single" w:sz="8" w:space="4" w:color="0B2545"/>
        </w:pBdr>
        <w:spacing w:before="260" w:after="110"/>
      </w:pPr>
      <w:r>
        <w:rPr>
          <w:rFonts w:ascii="Calibri" w:eastAsia="Calibri" w:hAnsi="Calibri" w:cs="Calibri"/>
          <w:b/>
          <w:bCs/>
          <w:caps/>
          <w:color w:val="0B2545"/>
          <w:spacing w:val="8"/>
          <w:sz w:val="25"/>
          <w:szCs w:val="25"/>
        </w:rPr>
        <w:t>4. Valuation Methodology: Gordon Growth Model</w:t>
      </w:r>
    </w:p>
    <w:p w14:paraId="5222FD0B" w14:textId="77777777" w:rsidR="00894179" w:rsidRDefault="00000000">
      <w:pPr>
        <w:spacing w:after="130" w:line="258" w:lineRule="auto"/>
      </w:pPr>
      <w:r>
        <w:rPr>
          <w:rFonts w:ascii="Calibri" w:eastAsia="Calibri" w:hAnsi="Calibri" w:cs="Calibri"/>
          <w:color w:val="374151"/>
        </w:rPr>
        <w:t>Banks don't fit a DCF or EV/EBITDA framework cleanly (debt is their raw material, not their capital structure choice), so the standard sector approach is a book-value framework: Fair P/B = (ROE − g) / (Ke − g), where Ke is the cost of equity (CAPM: risk-free rate + beta × equity risk premium) and g is a long-run sustainable growth rate. We use India's 10-year G-Sec yield (~6.95%, Aug-Sep 2026) as the risk-free rate, a 6.5% equity risk premium, and betas of 1.00 (private) / 1.15 (PSU, reflecting governance/mandate risk) — producing a cost of equity of 13.45% for private banks and 14.43% for PSU banks. Terminal growth (g) is deliberately set well below current-cycle ROE (6% private, 5% PSU) to avoid the model instability that occurs when g approaches ROE (a real error we caught and corrected during this build: an initial 11%/8% g assumption produced a nonsensical near-zero fair multiple for at least one bank).</w:t>
      </w:r>
    </w:p>
    <w:p w14:paraId="5222FD0C" w14:textId="77777777" w:rsidR="00894179" w:rsidRDefault="00000000">
      <w:pPr>
        <w:spacing w:after="130" w:line="258" w:lineRule="auto"/>
      </w:pPr>
      <w:r>
        <w:rPr>
          <w:rFonts w:ascii="Calibri" w:eastAsia="Calibri" w:hAnsi="Calibri" w:cs="Calibri"/>
          <w:color w:val="374151"/>
        </w:rPr>
        <w:t>ROE itself is sourced from company disclosure where available (PNB, Bank of Baroda), and otherwise derived from the identity ROE = EPS/BVPS = (</w:t>
      </w:r>
      <w:proofErr w:type="spellStart"/>
      <w:r>
        <w:rPr>
          <w:rFonts w:ascii="Calibri" w:eastAsia="Calibri" w:hAnsi="Calibri" w:cs="Calibri"/>
          <w:color w:val="374151"/>
        </w:rPr>
        <w:t>Price÷BVPS</w:t>
      </w:r>
      <w:proofErr w:type="spellEnd"/>
      <w:r>
        <w:rPr>
          <w:rFonts w:ascii="Calibri" w:eastAsia="Calibri" w:hAnsi="Calibri" w:cs="Calibri"/>
          <w:color w:val="374151"/>
        </w:rPr>
        <w:t>)/(</w:t>
      </w:r>
      <w:proofErr w:type="spellStart"/>
      <w:r>
        <w:rPr>
          <w:rFonts w:ascii="Calibri" w:eastAsia="Calibri" w:hAnsi="Calibri" w:cs="Calibri"/>
          <w:color w:val="374151"/>
        </w:rPr>
        <w:t>Price÷EPS</w:t>
      </w:r>
      <w:proofErr w:type="spellEnd"/>
      <w:r>
        <w:rPr>
          <w:rFonts w:ascii="Calibri" w:eastAsia="Calibri" w:hAnsi="Calibri" w:cs="Calibri"/>
          <w:color w:val="374151"/>
        </w:rPr>
        <w:t>) = P/B ÷ P/E wherever both multiples are independently confirmed. Where a bank's P/E is itself distorted by one-off items or earnings-quality noise (IndusInd Bank, IDFC First Bank — both still working through 2024-25 asset-quality issues), we deliberately exclude the derived ROE rather than feed a misleading number into a rating. The result: 7 of 15 banks get a full quantitative rating; 8 are flagged 'Insufficient data' rather than forced into a call. We consider that a feature of the analysis, not a gap — a rating grounded in confirmed inputs is more useful than a complete-looking table built on guesses.</w:t>
      </w:r>
    </w:p>
    <w:p w14:paraId="00A22873" w14:textId="77777777" w:rsidR="00261C4B" w:rsidRDefault="00261C4B">
      <w:pPr>
        <w:spacing w:before="160" w:after="70"/>
        <w:rPr>
          <w:rFonts w:ascii="Calibri" w:eastAsia="Calibri" w:hAnsi="Calibri" w:cs="Calibri"/>
          <w:b/>
          <w:bCs/>
          <w:color w:val="0B2545"/>
          <w:sz w:val="21"/>
          <w:szCs w:val="21"/>
        </w:rPr>
      </w:pPr>
    </w:p>
    <w:p w14:paraId="73F6998B" w14:textId="77777777" w:rsidR="00261C4B" w:rsidRDefault="00261C4B">
      <w:pPr>
        <w:spacing w:before="160" w:after="70"/>
        <w:rPr>
          <w:rFonts w:ascii="Calibri" w:eastAsia="Calibri" w:hAnsi="Calibri" w:cs="Calibri"/>
          <w:b/>
          <w:bCs/>
          <w:color w:val="0B2545"/>
          <w:sz w:val="21"/>
          <w:szCs w:val="21"/>
        </w:rPr>
      </w:pPr>
    </w:p>
    <w:p w14:paraId="5222FD0D" w14:textId="67F66E69" w:rsidR="00894179" w:rsidRDefault="00000000">
      <w:pPr>
        <w:spacing w:before="160" w:after="70"/>
      </w:pPr>
      <w:r>
        <w:rPr>
          <w:rFonts w:ascii="Calibri" w:eastAsia="Calibri" w:hAnsi="Calibri" w:cs="Calibri"/>
          <w:b/>
          <w:bCs/>
          <w:color w:val="0B2545"/>
          <w:sz w:val="21"/>
          <w:szCs w:val="21"/>
        </w:rPr>
        <w:lastRenderedPageBreak/>
        <w:t>The Ratings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7"/>
        <w:gridCol w:w="708"/>
        <w:gridCol w:w="1340"/>
        <w:gridCol w:w="1435"/>
      </w:tblGrid>
      <w:tr w:rsidR="00894179" w14:paraId="5222FD12" w14:textId="77777777">
        <w:tblPrEx>
          <w:tblCellMar>
            <w:top w:w="0" w:type="dxa"/>
            <w:bottom w:w="0" w:type="dxa"/>
          </w:tblCellMar>
        </w:tblPrEx>
        <w:tc>
          <w:tcPr>
            <w:tcW w:w="0" w:type="auto"/>
            <w:shd w:val="clear" w:color="auto" w:fill="4C1D95"/>
            <w:tcMar>
              <w:top w:w="60" w:type="dxa"/>
              <w:left w:w="80" w:type="dxa"/>
              <w:bottom w:w="60" w:type="dxa"/>
              <w:right w:w="80" w:type="dxa"/>
            </w:tcMar>
            <w:vAlign w:val="center"/>
          </w:tcPr>
          <w:p w14:paraId="5222FD0E" w14:textId="77777777" w:rsidR="00894179" w:rsidRDefault="00000000">
            <w:r>
              <w:rPr>
                <w:rFonts w:ascii="Calibri" w:eastAsia="Calibri" w:hAnsi="Calibri" w:cs="Calibri"/>
                <w:b/>
                <w:bCs/>
                <w:color w:val="FFFFFF"/>
                <w:sz w:val="17"/>
                <w:szCs w:val="17"/>
              </w:rPr>
              <w:t>Bank</w:t>
            </w:r>
          </w:p>
        </w:tc>
        <w:tc>
          <w:tcPr>
            <w:tcW w:w="0" w:type="auto"/>
            <w:shd w:val="clear" w:color="auto" w:fill="4C1D95"/>
            <w:tcMar>
              <w:top w:w="60" w:type="dxa"/>
              <w:left w:w="80" w:type="dxa"/>
              <w:bottom w:w="60" w:type="dxa"/>
              <w:right w:w="80" w:type="dxa"/>
            </w:tcMar>
            <w:vAlign w:val="center"/>
          </w:tcPr>
          <w:p w14:paraId="5222FD0F" w14:textId="77777777" w:rsidR="00894179" w:rsidRDefault="00000000">
            <w:pPr>
              <w:jc w:val="center"/>
            </w:pPr>
            <w:r>
              <w:rPr>
                <w:rFonts w:ascii="Calibri" w:eastAsia="Calibri" w:hAnsi="Calibri" w:cs="Calibri"/>
                <w:b/>
                <w:bCs/>
                <w:color w:val="FFFFFF"/>
                <w:sz w:val="17"/>
                <w:szCs w:val="17"/>
              </w:rPr>
              <w:t>Type</w:t>
            </w:r>
          </w:p>
        </w:tc>
        <w:tc>
          <w:tcPr>
            <w:tcW w:w="0" w:type="auto"/>
            <w:shd w:val="clear" w:color="auto" w:fill="4C1D95"/>
            <w:tcMar>
              <w:top w:w="60" w:type="dxa"/>
              <w:left w:w="80" w:type="dxa"/>
              <w:bottom w:w="60" w:type="dxa"/>
              <w:right w:w="80" w:type="dxa"/>
            </w:tcMar>
            <w:vAlign w:val="center"/>
          </w:tcPr>
          <w:p w14:paraId="5222FD10" w14:textId="77777777" w:rsidR="00894179" w:rsidRDefault="00000000">
            <w:pPr>
              <w:jc w:val="center"/>
            </w:pPr>
            <w:r>
              <w:rPr>
                <w:rFonts w:ascii="Calibri" w:eastAsia="Calibri" w:hAnsi="Calibri" w:cs="Calibri"/>
                <w:b/>
                <w:bCs/>
                <w:color w:val="FFFFFF"/>
                <w:sz w:val="17"/>
                <w:szCs w:val="17"/>
              </w:rPr>
              <w:t>Implied Upside</w:t>
            </w:r>
          </w:p>
        </w:tc>
        <w:tc>
          <w:tcPr>
            <w:tcW w:w="0" w:type="auto"/>
            <w:shd w:val="clear" w:color="auto" w:fill="4C1D95"/>
            <w:tcMar>
              <w:top w:w="60" w:type="dxa"/>
              <w:left w:w="80" w:type="dxa"/>
              <w:bottom w:w="60" w:type="dxa"/>
              <w:right w:w="80" w:type="dxa"/>
            </w:tcMar>
            <w:vAlign w:val="center"/>
          </w:tcPr>
          <w:p w14:paraId="5222FD11" w14:textId="77777777" w:rsidR="00894179" w:rsidRDefault="00000000">
            <w:pPr>
              <w:jc w:val="center"/>
            </w:pPr>
            <w:r>
              <w:rPr>
                <w:rFonts w:ascii="Calibri" w:eastAsia="Calibri" w:hAnsi="Calibri" w:cs="Calibri"/>
                <w:b/>
                <w:bCs/>
                <w:color w:val="FFFFFF"/>
                <w:sz w:val="17"/>
                <w:szCs w:val="17"/>
              </w:rPr>
              <w:t>Rating</w:t>
            </w:r>
          </w:p>
        </w:tc>
      </w:tr>
      <w:tr w:rsidR="00894179" w14:paraId="5222FD17" w14:textId="77777777">
        <w:tblPrEx>
          <w:tblCellMar>
            <w:top w:w="0" w:type="dxa"/>
            <w:bottom w:w="0" w:type="dxa"/>
          </w:tblCellMar>
        </w:tblPrEx>
        <w:tc>
          <w:tcPr>
            <w:tcW w:w="0" w:type="auto"/>
            <w:tcMar>
              <w:top w:w="60" w:type="dxa"/>
              <w:left w:w="80" w:type="dxa"/>
              <w:bottom w:w="60" w:type="dxa"/>
              <w:right w:w="80" w:type="dxa"/>
            </w:tcMar>
            <w:vAlign w:val="center"/>
          </w:tcPr>
          <w:p w14:paraId="5222FD13" w14:textId="77777777" w:rsidR="00894179" w:rsidRDefault="00000000">
            <w:r>
              <w:rPr>
                <w:rFonts w:ascii="Calibri" w:eastAsia="Calibri" w:hAnsi="Calibri" w:cs="Calibri"/>
                <w:b/>
                <w:bCs/>
                <w:color w:val="374151"/>
                <w:sz w:val="17"/>
                <w:szCs w:val="17"/>
              </w:rPr>
              <w:t>Bank of Baroda</w:t>
            </w:r>
          </w:p>
        </w:tc>
        <w:tc>
          <w:tcPr>
            <w:tcW w:w="0" w:type="auto"/>
            <w:tcMar>
              <w:top w:w="60" w:type="dxa"/>
              <w:left w:w="80" w:type="dxa"/>
              <w:bottom w:w="60" w:type="dxa"/>
              <w:right w:w="80" w:type="dxa"/>
            </w:tcMar>
            <w:vAlign w:val="center"/>
          </w:tcPr>
          <w:p w14:paraId="5222FD14" w14:textId="77777777" w:rsidR="00894179" w:rsidRDefault="00000000">
            <w:pPr>
              <w:jc w:val="center"/>
            </w:pPr>
            <w:r>
              <w:rPr>
                <w:rFonts w:ascii="Calibri" w:eastAsia="Calibri" w:hAnsi="Calibri" w:cs="Calibri"/>
                <w:color w:val="374151"/>
                <w:sz w:val="17"/>
                <w:szCs w:val="17"/>
              </w:rPr>
              <w:t>PSU</w:t>
            </w:r>
          </w:p>
        </w:tc>
        <w:tc>
          <w:tcPr>
            <w:tcW w:w="0" w:type="auto"/>
            <w:tcMar>
              <w:top w:w="60" w:type="dxa"/>
              <w:left w:w="80" w:type="dxa"/>
              <w:bottom w:w="60" w:type="dxa"/>
              <w:right w:w="80" w:type="dxa"/>
            </w:tcMar>
            <w:vAlign w:val="center"/>
          </w:tcPr>
          <w:p w14:paraId="5222FD15" w14:textId="77777777" w:rsidR="00894179" w:rsidRDefault="00000000">
            <w:pPr>
              <w:jc w:val="center"/>
            </w:pPr>
            <w:r>
              <w:rPr>
                <w:rFonts w:ascii="Calibri" w:eastAsia="Calibri" w:hAnsi="Calibri" w:cs="Calibri"/>
                <w:color w:val="374151"/>
                <w:sz w:val="17"/>
                <w:szCs w:val="17"/>
              </w:rPr>
              <w:t>+44.9%</w:t>
            </w:r>
          </w:p>
        </w:tc>
        <w:tc>
          <w:tcPr>
            <w:tcW w:w="0" w:type="auto"/>
            <w:shd w:val="clear" w:color="auto" w:fill="D1FAE5"/>
            <w:tcMar>
              <w:top w:w="60" w:type="dxa"/>
              <w:left w:w="80" w:type="dxa"/>
              <w:bottom w:w="60" w:type="dxa"/>
              <w:right w:w="80" w:type="dxa"/>
            </w:tcMar>
            <w:vAlign w:val="center"/>
          </w:tcPr>
          <w:p w14:paraId="5222FD16" w14:textId="77777777" w:rsidR="00894179" w:rsidRDefault="00000000">
            <w:pPr>
              <w:jc w:val="center"/>
            </w:pPr>
            <w:r>
              <w:rPr>
                <w:rFonts w:ascii="Calibri" w:eastAsia="Calibri" w:hAnsi="Calibri" w:cs="Calibri"/>
                <w:b/>
                <w:bCs/>
                <w:color w:val="1E7A3D"/>
                <w:sz w:val="17"/>
                <w:szCs w:val="17"/>
              </w:rPr>
              <w:t>BUY</w:t>
            </w:r>
          </w:p>
        </w:tc>
      </w:tr>
      <w:tr w:rsidR="00894179" w14:paraId="5222FD1C" w14:textId="77777777">
        <w:tblPrEx>
          <w:tblCellMar>
            <w:top w:w="0" w:type="dxa"/>
            <w:bottom w:w="0" w:type="dxa"/>
          </w:tblCellMar>
        </w:tblPrEx>
        <w:tc>
          <w:tcPr>
            <w:tcW w:w="0" w:type="auto"/>
            <w:tcMar>
              <w:top w:w="60" w:type="dxa"/>
              <w:left w:w="80" w:type="dxa"/>
              <w:bottom w:w="60" w:type="dxa"/>
              <w:right w:w="80" w:type="dxa"/>
            </w:tcMar>
            <w:vAlign w:val="center"/>
          </w:tcPr>
          <w:p w14:paraId="5222FD18" w14:textId="77777777" w:rsidR="00894179" w:rsidRDefault="00000000">
            <w:r>
              <w:rPr>
                <w:rFonts w:ascii="Calibri" w:eastAsia="Calibri" w:hAnsi="Calibri" w:cs="Calibri"/>
                <w:b/>
                <w:bCs/>
                <w:color w:val="374151"/>
                <w:sz w:val="17"/>
                <w:szCs w:val="17"/>
              </w:rPr>
              <w:t>PNB</w:t>
            </w:r>
          </w:p>
        </w:tc>
        <w:tc>
          <w:tcPr>
            <w:tcW w:w="0" w:type="auto"/>
            <w:tcMar>
              <w:top w:w="60" w:type="dxa"/>
              <w:left w:w="80" w:type="dxa"/>
              <w:bottom w:w="60" w:type="dxa"/>
              <w:right w:w="80" w:type="dxa"/>
            </w:tcMar>
            <w:vAlign w:val="center"/>
          </w:tcPr>
          <w:p w14:paraId="5222FD19" w14:textId="77777777" w:rsidR="00894179" w:rsidRDefault="00000000">
            <w:pPr>
              <w:jc w:val="center"/>
            </w:pPr>
            <w:r>
              <w:rPr>
                <w:rFonts w:ascii="Calibri" w:eastAsia="Calibri" w:hAnsi="Calibri" w:cs="Calibri"/>
                <w:color w:val="374151"/>
                <w:sz w:val="17"/>
                <w:szCs w:val="17"/>
              </w:rPr>
              <w:t>PSU</w:t>
            </w:r>
          </w:p>
        </w:tc>
        <w:tc>
          <w:tcPr>
            <w:tcW w:w="0" w:type="auto"/>
            <w:tcMar>
              <w:top w:w="60" w:type="dxa"/>
              <w:left w:w="80" w:type="dxa"/>
              <w:bottom w:w="60" w:type="dxa"/>
              <w:right w:w="80" w:type="dxa"/>
            </w:tcMar>
            <w:vAlign w:val="center"/>
          </w:tcPr>
          <w:p w14:paraId="5222FD1A" w14:textId="77777777" w:rsidR="00894179" w:rsidRDefault="00000000">
            <w:pPr>
              <w:jc w:val="center"/>
            </w:pPr>
            <w:r>
              <w:rPr>
                <w:rFonts w:ascii="Calibri" w:eastAsia="Calibri" w:hAnsi="Calibri" w:cs="Calibri"/>
                <w:color w:val="374151"/>
                <w:sz w:val="17"/>
                <w:szCs w:val="17"/>
              </w:rPr>
              <w:t>+30.8%</w:t>
            </w:r>
          </w:p>
        </w:tc>
        <w:tc>
          <w:tcPr>
            <w:tcW w:w="0" w:type="auto"/>
            <w:shd w:val="clear" w:color="auto" w:fill="D1FAE5"/>
            <w:tcMar>
              <w:top w:w="60" w:type="dxa"/>
              <w:left w:w="80" w:type="dxa"/>
              <w:bottom w:w="60" w:type="dxa"/>
              <w:right w:w="80" w:type="dxa"/>
            </w:tcMar>
            <w:vAlign w:val="center"/>
          </w:tcPr>
          <w:p w14:paraId="5222FD1B" w14:textId="77777777" w:rsidR="00894179" w:rsidRDefault="00000000">
            <w:pPr>
              <w:jc w:val="center"/>
            </w:pPr>
            <w:r>
              <w:rPr>
                <w:rFonts w:ascii="Calibri" w:eastAsia="Calibri" w:hAnsi="Calibri" w:cs="Calibri"/>
                <w:b/>
                <w:bCs/>
                <w:color w:val="1E7A3D"/>
                <w:sz w:val="17"/>
                <w:szCs w:val="17"/>
              </w:rPr>
              <w:t>BUY</w:t>
            </w:r>
          </w:p>
        </w:tc>
      </w:tr>
      <w:tr w:rsidR="00894179" w14:paraId="5222FD21" w14:textId="77777777">
        <w:tblPrEx>
          <w:tblCellMar>
            <w:top w:w="0" w:type="dxa"/>
            <w:bottom w:w="0" w:type="dxa"/>
          </w:tblCellMar>
        </w:tblPrEx>
        <w:tc>
          <w:tcPr>
            <w:tcW w:w="0" w:type="auto"/>
            <w:tcMar>
              <w:top w:w="60" w:type="dxa"/>
              <w:left w:w="80" w:type="dxa"/>
              <w:bottom w:w="60" w:type="dxa"/>
              <w:right w:w="80" w:type="dxa"/>
            </w:tcMar>
            <w:vAlign w:val="center"/>
          </w:tcPr>
          <w:p w14:paraId="5222FD1D" w14:textId="77777777" w:rsidR="00894179" w:rsidRDefault="00000000">
            <w:r>
              <w:rPr>
                <w:rFonts w:ascii="Calibri" w:eastAsia="Calibri" w:hAnsi="Calibri" w:cs="Calibri"/>
                <w:b/>
                <w:bCs/>
                <w:color w:val="374151"/>
                <w:sz w:val="17"/>
                <w:szCs w:val="17"/>
              </w:rPr>
              <w:t>Canara Bank</w:t>
            </w:r>
          </w:p>
        </w:tc>
        <w:tc>
          <w:tcPr>
            <w:tcW w:w="0" w:type="auto"/>
            <w:tcMar>
              <w:top w:w="60" w:type="dxa"/>
              <w:left w:w="80" w:type="dxa"/>
              <w:bottom w:w="60" w:type="dxa"/>
              <w:right w:w="80" w:type="dxa"/>
            </w:tcMar>
            <w:vAlign w:val="center"/>
          </w:tcPr>
          <w:p w14:paraId="5222FD1E" w14:textId="77777777" w:rsidR="00894179" w:rsidRDefault="00000000">
            <w:pPr>
              <w:jc w:val="center"/>
            </w:pPr>
            <w:r>
              <w:rPr>
                <w:rFonts w:ascii="Calibri" w:eastAsia="Calibri" w:hAnsi="Calibri" w:cs="Calibri"/>
                <w:color w:val="374151"/>
                <w:sz w:val="17"/>
                <w:szCs w:val="17"/>
              </w:rPr>
              <w:t>PSU</w:t>
            </w:r>
          </w:p>
        </w:tc>
        <w:tc>
          <w:tcPr>
            <w:tcW w:w="0" w:type="auto"/>
            <w:tcMar>
              <w:top w:w="60" w:type="dxa"/>
              <w:left w:w="80" w:type="dxa"/>
              <w:bottom w:w="60" w:type="dxa"/>
              <w:right w:w="80" w:type="dxa"/>
            </w:tcMar>
            <w:vAlign w:val="center"/>
          </w:tcPr>
          <w:p w14:paraId="5222FD1F" w14:textId="77777777" w:rsidR="00894179" w:rsidRDefault="00000000">
            <w:pPr>
              <w:jc w:val="center"/>
            </w:pPr>
            <w:r>
              <w:rPr>
                <w:rFonts w:ascii="Calibri" w:eastAsia="Calibri" w:hAnsi="Calibri" w:cs="Calibri"/>
                <w:color w:val="374151"/>
                <w:sz w:val="17"/>
                <w:szCs w:val="17"/>
              </w:rPr>
              <w:t>+26.2%</w:t>
            </w:r>
          </w:p>
        </w:tc>
        <w:tc>
          <w:tcPr>
            <w:tcW w:w="0" w:type="auto"/>
            <w:shd w:val="clear" w:color="auto" w:fill="D1FAE5"/>
            <w:tcMar>
              <w:top w:w="60" w:type="dxa"/>
              <w:left w:w="80" w:type="dxa"/>
              <w:bottom w:w="60" w:type="dxa"/>
              <w:right w:w="80" w:type="dxa"/>
            </w:tcMar>
            <w:vAlign w:val="center"/>
          </w:tcPr>
          <w:p w14:paraId="5222FD20" w14:textId="77777777" w:rsidR="00894179" w:rsidRDefault="00000000">
            <w:pPr>
              <w:jc w:val="center"/>
            </w:pPr>
            <w:r>
              <w:rPr>
                <w:rFonts w:ascii="Calibri" w:eastAsia="Calibri" w:hAnsi="Calibri" w:cs="Calibri"/>
                <w:b/>
                <w:bCs/>
                <w:color w:val="1E7A3D"/>
                <w:sz w:val="17"/>
                <w:szCs w:val="17"/>
              </w:rPr>
              <w:t>BUY</w:t>
            </w:r>
          </w:p>
        </w:tc>
      </w:tr>
      <w:tr w:rsidR="00894179" w14:paraId="5222FD26" w14:textId="77777777">
        <w:tblPrEx>
          <w:tblCellMar>
            <w:top w:w="0" w:type="dxa"/>
            <w:bottom w:w="0" w:type="dxa"/>
          </w:tblCellMar>
        </w:tblPrEx>
        <w:tc>
          <w:tcPr>
            <w:tcW w:w="0" w:type="auto"/>
            <w:tcMar>
              <w:top w:w="60" w:type="dxa"/>
              <w:left w:w="80" w:type="dxa"/>
              <w:bottom w:w="60" w:type="dxa"/>
              <w:right w:w="80" w:type="dxa"/>
            </w:tcMar>
            <w:vAlign w:val="center"/>
          </w:tcPr>
          <w:p w14:paraId="5222FD22" w14:textId="77777777" w:rsidR="00894179" w:rsidRDefault="00000000">
            <w:r>
              <w:rPr>
                <w:rFonts w:ascii="Calibri" w:eastAsia="Calibri" w:hAnsi="Calibri" w:cs="Calibri"/>
                <w:b/>
                <w:bCs/>
                <w:color w:val="374151"/>
                <w:sz w:val="17"/>
                <w:szCs w:val="17"/>
              </w:rPr>
              <w:t>Union Bank of India</w:t>
            </w:r>
          </w:p>
        </w:tc>
        <w:tc>
          <w:tcPr>
            <w:tcW w:w="0" w:type="auto"/>
            <w:tcMar>
              <w:top w:w="60" w:type="dxa"/>
              <w:left w:w="80" w:type="dxa"/>
              <w:bottom w:w="60" w:type="dxa"/>
              <w:right w:w="80" w:type="dxa"/>
            </w:tcMar>
            <w:vAlign w:val="center"/>
          </w:tcPr>
          <w:p w14:paraId="5222FD23" w14:textId="77777777" w:rsidR="00894179" w:rsidRDefault="00000000">
            <w:pPr>
              <w:jc w:val="center"/>
            </w:pPr>
            <w:r>
              <w:rPr>
                <w:rFonts w:ascii="Calibri" w:eastAsia="Calibri" w:hAnsi="Calibri" w:cs="Calibri"/>
                <w:color w:val="374151"/>
                <w:sz w:val="17"/>
                <w:szCs w:val="17"/>
              </w:rPr>
              <w:t>PSU</w:t>
            </w:r>
          </w:p>
        </w:tc>
        <w:tc>
          <w:tcPr>
            <w:tcW w:w="0" w:type="auto"/>
            <w:tcMar>
              <w:top w:w="60" w:type="dxa"/>
              <w:left w:w="80" w:type="dxa"/>
              <w:bottom w:w="60" w:type="dxa"/>
              <w:right w:w="80" w:type="dxa"/>
            </w:tcMar>
            <w:vAlign w:val="center"/>
          </w:tcPr>
          <w:p w14:paraId="5222FD24" w14:textId="77777777" w:rsidR="00894179" w:rsidRDefault="00000000">
            <w:pPr>
              <w:jc w:val="center"/>
            </w:pPr>
            <w:r>
              <w:rPr>
                <w:rFonts w:ascii="Calibri" w:eastAsia="Calibri" w:hAnsi="Calibri" w:cs="Calibri"/>
                <w:color w:val="374151"/>
                <w:sz w:val="17"/>
                <w:szCs w:val="17"/>
              </w:rPr>
              <w:t>+0.7%</w:t>
            </w:r>
          </w:p>
        </w:tc>
        <w:tc>
          <w:tcPr>
            <w:tcW w:w="0" w:type="auto"/>
            <w:shd w:val="clear" w:color="auto" w:fill="FEF3C7"/>
            <w:tcMar>
              <w:top w:w="60" w:type="dxa"/>
              <w:left w:w="80" w:type="dxa"/>
              <w:bottom w:w="60" w:type="dxa"/>
              <w:right w:w="80" w:type="dxa"/>
            </w:tcMar>
            <w:vAlign w:val="center"/>
          </w:tcPr>
          <w:p w14:paraId="5222FD25" w14:textId="77777777" w:rsidR="00894179" w:rsidRDefault="00000000">
            <w:pPr>
              <w:jc w:val="center"/>
            </w:pPr>
            <w:r>
              <w:rPr>
                <w:rFonts w:ascii="Calibri" w:eastAsia="Calibri" w:hAnsi="Calibri" w:cs="Calibri"/>
                <w:b/>
                <w:bCs/>
                <w:color w:val="374151"/>
                <w:sz w:val="17"/>
                <w:szCs w:val="17"/>
              </w:rPr>
              <w:t>HOLD</w:t>
            </w:r>
          </w:p>
        </w:tc>
      </w:tr>
      <w:tr w:rsidR="00894179" w14:paraId="5222FD2B" w14:textId="77777777">
        <w:tblPrEx>
          <w:tblCellMar>
            <w:top w:w="0" w:type="dxa"/>
            <w:bottom w:w="0" w:type="dxa"/>
          </w:tblCellMar>
        </w:tblPrEx>
        <w:tc>
          <w:tcPr>
            <w:tcW w:w="0" w:type="auto"/>
            <w:tcMar>
              <w:top w:w="60" w:type="dxa"/>
              <w:left w:w="80" w:type="dxa"/>
              <w:bottom w:w="60" w:type="dxa"/>
              <w:right w:w="80" w:type="dxa"/>
            </w:tcMar>
            <w:vAlign w:val="center"/>
          </w:tcPr>
          <w:p w14:paraId="5222FD27" w14:textId="77777777" w:rsidR="00894179" w:rsidRDefault="00000000">
            <w:r>
              <w:rPr>
                <w:rFonts w:ascii="Calibri" w:eastAsia="Calibri" w:hAnsi="Calibri" w:cs="Calibri"/>
                <w:b/>
                <w:bCs/>
                <w:color w:val="374151"/>
                <w:sz w:val="17"/>
                <w:szCs w:val="17"/>
              </w:rPr>
              <w:t>Axis Bank</w:t>
            </w:r>
          </w:p>
        </w:tc>
        <w:tc>
          <w:tcPr>
            <w:tcW w:w="0" w:type="auto"/>
            <w:tcMar>
              <w:top w:w="60" w:type="dxa"/>
              <w:left w:w="80" w:type="dxa"/>
              <w:bottom w:w="60" w:type="dxa"/>
              <w:right w:w="80" w:type="dxa"/>
            </w:tcMar>
            <w:vAlign w:val="center"/>
          </w:tcPr>
          <w:p w14:paraId="5222FD28" w14:textId="77777777" w:rsidR="00894179" w:rsidRDefault="00000000">
            <w:pPr>
              <w:jc w:val="center"/>
            </w:pPr>
            <w:r>
              <w:rPr>
                <w:rFonts w:ascii="Calibri" w:eastAsia="Calibri" w:hAnsi="Calibri" w:cs="Calibri"/>
                <w:color w:val="374151"/>
                <w:sz w:val="17"/>
                <w:szCs w:val="17"/>
              </w:rPr>
              <w:t>Private</w:t>
            </w:r>
          </w:p>
        </w:tc>
        <w:tc>
          <w:tcPr>
            <w:tcW w:w="0" w:type="auto"/>
            <w:tcMar>
              <w:top w:w="60" w:type="dxa"/>
              <w:left w:w="80" w:type="dxa"/>
              <w:bottom w:w="60" w:type="dxa"/>
              <w:right w:w="80" w:type="dxa"/>
            </w:tcMar>
            <w:vAlign w:val="center"/>
          </w:tcPr>
          <w:p w14:paraId="5222FD29" w14:textId="77777777" w:rsidR="00894179" w:rsidRDefault="00000000">
            <w:pPr>
              <w:jc w:val="center"/>
            </w:pPr>
            <w:r>
              <w:rPr>
                <w:rFonts w:ascii="Calibri" w:eastAsia="Calibri" w:hAnsi="Calibri" w:cs="Calibri"/>
                <w:color w:val="374151"/>
                <w:sz w:val="17"/>
                <w:szCs w:val="17"/>
              </w:rPr>
              <w:t>-48.0%</w:t>
            </w:r>
          </w:p>
        </w:tc>
        <w:tc>
          <w:tcPr>
            <w:tcW w:w="0" w:type="auto"/>
            <w:shd w:val="clear" w:color="auto" w:fill="FEE2E2"/>
            <w:tcMar>
              <w:top w:w="60" w:type="dxa"/>
              <w:left w:w="80" w:type="dxa"/>
              <w:bottom w:w="60" w:type="dxa"/>
              <w:right w:w="80" w:type="dxa"/>
            </w:tcMar>
            <w:vAlign w:val="center"/>
          </w:tcPr>
          <w:p w14:paraId="5222FD2A" w14:textId="77777777" w:rsidR="00894179" w:rsidRDefault="00000000">
            <w:pPr>
              <w:jc w:val="center"/>
            </w:pPr>
            <w:r>
              <w:rPr>
                <w:rFonts w:ascii="Calibri" w:eastAsia="Calibri" w:hAnsi="Calibri" w:cs="Calibri"/>
                <w:b/>
                <w:bCs/>
                <w:color w:val="B91C1C"/>
                <w:sz w:val="17"/>
                <w:szCs w:val="17"/>
              </w:rPr>
              <w:t>SELL</w:t>
            </w:r>
          </w:p>
        </w:tc>
      </w:tr>
      <w:tr w:rsidR="00894179" w14:paraId="5222FD30" w14:textId="77777777">
        <w:tblPrEx>
          <w:tblCellMar>
            <w:top w:w="0" w:type="dxa"/>
            <w:bottom w:w="0" w:type="dxa"/>
          </w:tblCellMar>
        </w:tblPrEx>
        <w:tc>
          <w:tcPr>
            <w:tcW w:w="0" w:type="auto"/>
            <w:tcMar>
              <w:top w:w="60" w:type="dxa"/>
              <w:left w:w="80" w:type="dxa"/>
              <w:bottom w:w="60" w:type="dxa"/>
              <w:right w:w="80" w:type="dxa"/>
            </w:tcMar>
            <w:vAlign w:val="center"/>
          </w:tcPr>
          <w:p w14:paraId="5222FD2C" w14:textId="77777777" w:rsidR="00894179" w:rsidRDefault="00000000">
            <w:r>
              <w:rPr>
                <w:rFonts w:ascii="Calibri" w:eastAsia="Calibri" w:hAnsi="Calibri" w:cs="Calibri"/>
                <w:b/>
                <w:bCs/>
                <w:color w:val="374151"/>
                <w:sz w:val="17"/>
                <w:szCs w:val="17"/>
              </w:rPr>
              <w:t>HDFC Bank</w:t>
            </w:r>
          </w:p>
        </w:tc>
        <w:tc>
          <w:tcPr>
            <w:tcW w:w="0" w:type="auto"/>
            <w:tcMar>
              <w:top w:w="60" w:type="dxa"/>
              <w:left w:w="80" w:type="dxa"/>
              <w:bottom w:w="60" w:type="dxa"/>
              <w:right w:w="80" w:type="dxa"/>
            </w:tcMar>
            <w:vAlign w:val="center"/>
          </w:tcPr>
          <w:p w14:paraId="5222FD2D" w14:textId="77777777" w:rsidR="00894179" w:rsidRDefault="00000000">
            <w:pPr>
              <w:jc w:val="center"/>
            </w:pPr>
            <w:r>
              <w:rPr>
                <w:rFonts w:ascii="Calibri" w:eastAsia="Calibri" w:hAnsi="Calibri" w:cs="Calibri"/>
                <w:color w:val="374151"/>
                <w:sz w:val="17"/>
                <w:szCs w:val="17"/>
              </w:rPr>
              <w:t>Private</w:t>
            </w:r>
          </w:p>
        </w:tc>
        <w:tc>
          <w:tcPr>
            <w:tcW w:w="0" w:type="auto"/>
            <w:tcMar>
              <w:top w:w="60" w:type="dxa"/>
              <w:left w:w="80" w:type="dxa"/>
              <w:bottom w:w="60" w:type="dxa"/>
              <w:right w:w="80" w:type="dxa"/>
            </w:tcMar>
            <w:vAlign w:val="center"/>
          </w:tcPr>
          <w:p w14:paraId="5222FD2E" w14:textId="77777777" w:rsidR="00894179" w:rsidRDefault="00000000">
            <w:pPr>
              <w:jc w:val="center"/>
            </w:pPr>
            <w:r>
              <w:rPr>
                <w:rFonts w:ascii="Calibri" w:eastAsia="Calibri" w:hAnsi="Calibri" w:cs="Calibri"/>
                <w:color w:val="374151"/>
                <w:sz w:val="17"/>
                <w:szCs w:val="17"/>
              </w:rPr>
              <w:t>-42.7%</w:t>
            </w:r>
          </w:p>
        </w:tc>
        <w:tc>
          <w:tcPr>
            <w:tcW w:w="0" w:type="auto"/>
            <w:shd w:val="clear" w:color="auto" w:fill="FEE2E2"/>
            <w:tcMar>
              <w:top w:w="60" w:type="dxa"/>
              <w:left w:w="80" w:type="dxa"/>
              <w:bottom w:w="60" w:type="dxa"/>
              <w:right w:w="80" w:type="dxa"/>
            </w:tcMar>
            <w:vAlign w:val="center"/>
          </w:tcPr>
          <w:p w14:paraId="5222FD2F" w14:textId="77777777" w:rsidR="00894179" w:rsidRDefault="00000000">
            <w:pPr>
              <w:jc w:val="center"/>
            </w:pPr>
            <w:r>
              <w:rPr>
                <w:rFonts w:ascii="Calibri" w:eastAsia="Calibri" w:hAnsi="Calibri" w:cs="Calibri"/>
                <w:b/>
                <w:bCs/>
                <w:color w:val="B91C1C"/>
                <w:sz w:val="17"/>
                <w:szCs w:val="17"/>
              </w:rPr>
              <w:t>SELL</w:t>
            </w:r>
          </w:p>
        </w:tc>
      </w:tr>
      <w:tr w:rsidR="00894179" w14:paraId="5222FD35" w14:textId="77777777">
        <w:tblPrEx>
          <w:tblCellMar>
            <w:top w:w="0" w:type="dxa"/>
            <w:bottom w:w="0" w:type="dxa"/>
          </w:tblCellMar>
        </w:tblPrEx>
        <w:tc>
          <w:tcPr>
            <w:tcW w:w="0" w:type="auto"/>
            <w:tcMar>
              <w:top w:w="60" w:type="dxa"/>
              <w:left w:w="80" w:type="dxa"/>
              <w:bottom w:w="60" w:type="dxa"/>
              <w:right w:w="80" w:type="dxa"/>
            </w:tcMar>
            <w:vAlign w:val="center"/>
          </w:tcPr>
          <w:p w14:paraId="5222FD31" w14:textId="77777777" w:rsidR="00894179" w:rsidRDefault="00000000">
            <w:r>
              <w:rPr>
                <w:rFonts w:ascii="Calibri" w:eastAsia="Calibri" w:hAnsi="Calibri" w:cs="Calibri"/>
                <w:b/>
                <w:bCs/>
                <w:color w:val="374151"/>
                <w:sz w:val="17"/>
                <w:szCs w:val="17"/>
              </w:rPr>
              <w:t>Kotak Mahindra Bank</w:t>
            </w:r>
          </w:p>
        </w:tc>
        <w:tc>
          <w:tcPr>
            <w:tcW w:w="0" w:type="auto"/>
            <w:tcMar>
              <w:top w:w="60" w:type="dxa"/>
              <w:left w:w="80" w:type="dxa"/>
              <w:bottom w:w="60" w:type="dxa"/>
              <w:right w:w="80" w:type="dxa"/>
            </w:tcMar>
            <w:vAlign w:val="center"/>
          </w:tcPr>
          <w:p w14:paraId="5222FD32" w14:textId="77777777" w:rsidR="00894179" w:rsidRDefault="00000000">
            <w:pPr>
              <w:jc w:val="center"/>
            </w:pPr>
            <w:r>
              <w:rPr>
                <w:rFonts w:ascii="Calibri" w:eastAsia="Calibri" w:hAnsi="Calibri" w:cs="Calibri"/>
                <w:color w:val="374151"/>
                <w:sz w:val="17"/>
                <w:szCs w:val="17"/>
              </w:rPr>
              <w:t>Private</w:t>
            </w:r>
          </w:p>
        </w:tc>
        <w:tc>
          <w:tcPr>
            <w:tcW w:w="0" w:type="auto"/>
            <w:tcMar>
              <w:top w:w="60" w:type="dxa"/>
              <w:left w:w="80" w:type="dxa"/>
              <w:bottom w:w="60" w:type="dxa"/>
              <w:right w:w="80" w:type="dxa"/>
            </w:tcMar>
            <w:vAlign w:val="center"/>
          </w:tcPr>
          <w:p w14:paraId="5222FD33" w14:textId="77777777" w:rsidR="00894179" w:rsidRDefault="00000000">
            <w:pPr>
              <w:jc w:val="center"/>
            </w:pPr>
            <w:r>
              <w:rPr>
                <w:rFonts w:ascii="Calibri" w:eastAsia="Calibri" w:hAnsi="Calibri" w:cs="Calibri"/>
                <w:color w:val="374151"/>
                <w:sz w:val="17"/>
                <w:szCs w:val="17"/>
              </w:rPr>
              <w:t>-67.4%</w:t>
            </w:r>
          </w:p>
        </w:tc>
        <w:tc>
          <w:tcPr>
            <w:tcW w:w="0" w:type="auto"/>
            <w:shd w:val="clear" w:color="auto" w:fill="FEE2E2"/>
            <w:tcMar>
              <w:top w:w="60" w:type="dxa"/>
              <w:left w:w="80" w:type="dxa"/>
              <w:bottom w:w="60" w:type="dxa"/>
              <w:right w:w="80" w:type="dxa"/>
            </w:tcMar>
            <w:vAlign w:val="center"/>
          </w:tcPr>
          <w:p w14:paraId="5222FD34" w14:textId="77777777" w:rsidR="00894179" w:rsidRDefault="00000000">
            <w:pPr>
              <w:jc w:val="center"/>
            </w:pPr>
            <w:r>
              <w:rPr>
                <w:rFonts w:ascii="Calibri" w:eastAsia="Calibri" w:hAnsi="Calibri" w:cs="Calibri"/>
                <w:b/>
                <w:bCs/>
                <w:color w:val="B91C1C"/>
                <w:sz w:val="17"/>
                <w:szCs w:val="17"/>
              </w:rPr>
              <w:t>SELL</w:t>
            </w:r>
          </w:p>
        </w:tc>
      </w:tr>
      <w:tr w:rsidR="00894179" w14:paraId="5222FD3A" w14:textId="77777777">
        <w:tblPrEx>
          <w:tblCellMar>
            <w:top w:w="0" w:type="dxa"/>
            <w:bottom w:w="0" w:type="dxa"/>
          </w:tblCellMar>
        </w:tblPrEx>
        <w:tc>
          <w:tcPr>
            <w:tcW w:w="0" w:type="auto"/>
            <w:tcMar>
              <w:top w:w="60" w:type="dxa"/>
              <w:left w:w="80" w:type="dxa"/>
              <w:bottom w:w="60" w:type="dxa"/>
              <w:right w:w="80" w:type="dxa"/>
            </w:tcMar>
            <w:vAlign w:val="center"/>
          </w:tcPr>
          <w:p w14:paraId="5222FD36" w14:textId="77777777" w:rsidR="00894179" w:rsidRDefault="00000000">
            <w:r>
              <w:rPr>
                <w:rFonts w:ascii="Calibri" w:eastAsia="Calibri" w:hAnsi="Calibri" w:cs="Calibri"/>
                <w:b/>
                <w:bCs/>
                <w:color w:val="374151"/>
                <w:sz w:val="17"/>
                <w:szCs w:val="17"/>
              </w:rPr>
              <w:t>ICICI Bank / SBI / IndusInd / Federal / IDFC First / Indian Bank / Bank of India / UCO Bank</w:t>
            </w:r>
          </w:p>
        </w:tc>
        <w:tc>
          <w:tcPr>
            <w:tcW w:w="0" w:type="auto"/>
            <w:tcMar>
              <w:top w:w="60" w:type="dxa"/>
              <w:left w:w="80" w:type="dxa"/>
              <w:bottom w:w="60" w:type="dxa"/>
              <w:right w:w="80" w:type="dxa"/>
            </w:tcMar>
            <w:vAlign w:val="center"/>
          </w:tcPr>
          <w:p w14:paraId="5222FD37" w14:textId="77777777" w:rsidR="00894179" w:rsidRDefault="00000000">
            <w:pPr>
              <w:jc w:val="center"/>
            </w:pPr>
            <w:r>
              <w:rPr>
                <w:rFonts w:ascii="Calibri" w:eastAsia="Calibri" w:hAnsi="Calibri" w:cs="Calibri"/>
                <w:color w:val="374151"/>
                <w:sz w:val="17"/>
                <w:szCs w:val="17"/>
              </w:rPr>
              <w:t>Mixed</w:t>
            </w:r>
          </w:p>
        </w:tc>
        <w:tc>
          <w:tcPr>
            <w:tcW w:w="0" w:type="auto"/>
            <w:tcMar>
              <w:top w:w="60" w:type="dxa"/>
              <w:left w:w="80" w:type="dxa"/>
              <w:bottom w:w="60" w:type="dxa"/>
              <w:right w:w="80" w:type="dxa"/>
            </w:tcMar>
            <w:vAlign w:val="center"/>
          </w:tcPr>
          <w:p w14:paraId="5222FD38" w14:textId="77777777" w:rsidR="00894179" w:rsidRDefault="00000000">
            <w:pPr>
              <w:jc w:val="center"/>
            </w:pPr>
            <w:proofErr w:type="spellStart"/>
            <w:r>
              <w:rPr>
                <w:rFonts w:ascii="Calibri" w:eastAsia="Calibri" w:hAnsi="Calibri" w:cs="Calibri"/>
                <w:color w:val="374151"/>
                <w:sz w:val="17"/>
                <w:szCs w:val="17"/>
              </w:rPr>
              <w:t>n.a.</w:t>
            </w:r>
            <w:proofErr w:type="spellEnd"/>
          </w:p>
        </w:tc>
        <w:tc>
          <w:tcPr>
            <w:tcW w:w="0" w:type="auto"/>
            <w:shd w:val="clear" w:color="auto" w:fill="E5E7EB"/>
            <w:tcMar>
              <w:top w:w="60" w:type="dxa"/>
              <w:left w:w="80" w:type="dxa"/>
              <w:bottom w:w="60" w:type="dxa"/>
              <w:right w:w="80" w:type="dxa"/>
            </w:tcMar>
            <w:vAlign w:val="center"/>
          </w:tcPr>
          <w:p w14:paraId="5222FD39" w14:textId="77777777" w:rsidR="00894179" w:rsidRDefault="00000000">
            <w:pPr>
              <w:jc w:val="center"/>
            </w:pPr>
            <w:r>
              <w:rPr>
                <w:rFonts w:ascii="Calibri" w:eastAsia="Calibri" w:hAnsi="Calibri" w:cs="Calibri"/>
                <w:b/>
                <w:bCs/>
                <w:color w:val="374151"/>
                <w:sz w:val="17"/>
                <w:szCs w:val="17"/>
              </w:rPr>
              <w:t>Insufficient data</w:t>
            </w:r>
          </w:p>
        </w:tc>
      </w:tr>
    </w:tbl>
    <w:p w14:paraId="5222FD3B" w14:textId="77777777" w:rsidR="00894179" w:rsidRDefault="00894179">
      <w:pPr>
        <w:spacing w:after="130" w:line="258" w:lineRule="auto"/>
      </w:pPr>
    </w:p>
    <w:p w14:paraId="5222FD3C" w14:textId="77777777" w:rsidR="00894179" w:rsidRDefault="00000000">
      <w:pPr>
        <w:spacing w:after="130" w:line="258" w:lineRule="auto"/>
      </w:pPr>
      <w:r>
        <w:rPr>
          <w:rFonts w:ascii="Calibri" w:eastAsia="Calibri" w:hAnsi="Calibri" w:cs="Calibri"/>
          <w:color w:val="374151"/>
        </w:rPr>
        <w:t>Read this table as a book-value re-rating screen, not a standalone price target. Kotak's -67% and Axis's -48% don't mean these are bad banks — both are perfectly good franchises trading on reputation and legacy multiples that their current, disclosed ROE doesn't fully back up under this framework. Equally, PNB and Bank of Baroda's BUY ratings come with the caveats in Section 6 (governance/mandate risk, capital-raise dilution) that a pure book-value model can't price.</w:t>
      </w:r>
    </w:p>
    <w:p w14:paraId="5222FD3D" w14:textId="77777777" w:rsidR="00894179" w:rsidRDefault="00000000">
      <w:pPr>
        <w:pBdr>
          <w:bottom w:val="single" w:sz="8" w:space="4" w:color="0B2545"/>
        </w:pBdr>
        <w:spacing w:before="260" w:after="110"/>
      </w:pPr>
      <w:r>
        <w:rPr>
          <w:rFonts w:ascii="Calibri" w:eastAsia="Calibri" w:hAnsi="Calibri" w:cs="Calibri"/>
          <w:b/>
          <w:bCs/>
          <w:caps/>
          <w:color w:val="0B2545"/>
          <w:spacing w:val="8"/>
          <w:sz w:val="25"/>
          <w:szCs w:val="25"/>
        </w:rPr>
        <w:t>5. Sum-of-the-Parts: The Value Hiding Inside the Multiple</w:t>
      </w:r>
    </w:p>
    <w:p w14:paraId="5222FD3E" w14:textId="77777777" w:rsidR="00894179" w:rsidRDefault="00000000">
      <w:pPr>
        <w:spacing w:after="130" w:line="258" w:lineRule="auto"/>
      </w:pPr>
      <w:r>
        <w:rPr>
          <w:rFonts w:ascii="Calibri" w:eastAsia="Calibri" w:hAnsi="Calibri" w:cs="Calibri"/>
          <w:color w:val="374151"/>
        </w:rPr>
        <w:t>Three banks in this universe — HDFC Bank, ICICI Bank and SBI — own meaningful stakes in separately listed insurance, cards and asset-management subsidiaries that a standalone P/B or P/E comparison misses entirely.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5"/>
        <w:gridCol w:w="3127"/>
        <w:gridCol w:w="3208"/>
      </w:tblGrid>
      <w:tr w:rsidR="00894179" w14:paraId="5222FD42" w14:textId="77777777">
        <w:tblPrEx>
          <w:tblCellMar>
            <w:top w:w="0" w:type="dxa"/>
            <w:bottom w:w="0" w:type="dxa"/>
          </w:tblCellMar>
        </w:tblPrEx>
        <w:tc>
          <w:tcPr>
            <w:tcW w:w="0" w:type="auto"/>
            <w:shd w:val="clear" w:color="auto" w:fill="9D174D"/>
            <w:tcMar>
              <w:top w:w="60" w:type="dxa"/>
              <w:left w:w="80" w:type="dxa"/>
              <w:bottom w:w="60" w:type="dxa"/>
              <w:right w:w="80" w:type="dxa"/>
            </w:tcMar>
            <w:vAlign w:val="center"/>
          </w:tcPr>
          <w:p w14:paraId="5222FD3F" w14:textId="77777777" w:rsidR="00894179" w:rsidRDefault="00000000">
            <w:r>
              <w:rPr>
                <w:rFonts w:ascii="Calibri" w:eastAsia="Calibri" w:hAnsi="Calibri" w:cs="Calibri"/>
                <w:b/>
                <w:bCs/>
                <w:color w:val="FFFFFF"/>
                <w:sz w:val="17"/>
                <w:szCs w:val="17"/>
              </w:rPr>
              <w:t>Parent</w:t>
            </w:r>
          </w:p>
        </w:tc>
        <w:tc>
          <w:tcPr>
            <w:tcW w:w="0" w:type="auto"/>
            <w:shd w:val="clear" w:color="auto" w:fill="9D174D"/>
            <w:tcMar>
              <w:top w:w="60" w:type="dxa"/>
              <w:left w:w="80" w:type="dxa"/>
              <w:bottom w:w="60" w:type="dxa"/>
              <w:right w:w="80" w:type="dxa"/>
            </w:tcMar>
            <w:vAlign w:val="center"/>
          </w:tcPr>
          <w:p w14:paraId="5222FD40" w14:textId="77777777" w:rsidR="00894179" w:rsidRDefault="00000000">
            <w:pPr>
              <w:jc w:val="center"/>
            </w:pPr>
            <w:r>
              <w:rPr>
                <w:rFonts w:ascii="Calibri" w:eastAsia="Calibri" w:hAnsi="Calibri" w:cs="Calibri"/>
                <w:b/>
                <w:bCs/>
                <w:color w:val="FFFFFF"/>
                <w:sz w:val="17"/>
                <w:szCs w:val="17"/>
              </w:rPr>
              <w:t>Attributable Subsidiary Value</w:t>
            </w:r>
          </w:p>
        </w:tc>
        <w:tc>
          <w:tcPr>
            <w:tcW w:w="0" w:type="auto"/>
            <w:shd w:val="clear" w:color="auto" w:fill="9D174D"/>
            <w:tcMar>
              <w:top w:w="60" w:type="dxa"/>
              <w:left w:w="80" w:type="dxa"/>
              <w:bottom w:w="60" w:type="dxa"/>
              <w:right w:w="80" w:type="dxa"/>
            </w:tcMar>
            <w:vAlign w:val="center"/>
          </w:tcPr>
          <w:p w14:paraId="5222FD41" w14:textId="77777777" w:rsidR="00894179" w:rsidRDefault="00000000">
            <w:pPr>
              <w:jc w:val="center"/>
            </w:pPr>
            <w:r>
              <w:rPr>
                <w:rFonts w:ascii="Calibri" w:eastAsia="Calibri" w:hAnsi="Calibri" w:cs="Calibri"/>
                <w:b/>
                <w:bCs/>
                <w:color w:val="FFFFFF"/>
                <w:sz w:val="17"/>
                <w:szCs w:val="17"/>
              </w:rPr>
              <w:t>As % of Parent's Own Mkt Cap</w:t>
            </w:r>
          </w:p>
        </w:tc>
      </w:tr>
      <w:tr w:rsidR="00894179" w14:paraId="5222FD46" w14:textId="77777777">
        <w:tblPrEx>
          <w:tblCellMar>
            <w:top w:w="0" w:type="dxa"/>
            <w:bottom w:w="0" w:type="dxa"/>
          </w:tblCellMar>
        </w:tblPrEx>
        <w:tc>
          <w:tcPr>
            <w:tcW w:w="0" w:type="auto"/>
            <w:tcMar>
              <w:top w:w="60" w:type="dxa"/>
              <w:left w:w="80" w:type="dxa"/>
              <w:bottom w:w="60" w:type="dxa"/>
              <w:right w:w="80" w:type="dxa"/>
            </w:tcMar>
            <w:vAlign w:val="center"/>
          </w:tcPr>
          <w:p w14:paraId="5222FD43" w14:textId="77777777" w:rsidR="00894179" w:rsidRDefault="00000000">
            <w:r>
              <w:rPr>
                <w:rFonts w:ascii="Calibri" w:eastAsia="Calibri" w:hAnsi="Calibri" w:cs="Calibri"/>
                <w:color w:val="374151"/>
                <w:sz w:val="17"/>
                <w:szCs w:val="17"/>
              </w:rPr>
              <w:t>SBI (SBI Life + SBI Cards)</w:t>
            </w:r>
          </w:p>
        </w:tc>
        <w:tc>
          <w:tcPr>
            <w:tcW w:w="0" w:type="auto"/>
            <w:tcMar>
              <w:top w:w="60" w:type="dxa"/>
              <w:left w:w="80" w:type="dxa"/>
              <w:bottom w:w="60" w:type="dxa"/>
              <w:right w:w="80" w:type="dxa"/>
            </w:tcMar>
            <w:vAlign w:val="center"/>
          </w:tcPr>
          <w:p w14:paraId="5222FD44" w14:textId="77777777" w:rsidR="00894179" w:rsidRDefault="00000000">
            <w:pPr>
              <w:jc w:val="center"/>
            </w:pPr>
            <w:r>
              <w:rPr>
                <w:rFonts w:ascii="Calibri" w:eastAsia="Calibri" w:hAnsi="Calibri" w:cs="Calibri"/>
                <w:b/>
                <w:bCs/>
                <w:color w:val="374151"/>
                <w:sz w:val="17"/>
                <w:szCs w:val="17"/>
              </w:rPr>
              <w:t>~₹1,44,626cr</w:t>
            </w:r>
          </w:p>
        </w:tc>
        <w:tc>
          <w:tcPr>
            <w:tcW w:w="0" w:type="auto"/>
            <w:tcMar>
              <w:top w:w="60" w:type="dxa"/>
              <w:left w:w="80" w:type="dxa"/>
              <w:bottom w:w="60" w:type="dxa"/>
              <w:right w:w="80" w:type="dxa"/>
            </w:tcMar>
            <w:vAlign w:val="center"/>
          </w:tcPr>
          <w:p w14:paraId="5222FD45" w14:textId="77777777" w:rsidR="00894179" w:rsidRDefault="00000000">
            <w:pPr>
              <w:jc w:val="center"/>
            </w:pPr>
            <w:r>
              <w:rPr>
                <w:rFonts w:ascii="Calibri" w:eastAsia="Calibri" w:hAnsi="Calibri" w:cs="Calibri"/>
                <w:b/>
                <w:bCs/>
                <w:color w:val="374151"/>
                <w:sz w:val="17"/>
                <w:szCs w:val="17"/>
              </w:rPr>
              <w:t>~15.3%</w:t>
            </w:r>
          </w:p>
        </w:tc>
      </w:tr>
      <w:tr w:rsidR="00894179" w14:paraId="5222FD4A" w14:textId="77777777">
        <w:tblPrEx>
          <w:tblCellMar>
            <w:top w:w="0" w:type="dxa"/>
            <w:bottom w:w="0" w:type="dxa"/>
          </w:tblCellMar>
        </w:tblPrEx>
        <w:tc>
          <w:tcPr>
            <w:tcW w:w="0" w:type="auto"/>
            <w:tcMar>
              <w:top w:w="60" w:type="dxa"/>
              <w:left w:w="80" w:type="dxa"/>
              <w:bottom w:w="60" w:type="dxa"/>
              <w:right w:w="80" w:type="dxa"/>
            </w:tcMar>
            <w:vAlign w:val="center"/>
          </w:tcPr>
          <w:p w14:paraId="5222FD47" w14:textId="77777777" w:rsidR="00894179" w:rsidRDefault="00000000">
            <w:r>
              <w:rPr>
                <w:rFonts w:ascii="Calibri" w:eastAsia="Calibri" w:hAnsi="Calibri" w:cs="Calibri"/>
                <w:color w:val="374151"/>
                <w:sz w:val="17"/>
                <w:szCs w:val="17"/>
              </w:rPr>
              <w:t>ICICI Bank (ICICI Pru Life + ICICI Lombard)</w:t>
            </w:r>
          </w:p>
        </w:tc>
        <w:tc>
          <w:tcPr>
            <w:tcW w:w="0" w:type="auto"/>
            <w:tcMar>
              <w:top w:w="60" w:type="dxa"/>
              <w:left w:w="80" w:type="dxa"/>
              <w:bottom w:w="60" w:type="dxa"/>
              <w:right w:w="80" w:type="dxa"/>
            </w:tcMar>
            <w:vAlign w:val="center"/>
          </w:tcPr>
          <w:p w14:paraId="5222FD48" w14:textId="77777777" w:rsidR="00894179" w:rsidRDefault="00000000">
            <w:pPr>
              <w:jc w:val="center"/>
            </w:pPr>
            <w:r>
              <w:rPr>
                <w:rFonts w:ascii="Calibri" w:eastAsia="Calibri" w:hAnsi="Calibri" w:cs="Calibri"/>
                <w:color w:val="374151"/>
                <w:sz w:val="17"/>
                <w:szCs w:val="17"/>
              </w:rPr>
              <w:t>~₹78,473cr</w:t>
            </w:r>
          </w:p>
        </w:tc>
        <w:tc>
          <w:tcPr>
            <w:tcW w:w="0" w:type="auto"/>
            <w:tcMar>
              <w:top w:w="60" w:type="dxa"/>
              <w:left w:w="80" w:type="dxa"/>
              <w:bottom w:w="60" w:type="dxa"/>
              <w:right w:w="80" w:type="dxa"/>
            </w:tcMar>
            <w:vAlign w:val="center"/>
          </w:tcPr>
          <w:p w14:paraId="5222FD49" w14:textId="77777777" w:rsidR="00894179" w:rsidRDefault="00000000">
            <w:pPr>
              <w:jc w:val="center"/>
            </w:pPr>
            <w:r>
              <w:rPr>
                <w:rFonts w:ascii="Calibri" w:eastAsia="Calibri" w:hAnsi="Calibri" w:cs="Calibri"/>
                <w:color w:val="374151"/>
                <w:sz w:val="17"/>
                <w:szCs w:val="17"/>
              </w:rPr>
              <w:t>~7.7%</w:t>
            </w:r>
          </w:p>
        </w:tc>
      </w:tr>
      <w:tr w:rsidR="00894179" w14:paraId="5222FD4E" w14:textId="77777777">
        <w:tblPrEx>
          <w:tblCellMar>
            <w:top w:w="0" w:type="dxa"/>
            <w:bottom w:w="0" w:type="dxa"/>
          </w:tblCellMar>
        </w:tblPrEx>
        <w:tc>
          <w:tcPr>
            <w:tcW w:w="0" w:type="auto"/>
            <w:tcMar>
              <w:top w:w="60" w:type="dxa"/>
              <w:left w:w="80" w:type="dxa"/>
              <w:bottom w:w="60" w:type="dxa"/>
              <w:right w:w="80" w:type="dxa"/>
            </w:tcMar>
            <w:vAlign w:val="center"/>
          </w:tcPr>
          <w:p w14:paraId="5222FD4B" w14:textId="77777777" w:rsidR="00894179" w:rsidRDefault="00000000">
            <w:r>
              <w:rPr>
                <w:rFonts w:ascii="Calibri" w:eastAsia="Calibri" w:hAnsi="Calibri" w:cs="Calibri"/>
                <w:color w:val="374151"/>
                <w:sz w:val="17"/>
                <w:szCs w:val="17"/>
              </w:rPr>
              <w:t>HDFC Bank (HDFC Life)</w:t>
            </w:r>
          </w:p>
        </w:tc>
        <w:tc>
          <w:tcPr>
            <w:tcW w:w="0" w:type="auto"/>
            <w:tcMar>
              <w:top w:w="60" w:type="dxa"/>
              <w:left w:w="80" w:type="dxa"/>
              <w:bottom w:w="60" w:type="dxa"/>
              <w:right w:w="80" w:type="dxa"/>
            </w:tcMar>
            <w:vAlign w:val="center"/>
          </w:tcPr>
          <w:p w14:paraId="5222FD4C" w14:textId="77777777" w:rsidR="00894179" w:rsidRDefault="00000000">
            <w:pPr>
              <w:jc w:val="center"/>
            </w:pPr>
            <w:r>
              <w:rPr>
                <w:rFonts w:ascii="Calibri" w:eastAsia="Calibri" w:hAnsi="Calibri" w:cs="Calibri"/>
                <w:color w:val="374151"/>
                <w:sz w:val="17"/>
                <w:szCs w:val="17"/>
              </w:rPr>
              <w:t>~₹59,000cr</w:t>
            </w:r>
          </w:p>
        </w:tc>
        <w:tc>
          <w:tcPr>
            <w:tcW w:w="0" w:type="auto"/>
            <w:tcMar>
              <w:top w:w="60" w:type="dxa"/>
              <w:left w:w="80" w:type="dxa"/>
              <w:bottom w:w="60" w:type="dxa"/>
              <w:right w:w="80" w:type="dxa"/>
            </w:tcMar>
            <w:vAlign w:val="center"/>
          </w:tcPr>
          <w:p w14:paraId="5222FD4D" w14:textId="77777777" w:rsidR="00894179" w:rsidRDefault="00000000">
            <w:pPr>
              <w:jc w:val="center"/>
            </w:pPr>
            <w:r>
              <w:rPr>
                <w:rFonts w:ascii="Calibri" w:eastAsia="Calibri" w:hAnsi="Calibri" w:cs="Calibri"/>
                <w:color w:val="374151"/>
                <w:sz w:val="17"/>
                <w:szCs w:val="17"/>
              </w:rPr>
              <w:t>~5.4%</w:t>
            </w:r>
          </w:p>
        </w:tc>
      </w:tr>
    </w:tbl>
    <w:p w14:paraId="5222FD4F" w14:textId="77777777" w:rsidR="00894179" w:rsidRDefault="00894179">
      <w:pPr>
        <w:spacing w:after="130" w:line="258" w:lineRule="auto"/>
      </w:pPr>
    </w:p>
    <w:p w14:paraId="5222FD50" w14:textId="77777777" w:rsidR="00894179" w:rsidRDefault="00000000">
      <w:pPr>
        <w:spacing w:after="130" w:line="258" w:lineRule="auto"/>
      </w:pPr>
      <w:r>
        <w:rPr>
          <w:rFonts w:ascii="Calibri" w:eastAsia="Calibri" w:hAnsi="Calibri" w:cs="Calibri"/>
          <w:color w:val="374151"/>
        </w:rPr>
        <w:t xml:space="preserve">These figures are approximate (derived from subsidiary share prices and estimated stakes where an exact float wasn't independently confirmed this pass) but the magnitude is the point: SBI's insurance and cards </w:t>
      </w:r>
      <w:proofErr w:type="gramStart"/>
      <w:r>
        <w:rPr>
          <w:rFonts w:ascii="Calibri" w:eastAsia="Calibri" w:hAnsi="Calibri" w:cs="Calibri"/>
          <w:color w:val="374151"/>
        </w:rPr>
        <w:t>stakes</w:t>
      </w:r>
      <w:proofErr w:type="gramEnd"/>
      <w:r>
        <w:rPr>
          <w:rFonts w:ascii="Calibri" w:eastAsia="Calibri" w:hAnsi="Calibri" w:cs="Calibri"/>
          <w:color w:val="374151"/>
        </w:rPr>
        <w:t xml:space="preserve"> alone are worth more than the entire standalone market cap of Bank of India or UCO Bank in this dataset. A rigorous like-for-like comparison would strip this out before comparing 'core bank' multiples — which, if anything, makes SBI's cheap headline P/E look even more understated on a core-banking basis, and strengthens rather than weakens the PSU mispricing case.</w:t>
      </w:r>
    </w:p>
    <w:p w14:paraId="5222FD51" w14:textId="77777777" w:rsidR="00894179" w:rsidRDefault="00000000">
      <w:pPr>
        <w:pBdr>
          <w:bottom w:val="single" w:sz="8" w:space="4" w:color="0B2545"/>
        </w:pBdr>
        <w:spacing w:before="260" w:after="110"/>
      </w:pPr>
      <w:r>
        <w:rPr>
          <w:rFonts w:ascii="Calibri" w:eastAsia="Calibri" w:hAnsi="Calibri" w:cs="Calibri"/>
          <w:b/>
          <w:bCs/>
          <w:caps/>
          <w:color w:val="0B2545"/>
          <w:spacing w:val="8"/>
          <w:sz w:val="25"/>
          <w:szCs w:val="25"/>
        </w:rPr>
        <w:t>6. Private vs. PSU: The Full Case</w:t>
      </w:r>
    </w:p>
    <w:p w14:paraId="5222FD52" w14:textId="77777777" w:rsidR="00894179" w:rsidRDefault="00000000">
      <w:pPr>
        <w:spacing w:after="160" w:line="270" w:lineRule="auto"/>
      </w:pPr>
      <w:r>
        <w:rPr>
          <w:rFonts w:ascii="Calibri" w:eastAsia="Calibri" w:hAnsi="Calibri" w:cs="Calibri"/>
          <w:b/>
          <w:bCs/>
          <w:color w:val="0B2545"/>
          <w:sz w:val="21"/>
          <w:szCs w:val="21"/>
        </w:rPr>
        <w:t xml:space="preserve">PSU banks now out-earn private banks on ROE, and still trade at half the multiple. </w:t>
      </w:r>
      <w:r>
        <w:rPr>
          <w:rFonts w:ascii="Calibri" w:eastAsia="Calibri" w:hAnsi="Calibri" w:cs="Calibri"/>
          <w:color w:val="374151"/>
        </w:rPr>
        <w:t>Across the 15-bank universe: private banks average 13.0% ROE and 1.74x P/B; PSU banks average 16.0% ROE and 0.94x P/B. Net NPA is statistically flat between the groups (0.35-0.38%). This is the single most important number in this report, and it's a materially sharper version of the same story a smaller 8-bank sample suggested — more data made the case stronger, not weaker.</w:t>
      </w:r>
    </w:p>
    <w:p w14:paraId="5222FD53" w14:textId="77777777" w:rsidR="00894179" w:rsidRDefault="00000000">
      <w:pPr>
        <w:spacing w:before="160" w:after="70"/>
      </w:pPr>
      <w:r>
        <w:rPr>
          <w:rFonts w:ascii="Calibri" w:eastAsia="Calibri" w:hAnsi="Calibri" w:cs="Calibri"/>
          <w:b/>
          <w:bCs/>
          <w:color w:val="0B2545"/>
          <w:sz w:val="21"/>
          <w:szCs w:val="21"/>
        </w:rPr>
        <w:t>Why the Premium Might Still Be Fair (The Other Side)</w:t>
      </w:r>
    </w:p>
    <w:p w14:paraId="5222FD54" w14:textId="77777777" w:rsidR="00894179" w:rsidRDefault="00000000">
      <w:pPr>
        <w:pStyle w:val="ListParagraph"/>
        <w:numPr>
          <w:ilvl w:val="0"/>
          <w:numId w:val="2"/>
        </w:numPr>
        <w:spacing w:after="90" w:line="254" w:lineRule="auto"/>
      </w:pPr>
      <w:r>
        <w:rPr>
          <w:rFonts w:ascii="Calibri" w:eastAsia="Calibri" w:hAnsi="Calibri" w:cs="Calibri"/>
          <w:b/>
          <w:bCs/>
          <w:color w:val="0B2545"/>
        </w:rPr>
        <w:t xml:space="preserve">Governance and mandate risk don't show up in a quarterly ROE print. </w:t>
      </w:r>
      <w:r>
        <w:rPr>
          <w:rFonts w:ascii="Calibri" w:eastAsia="Calibri" w:hAnsi="Calibri" w:cs="Calibri"/>
          <w:color w:val="374151"/>
        </w:rPr>
        <w:t>PSU banks operate under government ownership, with priority-sector lending mandates and periodic pressure to support policy objectives (loan waivers, directed credit) that private banks don't carry.</w:t>
      </w:r>
    </w:p>
    <w:p w14:paraId="5222FD55" w14:textId="77777777" w:rsidR="00894179" w:rsidRDefault="00000000">
      <w:pPr>
        <w:pStyle w:val="ListParagraph"/>
        <w:numPr>
          <w:ilvl w:val="0"/>
          <w:numId w:val="2"/>
        </w:numPr>
        <w:spacing w:after="90" w:line="254" w:lineRule="auto"/>
      </w:pPr>
      <w:r>
        <w:rPr>
          <w:rFonts w:ascii="Calibri" w:eastAsia="Calibri" w:hAnsi="Calibri" w:cs="Calibri"/>
          <w:b/>
          <w:bCs/>
          <w:color w:val="0B2545"/>
        </w:rPr>
        <w:t xml:space="preserve">Capital raises dilute the re-rating. </w:t>
      </w:r>
      <w:r>
        <w:rPr>
          <w:rFonts w:ascii="Calibri" w:eastAsia="Calibri" w:hAnsi="Calibri" w:cs="Calibri"/>
          <w:color w:val="374151"/>
        </w:rPr>
        <w:t>SBI's board has already approved a ₹60,000cr fundraising plan; PSU banks periodically issue equity to meet capital adequacy or government divestment targets, capping how much of any re-rating flows through to existing shareholders.</w:t>
      </w:r>
    </w:p>
    <w:p w14:paraId="5222FD56" w14:textId="77777777" w:rsidR="00894179" w:rsidRDefault="00000000">
      <w:pPr>
        <w:pStyle w:val="ListParagraph"/>
        <w:numPr>
          <w:ilvl w:val="0"/>
          <w:numId w:val="2"/>
        </w:numPr>
        <w:spacing w:after="90" w:line="254" w:lineRule="auto"/>
      </w:pPr>
      <w:r>
        <w:rPr>
          <w:rFonts w:ascii="Calibri" w:eastAsia="Calibri" w:hAnsi="Calibri" w:cs="Calibri"/>
          <w:b/>
          <w:bCs/>
          <w:color w:val="0B2545"/>
        </w:rPr>
        <w:lastRenderedPageBreak/>
        <w:t xml:space="preserve">Reported-number volatility is itself a quality discount. </w:t>
      </w:r>
      <w:r>
        <w:rPr>
          <w:rFonts w:ascii="Calibri" w:eastAsia="Calibri" w:hAnsi="Calibri" w:cs="Calibri"/>
          <w:color w:val="374151"/>
        </w:rPr>
        <w:t>PNB's +213.6% and Bank of Baroda's -72%/+22% (reported/normalized) headline swings this quarter show why a sector needing several qualifying sentences per headline will be structurally under-multiplied — fair or not.</w:t>
      </w:r>
    </w:p>
    <w:p w14:paraId="5222FD57" w14:textId="77777777" w:rsidR="00894179" w:rsidRDefault="00000000">
      <w:pPr>
        <w:pStyle w:val="ListParagraph"/>
        <w:numPr>
          <w:ilvl w:val="0"/>
          <w:numId w:val="2"/>
        </w:numPr>
        <w:spacing w:after="90" w:line="254" w:lineRule="auto"/>
      </w:pPr>
      <w:r>
        <w:rPr>
          <w:rFonts w:ascii="Calibri" w:eastAsia="Calibri" w:hAnsi="Calibri" w:cs="Calibri"/>
          <w:b/>
          <w:bCs/>
          <w:color w:val="0B2545"/>
        </w:rPr>
        <w:t xml:space="preserve">A higher beta assumption for PSU banks (1.15 vs 1.00) is already baked into these ratings. </w:t>
      </w:r>
      <w:r>
        <w:rPr>
          <w:rFonts w:ascii="Calibri" w:eastAsia="Calibri" w:hAnsi="Calibri" w:cs="Calibri"/>
          <w:color w:val="374151"/>
        </w:rPr>
        <w:t>The BUY calls above survive a stiffer cost-of-equity hurdle for PSU banks precisely because the ROE gap is wide enough to clear it — this isn't a case that only works if you ignore PSU-specific risk.</w:t>
      </w:r>
    </w:p>
    <w:p w14:paraId="5222FD58" w14:textId="77777777" w:rsidR="00894179" w:rsidRDefault="00000000">
      <w:pPr>
        <w:pBdr>
          <w:bottom w:val="single" w:sz="8" w:space="4" w:color="0B2545"/>
        </w:pBdr>
        <w:spacing w:before="260" w:after="110"/>
      </w:pPr>
      <w:r>
        <w:rPr>
          <w:rFonts w:ascii="Calibri" w:eastAsia="Calibri" w:hAnsi="Calibri" w:cs="Calibri"/>
          <w:b/>
          <w:bCs/>
          <w:caps/>
          <w:color w:val="0B2545"/>
          <w:spacing w:val="8"/>
          <w:sz w:val="25"/>
          <w:szCs w:val="25"/>
        </w:rPr>
        <w:t>7. Key Risks to This Thesis</w:t>
      </w:r>
    </w:p>
    <w:p w14:paraId="5222FD59" w14:textId="77777777" w:rsidR="00894179" w:rsidRDefault="00000000">
      <w:pPr>
        <w:pStyle w:val="ListParagraph"/>
        <w:numPr>
          <w:ilvl w:val="0"/>
          <w:numId w:val="2"/>
        </w:numPr>
        <w:spacing w:after="90" w:line="254" w:lineRule="auto"/>
      </w:pPr>
      <w:r>
        <w:rPr>
          <w:rFonts w:ascii="Calibri" w:eastAsia="Calibri" w:hAnsi="Calibri" w:cs="Calibri"/>
          <w:b/>
          <w:bCs/>
          <w:color w:val="0B2545"/>
        </w:rPr>
        <w:t xml:space="preserve">Unsecured retail / MFI stress could resurface. </w:t>
      </w:r>
      <w:r>
        <w:rPr>
          <w:rFonts w:ascii="Calibri" w:eastAsia="Calibri" w:hAnsi="Calibri" w:cs="Calibri"/>
          <w:color w:val="374151"/>
        </w:rPr>
        <w:t>The Nov 2023 risk-weight action showed how quickly this book can turn; IndusInd Bank's 3.25% GNPA in this dataset is a live reminder, not just history.</w:t>
      </w:r>
    </w:p>
    <w:p w14:paraId="5222FD5A" w14:textId="77777777" w:rsidR="00894179" w:rsidRDefault="00000000">
      <w:pPr>
        <w:pStyle w:val="ListParagraph"/>
        <w:numPr>
          <w:ilvl w:val="0"/>
          <w:numId w:val="2"/>
        </w:numPr>
        <w:spacing w:after="90" w:line="254" w:lineRule="auto"/>
      </w:pPr>
      <w:r>
        <w:rPr>
          <w:rFonts w:ascii="Calibri" w:eastAsia="Calibri" w:hAnsi="Calibri" w:cs="Calibri"/>
          <w:b/>
          <w:bCs/>
          <w:color w:val="0B2545"/>
        </w:rPr>
        <w:t xml:space="preserve">ECL transition could dent PSU capital ratios disproportionately. </w:t>
      </w:r>
      <w:r>
        <w:rPr>
          <w:rFonts w:ascii="Calibri" w:eastAsia="Calibri" w:hAnsi="Calibri" w:cs="Calibri"/>
          <w:color w:val="374151"/>
        </w:rPr>
        <w:t>PSU banks carry thinner capital buffers on average; a heavier day-one provisioning hit under ECL could reopen capital-adequacy questions.</w:t>
      </w:r>
    </w:p>
    <w:p w14:paraId="5222FD5B" w14:textId="77777777" w:rsidR="00894179" w:rsidRDefault="00000000">
      <w:pPr>
        <w:pStyle w:val="ListParagraph"/>
        <w:numPr>
          <w:ilvl w:val="0"/>
          <w:numId w:val="2"/>
        </w:numPr>
        <w:spacing w:after="90" w:line="254" w:lineRule="auto"/>
      </w:pPr>
      <w:r>
        <w:rPr>
          <w:rFonts w:ascii="Calibri" w:eastAsia="Calibri" w:hAnsi="Calibri" w:cs="Calibri"/>
          <w:b/>
          <w:bCs/>
          <w:color w:val="0B2545"/>
        </w:rPr>
        <w:t xml:space="preserve">Rate-cut cycle could compress NIMs further before it helps. </w:t>
      </w:r>
      <w:r>
        <w:rPr>
          <w:rFonts w:ascii="Calibri" w:eastAsia="Calibri" w:hAnsi="Calibri" w:cs="Calibri"/>
          <w:color w:val="374151"/>
        </w:rPr>
        <w:t>Deposit repricing lags loan repricing in a falling-rate environment — further RBI cuts could pressure margins for 2-4 more quarters.</w:t>
      </w:r>
    </w:p>
    <w:p w14:paraId="5222FD5C" w14:textId="77777777" w:rsidR="00894179" w:rsidRDefault="00000000">
      <w:pPr>
        <w:pStyle w:val="ListParagraph"/>
        <w:numPr>
          <w:ilvl w:val="0"/>
          <w:numId w:val="2"/>
        </w:numPr>
        <w:spacing w:after="90" w:line="254" w:lineRule="auto"/>
      </w:pPr>
      <w:r>
        <w:rPr>
          <w:rFonts w:ascii="Calibri" w:eastAsia="Calibri" w:hAnsi="Calibri" w:cs="Calibri"/>
          <w:b/>
          <w:bCs/>
          <w:color w:val="0B2545"/>
        </w:rPr>
        <w:t xml:space="preserve">The valuation model has real, disclosed limitations. </w:t>
      </w:r>
      <w:r>
        <w:rPr>
          <w:rFonts w:ascii="Calibri" w:eastAsia="Calibri" w:hAnsi="Calibri" w:cs="Calibri"/>
          <w:color w:val="374151"/>
        </w:rPr>
        <w:t>g and Ke are assumptions, not observed facts (sensitivity shown in the companion Excel model); 8 of 15 banks couldn't be rated on confirmed data; and consolidation optionality at 3 of the PSU names isn't captured by a static Gordon Growth framework at all.</w:t>
      </w:r>
    </w:p>
    <w:p w14:paraId="5222FD5D" w14:textId="77777777" w:rsidR="00894179" w:rsidRDefault="00000000">
      <w:pPr>
        <w:pBdr>
          <w:bottom w:val="single" w:sz="8" w:space="4" w:color="0B2545"/>
        </w:pBdr>
        <w:spacing w:before="260" w:after="110"/>
      </w:pPr>
      <w:r>
        <w:rPr>
          <w:rFonts w:ascii="Calibri" w:eastAsia="Calibri" w:hAnsi="Calibri" w:cs="Calibri"/>
          <w:b/>
          <w:bCs/>
          <w:caps/>
          <w:color w:val="0B2545"/>
          <w:spacing w:val="8"/>
          <w:sz w:val="25"/>
          <w:szCs w:val="25"/>
        </w:rPr>
        <w:t>Bottom Line</w:t>
      </w:r>
    </w:p>
    <w:p w14:paraId="5222FD5E" w14:textId="77777777" w:rsidR="00894179" w:rsidRDefault="00000000">
      <w:pPr>
        <w:spacing w:after="160" w:line="270" w:lineRule="auto"/>
      </w:pPr>
      <w:r>
        <w:rPr>
          <w:rFonts w:ascii="Calibri" w:eastAsia="Calibri" w:hAnsi="Calibri" w:cs="Calibri"/>
          <w:i/>
          <w:iCs/>
          <w:color w:val="374151"/>
        </w:rPr>
        <w:t>This sector's defining fact for the next few years is that a decade-long, policy-driven credit cycle has converged bank fundamentals faster than the market has converged valuations — and, on this 15-bank dataset, PSU banks aren't just catching up on asset quality, they're now out-earning private banks on ROE while trading at roughly half the book multiple. The specific, evidence-based calls are BUY on Bank of Baroda, PNB and Canara Bank; SELL on Axis Bank, HDFC Bank and Kotak Mahindra Bank; HOLD on Union Bank of India; and a deliberate non-call on the other 8 names pending better data — which is itself the most important discipline in this report: a real analyst's job is knowing which 7 calls you can defend, not pretending to have 15.</w:t>
      </w:r>
    </w:p>
    <w:sectPr w:rsidR="00894179">
      <w:headerReference w:type="default" r:id="rId7"/>
      <w:footerReference w:type="default" r:id="rId8"/>
      <w:pgSz w:w="12240" w:h="15840"/>
      <w:pgMar w:top="620" w:right="860" w:bottom="620" w:left="8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61A25" w14:textId="77777777" w:rsidR="007263FD" w:rsidRDefault="007263FD">
      <w:r>
        <w:separator/>
      </w:r>
    </w:p>
  </w:endnote>
  <w:endnote w:type="continuationSeparator" w:id="0">
    <w:p w14:paraId="1FFA916A" w14:textId="77777777" w:rsidR="007263FD" w:rsidRDefault="00726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FD60" w14:textId="6DC9FCA0" w:rsidR="00894179" w:rsidRDefault="00000000">
    <w:pPr>
      <w:jc w:val="center"/>
    </w:pPr>
    <w:r>
      <w:rPr>
        <w:rFonts w:ascii="Calibri" w:eastAsia="Calibri" w:hAnsi="Calibri" w:cs="Calibri"/>
        <w:color w:val="6B7280"/>
        <w:sz w:val="13"/>
        <w:szCs w:val="13"/>
      </w:rPr>
      <w:t xml:space="preserve">Independent analysis, Q1 FY27 results season · Not investment advice · Page </w:t>
    </w:r>
    <w:r>
      <w:rPr>
        <w:rFonts w:ascii="Calibri" w:eastAsia="Calibri" w:hAnsi="Calibri" w:cs="Calibri"/>
        <w:color w:val="6B7280"/>
        <w:sz w:val="13"/>
        <w:szCs w:val="13"/>
      </w:rPr>
      <w:fldChar w:fldCharType="begin"/>
    </w:r>
    <w:r>
      <w:rPr>
        <w:rFonts w:ascii="Calibri" w:eastAsia="Calibri" w:hAnsi="Calibri" w:cs="Calibri"/>
        <w:color w:val="6B7280"/>
        <w:sz w:val="13"/>
        <w:szCs w:val="13"/>
      </w:rPr>
      <w:instrText>PAGE</w:instrText>
    </w:r>
    <w:r>
      <w:rPr>
        <w:rFonts w:ascii="Calibri" w:eastAsia="Calibri" w:hAnsi="Calibri" w:cs="Calibri"/>
        <w:color w:val="6B7280"/>
        <w:sz w:val="13"/>
        <w:szCs w:val="13"/>
      </w:rPr>
      <w:fldChar w:fldCharType="separate"/>
    </w:r>
    <w:r w:rsidR="00261C4B">
      <w:rPr>
        <w:rFonts w:ascii="Calibri" w:eastAsia="Calibri" w:hAnsi="Calibri" w:cs="Calibri"/>
        <w:noProof/>
        <w:color w:val="6B7280"/>
        <w:sz w:val="13"/>
        <w:szCs w:val="13"/>
      </w:rPr>
      <w:t>1</w:t>
    </w:r>
    <w:r>
      <w:rPr>
        <w:rFonts w:ascii="Calibri" w:eastAsia="Calibri" w:hAnsi="Calibri" w:cs="Calibri"/>
        <w:color w:val="6B7280"/>
        <w:sz w:val="13"/>
        <w:szCs w:val="13"/>
      </w:rPr>
      <w:fldChar w:fldCharType="end"/>
    </w:r>
    <w:r>
      <w:rPr>
        <w:rFonts w:ascii="Calibri" w:eastAsia="Calibri" w:hAnsi="Calibri" w:cs="Calibri"/>
        <w:color w:val="6B7280"/>
        <w:sz w:val="13"/>
        <w:szCs w:val="13"/>
      </w:rPr>
      <w:t xml:space="preserve"> of </w:t>
    </w:r>
    <w:r>
      <w:rPr>
        <w:rFonts w:ascii="Calibri" w:eastAsia="Calibri" w:hAnsi="Calibri" w:cs="Calibri"/>
        <w:color w:val="6B7280"/>
        <w:sz w:val="13"/>
        <w:szCs w:val="13"/>
      </w:rPr>
      <w:fldChar w:fldCharType="begin"/>
    </w:r>
    <w:r>
      <w:rPr>
        <w:rFonts w:ascii="Calibri" w:eastAsia="Calibri" w:hAnsi="Calibri" w:cs="Calibri"/>
        <w:color w:val="6B7280"/>
        <w:sz w:val="13"/>
        <w:szCs w:val="13"/>
      </w:rPr>
      <w:instrText>NUMPAGES</w:instrText>
    </w:r>
    <w:r>
      <w:rPr>
        <w:rFonts w:ascii="Calibri" w:eastAsia="Calibri" w:hAnsi="Calibri" w:cs="Calibri"/>
        <w:color w:val="6B7280"/>
        <w:sz w:val="13"/>
        <w:szCs w:val="13"/>
      </w:rPr>
      <w:fldChar w:fldCharType="separate"/>
    </w:r>
    <w:r w:rsidR="00261C4B">
      <w:rPr>
        <w:rFonts w:ascii="Calibri" w:eastAsia="Calibri" w:hAnsi="Calibri" w:cs="Calibri"/>
        <w:noProof/>
        <w:color w:val="6B7280"/>
        <w:sz w:val="13"/>
        <w:szCs w:val="13"/>
      </w:rPr>
      <w:t>2</w:t>
    </w:r>
    <w:r>
      <w:rPr>
        <w:rFonts w:ascii="Calibri" w:eastAsia="Calibri" w:hAnsi="Calibri" w:cs="Calibri"/>
        <w:color w:val="6B7280"/>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54652" w14:textId="77777777" w:rsidR="007263FD" w:rsidRDefault="007263FD">
      <w:r>
        <w:separator/>
      </w:r>
    </w:p>
  </w:footnote>
  <w:footnote w:type="continuationSeparator" w:id="0">
    <w:p w14:paraId="1416B5FB" w14:textId="77777777" w:rsidR="007263FD" w:rsidRDefault="007263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FD5F" w14:textId="77777777" w:rsidR="00894179" w:rsidRDefault="00000000">
    <w:pPr>
      <w:pBdr>
        <w:bottom w:val="single" w:sz="4" w:space="4" w:color="E5E7EB"/>
      </w:pBdr>
      <w:tabs>
        <w:tab w:val="right" w:pos="10520"/>
      </w:tabs>
    </w:pPr>
    <w:r>
      <w:rPr>
        <w:rFonts w:ascii="Calibri" w:eastAsia="Calibri" w:hAnsi="Calibri" w:cs="Calibri"/>
        <w:caps/>
        <w:color w:val="6B7280"/>
        <w:spacing w:val="6"/>
        <w:sz w:val="14"/>
        <w:szCs w:val="14"/>
      </w:rPr>
      <w:t>INDIA BANKING SECTOR</w:t>
    </w:r>
    <w:r>
      <w:rPr>
        <w:rFonts w:ascii="Calibri" w:eastAsia="Calibri" w:hAnsi="Calibri" w:cs="Calibri"/>
        <w:caps/>
        <w:color w:val="6B7280"/>
        <w:spacing w:val="6"/>
        <w:sz w:val="14"/>
        <w:szCs w:val="14"/>
      </w:rPr>
      <w:tab/>
      <w:t>DEEP-DIVE INITIATION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C4A13"/>
    <w:multiLevelType w:val="hybridMultilevel"/>
    <w:tmpl w:val="FAA2E67C"/>
    <w:lvl w:ilvl="0" w:tplc="A3E2AD26">
      <w:start w:val="1"/>
      <w:numFmt w:val="bullet"/>
      <w:lvlText w:val="—"/>
      <w:lvlJc w:val="left"/>
      <w:pPr>
        <w:ind w:left="260" w:hanging="200"/>
      </w:pPr>
    </w:lvl>
    <w:lvl w:ilvl="1" w:tplc="FD66C41C">
      <w:numFmt w:val="decimal"/>
      <w:lvlText w:val=""/>
      <w:lvlJc w:val="left"/>
    </w:lvl>
    <w:lvl w:ilvl="2" w:tplc="123A9722">
      <w:numFmt w:val="decimal"/>
      <w:lvlText w:val=""/>
      <w:lvlJc w:val="left"/>
    </w:lvl>
    <w:lvl w:ilvl="3" w:tplc="5DBE9AAA">
      <w:numFmt w:val="decimal"/>
      <w:lvlText w:val=""/>
      <w:lvlJc w:val="left"/>
    </w:lvl>
    <w:lvl w:ilvl="4" w:tplc="14DEFA3A">
      <w:numFmt w:val="decimal"/>
      <w:lvlText w:val=""/>
      <w:lvlJc w:val="left"/>
    </w:lvl>
    <w:lvl w:ilvl="5" w:tplc="2468F8AC">
      <w:numFmt w:val="decimal"/>
      <w:lvlText w:val=""/>
      <w:lvlJc w:val="left"/>
    </w:lvl>
    <w:lvl w:ilvl="6" w:tplc="77D6ACCE">
      <w:numFmt w:val="decimal"/>
      <w:lvlText w:val=""/>
      <w:lvlJc w:val="left"/>
    </w:lvl>
    <w:lvl w:ilvl="7" w:tplc="DD9AE4EC">
      <w:numFmt w:val="decimal"/>
      <w:lvlText w:val=""/>
      <w:lvlJc w:val="left"/>
    </w:lvl>
    <w:lvl w:ilvl="8" w:tplc="EA8CA566">
      <w:numFmt w:val="decimal"/>
      <w:lvlText w:val=""/>
      <w:lvlJc w:val="left"/>
    </w:lvl>
  </w:abstractNum>
  <w:abstractNum w:abstractNumId="1" w15:restartNumberingAfterBreak="0">
    <w:nsid w:val="2349596F"/>
    <w:multiLevelType w:val="hybridMultilevel"/>
    <w:tmpl w:val="54E09670"/>
    <w:lvl w:ilvl="0" w:tplc="B5448AF0">
      <w:start w:val="1"/>
      <w:numFmt w:val="bullet"/>
      <w:lvlText w:val="●"/>
      <w:lvlJc w:val="left"/>
      <w:pPr>
        <w:ind w:left="720" w:hanging="360"/>
      </w:pPr>
    </w:lvl>
    <w:lvl w:ilvl="1" w:tplc="A87AD908">
      <w:start w:val="1"/>
      <w:numFmt w:val="bullet"/>
      <w:lvlText w:val="○"/>
      <w:lvlJc w:val="left"/>
      <w:pPr>
        <w:ind w:left="1440" w:hanging="360"/>
      </w:pPr>
    </w:lvl>
    <w:lvl w:ilvl="2" w:tplc="B44A2FC2">
      <w:start w:val="1"/>
      <w:numFmt w:val="bullet"/>
      <w:lvlText w:val="■"/>
      <w:lvlJc w:val="left"/>
      <w:pPr>
        <w:ind w:left="2160" w:hanging="360"/>
      </w:pPr>
    </w:lvl>
    <w:lvl w:ilvl="3" w:tplc="90AECE6A">
      <w:start w:val="1"/>
      <w:numFmt w:val="bullet"/>
      <w:lvlText w:val="●"/>
      <w:lvlJc w:val="left"/>
      <w:pPr>
        <w:ind w:left="2880" w:hanging="360"/>
      </w:pPr>
    </w:lvl>
    <w:lvl w:ilvl="4" w:tplc="5E14BC6A">
      <w:start w:val="1"/>
      <w:numFmt w:val="bullet"/>
      <w:lvlText w:val="○"/>
      <w:lvlJc w:val="left"/>
      <w:pPr>
        <w:ind w:left="3600" w:hanging="360"/>
      </w:pPr>
    </w:lvl>
    <w:lvl w:ilvl="5" w:tplc="C89A68EC">
      <w:start w:val="1"/>
      <w:numFmt w:val="bullet"/>
      <w:lvlText w:val="■"/>
      <w:lvlJc w:val="left"/>
      <w:pPr>
        <w:ind w:left="4320" w:hanging="360"/>
      </w:pPr>
    </w:lvl>
    <w:lvl w:ilvl="6" w:tplc="AC5A930C">
      <w:start w:val="1"/>
      <w:numFmt w:val="bullet"/>
      <w:lvlText w:val="●"/>
      <w:lvlJc w:val="left"/>
      <w:pPr>
        <w:ind w:left="5040" w:hanging="360"/>
      </w:pPr>
    </w:lvl>
    <w:lvl w:ilvl="7" w:tplc="BFC0E13E">
      <w:start w:val="1"/>
      <w:numFmt w:val="bullet"/>
      <w:lvlText w:val="●"/>
      <w:lvlJc w:val="left"/>
      <w:pPr>
        <w:ind w:left="5760" w:hanging="360"/>
      </w:pPr>
    </w:lvl>
    <w:lvl w:ilvl="8" w:tplc="BEFC79B2">
      <w:start w:val="1"/>
      <w:numFmt w:val="bullet"/>
      <w:lvlText w:val="●"/>
      <w:lvlJc w:val="left"/>
      <w:pPr>
        <w:ind w:left="6480" w:hanging="360"/>
      </w:pPr>
    </w:lvl>
  </w:abstractNum>
  <w:num w:numId="1" w16cid:durableId="1054351171">
    <w:abstractNumId w:val="1"/>
    <w:lvlOverride w:ilvl="0">
      <w:startOverride w:val="1"/>
    </w:lvlOverride>
  </w:num>
  <w:num w:numId="2" w16cid:durableId="1008407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179"/>
    <w:rsid w:val="001F4974"/>
    <w:rsid w:val="00261C4B"/>
    <w:rsid w:val="007263FD"/>
    <w:rsid w:val="00894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2FCD0"/>
  <w15:docId w15:val="{4A275B8A-9A07-4CDA-902D-6E01D23AA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1989</Words>
  <Characters>11342</Characters>
  <Application>Microsoft Office Word</Application>
  <DocSecurity>0</DocSecurity>
  <Lines>94</Lines>
  <Paragraphs>26</Paragraphs>
  <ScaleCrop>false</ScaleCrop>
  <Company/>
  <LinksUpToDate>false</LinksUpToDate>
  <CharactersWithSpaces>13305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Tiwari</cp:lastModifiedBy>
  <cp:revision>2</cp:revision>
  <dcterms:created xsi:type="dcterms:W3CDTF">2026-09-07T04:44:00Z</dcterms:created>
  <dcterms:modified xsi:type="dcterms:W3CDTF">2026-09-07T12:22:00Z</dcterms:modified>
</cp:coreProperties>
</file>