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95959"/>
          <w:sz w:val="20"/>
          <w:szCs w:val="20"/>
        </w:rPr>
        <w:t xml:space="preserve">Developer response sheet</w:t>
      </w:r>
    </w:p>
    <w:p>
      <w:pPr>
        <w:spacing w:after="160"/>
      </w:pPr>
      <w:r>
        <w:rPr>
          <w:rFonts w:ascii="Arial" w:cs="Arial" w:eastAsia="Arial" w:hAnsi="Arial"/>
          <w:b/>
          <w:bCs/>
          <w:color w:val="1F3864"/>
          <w:sz w:val="40"/>
          <w:szCs w:val="40"/>
        </w:rPr>
        <w:t xml:space="preserve">Network Behaviour Anomaly Detection (NBAD)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cantSplit/>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Item</w:t>
            </w:r>
          </w:p>
        </w:tc>
        <w:tc>
          <w:tcPr>
            <w:tcW w:type="dxa" w:w="122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Detail</w:t>
            </w:r>
          </w:p>
        </w:tc>
      </w:tr>
      <w:tr>
        <w:trPr>
          <w:cantSplit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90"/>
              <w:bottom w:type="dxa" w:w="60"/>
              <w:right w:type="dxa" w:w="90"/>
            </w:tcMar>
          </w:tcPr>
          <w:p>
            <w:pPr>
              <w:spacing w:after="0"/>
            </w:pPr>
            <w:r>
              <w:rPr>
                <w:rFonts w:ascii="Arial" w:cs="Arial" w:eastAsia="Arial" w:hAnsi="Arial"/>
                <w:b/>
                <w:bCs/>
                <w:sz w:val="18"/>
                <w:szCs w:val="18"/>
              </w:rPr>
              <w:t xml:space="preserve">Tender section</w:t>
            </w:r>
          </w:p>
        </w:tc>
        <w:tc>
          <w:tcPr>
            <w:tcW w:type="dxa" w:w="122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Schedule-9, Section 11 (tender pages 92–94 of 107)</w:t>
            </w:r>
          </w:p>
        </w:tc>
      </w:tr>
      <w:tr>
        <w:trPr>
          <w:cantSplit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90"/>
              <w:bottom w:type="dxa" w:w="60"/>
              <w:right w:type="dxa" w:w="90"/>
            </w:tcMar>
          </w:tcPr>
          <w:p>
            <w:pPr>
              <w:spacing w:after="0"/>
            </w:pPr>
            <w:r>
              <w:rPr>
                <w:rFonts w:ascii="Arial" w:cs="Arial" w:eastAsia="Arial" w:hAnsi="Arial"/>
                <w:b/>
                <w:bCs/>
                <w:sz w:val="18"/>
                <w:szCs w:val="18"/>
              </w:rPr>
              <w:t xml:space="preserve">Number of requirements</w:t>
            </w:r>
          </w:p>
        </w:tc>
        <w:tc>
          <w:tcPr>
            <w:tcW w:type="dxa" w:w="122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42 rows to answer</w:t>
            </w:r>
          </w:p>
        </w:tc>
      </w:tr>
      <w:tr>
        <w:trPr>
          <w:cantSplit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90"/>
              <w:bottom w:type="dxa" w:w="60"/>
              <w:right w:type="dxa" w:w="90"/>
            </w:tcMar>
          </w:tcPr>
          <w:p>
            <w:pPr>
              <w:spacing w:after="0"/>
            </w:pPr>
            <w:r>
              <w:rPr>
                <w:rFonts w:ascii="Arial" w:cs="Arial" w:eastAsia="Arial" w:hAnsi="Arial"/>
                <w:b/>
                <w:bCs/>
                <w:sz w:val="18"/>
                <w:szCs w:val="18"/>
              </w:rPr>
              <w:t xml:space="preserve">Scope of work reference</w:t>
            </w:r>
          </w:p>
        </w:tc>
        <w:tc>
          <w:tcPr>
            <w:tcW w:type="dxa" w:w="122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Annexure-2, §3.1-D</w:t>
            </w:r>
          </w:p>
        </w:tc>
      </w:tr>
      <w:tr>
        <w:trPr>
          <w:cantSplit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90"/>
              <w:bottom w:type="dxa" w:w="60"/>
              <w:right w:type="dxa" w:w="90"/>
            </w:tcMar>
          </w:tcPr>
          <w:p>
            <w:pPr>
              <w:spacing w:after="0"/>
            </w:pPr>
            <w:r>
              <w:rPr>
                <w:rFonts w:ascii="Arial" w:cs="Arial" w:eastAsia="Arial" w:hAnsi="Arial"/>
                <w:b/>
                <w:bCs/>
                <w:sz w:val="18"/>
                <w:szCs w:val="18"/>
              </w:rPr>
              <w:t xml:space="preserve">BOQ line (Schedule-13)</w:t>
            </w:r>
          </w:p>
        </w:tc>
        <w:tc>
          <w:tcPr>
            <w:tcW w:type="dxa" w:w="122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NBAD – 1 (unit not stated in the tender BOQ)</w:t>
            </w:r>
          </w:p>
        </w:tc>
      </w:tr>
      <w:tr>
        <w:trPr>
          <w:cantSplit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90"/>
              <w:bottom w:type="dxa" w:w="60"/>
              <w:right w:type="dxa" w:w="90"/>
            </w:tcMar>
          </w:tcPr>
          <w:p>
            <w:pPr>
              <w:spacing w:after="0"/>
            </w:pPr>
            <w:r>
              <w:rPr>
                <w:rFonts w:ascii="Arial" w:cs="Arial" w:eastAsia="Arial" w:hAnsi="Arial"/>
                <w:b/>
                <w:bCs/>
                <w:sz w:val="18"/>
                <w:szCs w:val="18"/>
              </w:rPr>
              <w:t xml:space="preserve">OEM support &amp; annual audit</w:t>
            </w:r>
          </w:p>
        </w:tc>
        <w:tc>
          <w:tcPr>
            <w:tcW w:type="dxa" w:w="122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Yes – item 6 in Annexure-2 §5</w:t>
            </w:r>
          </w:p>
        </w:tc>
      </w:tr>
      <w:tr>
        <w:trPr>
          <w:cantSplit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90"/>
              <w:bottom w:type="dxa" w:w="60"/>
              <w:right w:type="dxa" w:w="90"/>
            </w:tcMar>
          </w:tcPr>
          <w:p>
            <w:pPr>
              <w:spacing w:after="0"/>
            </w:pPr>
            <w:r>
              <w:rPr>
                <w:rFonts w:ascii="Arial" w:cs="Arial" w:eastAsia="Arial" w:hAnsi="Arial"/>
                <w:b/>
                <w:bCs/>
                <w:sz w:val="18"/>
                <w:szCs w:val="18"/>
              </w:rPr>
              <w:t xml:space="preserve">POC criteria this module feeds (indicative)</w:t>
            </w:r>
          </w:p>
        </w:tc>
        <w:tc>
          <w:tcPr>
            <w:tcW w:type="dxa" w:w="122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Correlation &amp; Incident Detection; Unified single-console platform; Product Demonstration</w:t>
            </w:r>
          </w:p>
        </w:tc>
      </w:tr>
      <w:tr>
        <w:trPr>
          <w:cantSplit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90"/>
              <w:bottom w:type="dxa" w:w="60"/>
              <w:right w:type="dxa" w:w="90"/>
            </w:tcMar>
          </w:tcPr>
          <w:p>
            <w:pPr>
              <w:spacing w:after="0"/>
            </w:pPr>
            <w:r>
              <w:rPr>
                <w:rFonts w:ascii="Arial" w:cs="Arial" w:eastAsia="Arial" w:hAnsi="Arial"/>
                <w:b/>
                <w:bCs/>
                <w:sz w:val="18"/>
                <w:szCs w:val="18"/>
              </w:rPr>
              <w:t xml:space="preserve">Assigned developer / owner</w:t>
            </w:r>
          </w:p>
        </w:tc>
        <w:tc>
          <w:tcPr>
            <w:tcW w:type="dxa" w:w="122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90"/>
              <w:bottom w:type="dxa" w:w="60"/>
              <w:right w:type="dxa" w:w="90"/>
            </w:tcMar>
          </w:tcPr>
          <w:p>
            <w:pPr>
              <w:spacing w:after="0"/>
            </w:pPr>
            <w:r>
              <w:rPr>
                <w:rFonts w:ascii="Arial" w:cs="Arial" w:eastAsia="Arial" w:hAnsi="Arial"/>
                <w:b/>
                <w:bCs/>
                <w:sz w:val="18"/>
                <w:szCs w:val="18"/>
              </w:rPr>
              <w:t xml:space="preserve">Due date</w:t>
            </w:r>
          </w:p>
        </w:tc>
        <w:tc>
          <w:tcPr>
            <w:tcW w:type="dxa" w:w="122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bl>
    <w:p>
      <w:pPr>
        <w:pStyle w:val="Heading1"/>
        <w:spacing w:after="120" w:before="280"/>
      </w:pPr>
      <w:r>
        <w:rPr>
          <w:rFonts w:ascii="Arial" w:cs="Arial" w:eastAsia="Arial" w:hAnsi="Arial"/>
          <w:b/>
          <w:bCs/>
          <w:color w:val="1F3864"/>
          <w:sz w:val="30"/>
          <w:szCs w:val="30"/>
        </w:rPr>
        <w:t xml:space="preserve">How to fill this sheet</w:t>
      </w:r>
    </w:p>
    <w:p>
      <w:pPr>
        <w:pStyle w:val="ListParagraph"/>
        <w:numPr>
          <w:ilvl w:val="0"/>
          <w:numId w:val="2"/>
        </w:numPr>
        <w:spacing w:after="60"/>
      </w:pPr>
      <w:r>
        <w:rPr>
          <w:rFonts w:ascii="Arial" w:cs="Arial" w:eastAsia="Arial" w:hAnsi="Arial"/>
          <w:sz w:val="20"/>
          <w:szCs w:val="20"/>
        </w:rPr>
        <w:t xml:space="preserve">Compliance column: enter exactly Yes, No or Can Be – the tender asks for these three values.</w:t>
      </w:r>
    </w:p>
    <w:p>
      <w:pPr>
        <w:pStyle w:val="ListParagraph"/>
        <w:numPr>
          <w:ilvl w:val="0"/>
          <w:numId w:val="2"/>
        </w:numPr>
        <w:spacing w:after="60"/>
      </w:pPr>
      <w:r>
        <w:rPr>
          <w:rFonts w:ascii="Arial" w:cs="Arial" w:eastAsia="Arial" w:hAnsi="Arial"/>
          <w:sz w:val="20"/>
          <w:szCs w:val="20"/>
        </w:rPr>
        <w:t xml:space="preserve">Reference / remarks column: cite the OEM datasheet or admin-guide page, or a short explanation. Be ready to demonstrate each claim during the POC.</w:t>
      </w:r>
    </w:p>
    <w:p>
      <w:pPr>
        <w:pStyle w:val="ListParagraph"/>
        <w:numPr>
          <w:ilvl w:val="0"/>
          <w:numId w:val="2"/>
        </w:numPr>
        <w:spacing w:after="60"/>
      </w:pPr>
      <w:r>
        <w:rPr>
          <w:rFonts w:ascii="Arial" w:cs="Arial" w:eastAsia="Arial" w:hAnsi="Arial"/>
          <w:sz w:val="20"/>
          <w:szCs w:val="20"/>
        </w:rPr>
        <w:t xml:space="preserve">Anything you cannot answer Yes to must be reported to the bid lead so it can be listed in Schedule-4 (Techno-Commercial Deviation). Quoting NIL deviation in Schedule-4 overrides deviations noted elsewhere in the bid (tender clause 11).</w:t>
      </w:r>
    </w:p>
    <w:p>
      <w:pPr>
        <w:pStyle w:val="ListParagraph"/>
        <w:numPr>
          <w:ilvl w:val="0"/>
          <w:numId w:val="2"/>
        </w:numPr>
        <w:spacing w:after="60"/>
      </w:pPr>
      <w:r>
        <w:rPr>
          <w:rFonts w:ascii="Arial" w:cs="Arial" w:eastAsia="Arial" w:hAnsi="Arial"/>
          <w:sz w:val="20"/>
          <w:szCs w:val="20"/>
        </w:rPr>
        <w:t xml:space="preserve">For "Can Be", state in the remarks whether it is available now or needs customisation. Do not answer Yes for a roadmap feature.</w:t>
      </w:r>
    </w:p>
    <w:p>
      <w:pPr>
        <w:pStyle w:val="Heading1"/>
        <w:spacing w:after="120" w:before="280"/>
      </w:pPr>
      <w:r>
        <w:rPr>
          <w:rFonts w:ascii="Arial" w:cs="Arial" w:eastAsia="Arial" w:hAnsi="Arial"/>
          <w:b/>
          <w:bCs/>
          <w:color w:val="1F3864"/>
          <w:sz w:val="30"/>
          <w:szCs w:val="30"/>
        </w:rPr>
        <w:t xml:space="preserve">Scope of work for this module</w:t>
      </w:r>
    </w:p>
    <w:p>
      <w:pPr>
        <w:spacing w:after="100" w:before="0"/>
      </w:pPr>
      <w:r>
        <w:rPr>
          <w:rFonts w:ascii="Arial" w:cs="Arial" w:eastAsia="Arial" w:hAnsi="Arial"/>
          <w:sz w:val="20"/>
          <w:szCs w:val="20"/>
        </w:rPr>
        <w:t xml:space="preserve">NBAD solution will be deployed to monitor network for unusual events or trends by collecting flows from the network devices. This will help to detect anomalous traffic flows such as malware, identify user access policy violations, obtain deep and broad visibility into all network traffic</w:t>
      </w:r>
    </w:p>
    <w:p>
      <w:pPr>
        <w:pStyle w:val="ListParagraph"/>
        <w:numPr>
          <w:ilvl w:val="0"/>
          <w:numId w:val="2"/>
        </w:numPr>
        <w:spacing w:after="60"/>
      </w:pPr>
      <w:r>
        <w:rPr>
          <w:rFonts w:ascii="Arial" w:cs="Arial" w:eastAsia="Arial" w:hAnsi="Arial"/>
          <w:sz w:val="20"/>
          <w:szCs w:val="20"/>
        </w:rPr>
        <w:t xml:space="preserve">Implement the solution at DC/Main LDC.</w:t>
      </w:r>
    </w:p>
    <w:p>
      <w:pPr>
        <w:pStyle w:val="ListParagraph"/>
        <w:numPr>
          <w:ilvl w:val="0"/>
          <w:numId w:val="2"/>
        </w:numPr>
        <w:spacing w:after="60"/>
      </w:pPr>
      <w:r>
        <w:rPr>
          <w:rFonts w:ascii="Arial" w:cs="Arial" w:eastAsia="Arial" w:hAnsi="Arial"/>
          <w:sz w:val="20"/>
          <w:szCs w:val="20"/>
        </w:rPr>
        <w:t xml:space="preserve">Integration of network devices and flow records collection.</w:t>
      </w:r>
    </w:p>
    <w:p>
      <w:pPr>
        <w:pStyle w:val="ListParagraph"/>
        <w:numPr>
          <w:ilvl w:val="0"/>
          <w:numId w:val="2"/>
        </w:numPr>
        <w:spacing w:after="60"/>
      </w:pPr>
      <w:r>
        <w:rPr>
          <w:rFonts w:ascii="Arial" w:cs="Arial" w:eastAsia="Arial" w:hAnsi="Arial"/>
          <w:sz w:val="20"/>
          <w:szCs w:val="20"/>
        </w:rPr>
        <w:t xml:space="preserve">Configuration of policies for different segments and analysis of flows.</w:t>
      </w:r>
    </w:p>
    <w:p>
      <w:pPr>
        <w:pStyle w:val="ListParagraph"/>
        <w:numPr>
          <w:ilvl w:val="0"/>
          <w:numId w:val="2"/>
        </w:numPr>
        <w:spacing w:after="60"/>
      </w:pPr>
      <w:r>
        <w:rPr>
          <w:rFonts w:ascii="Arial" w:cs="Arial" w:eastAsia="Arial" w:hAnsi="Arial"/>
          <w:sz w:val="20"/>
          <w:szCs w:val="20"/>
        </w:rPr>
        <w:t xml:space="preserve">Integrate with SIEM to enrich the security alerts and for early detection and response to the threat and to provide single view of solution.</w:t>
      </w:r>
    </w:p>
    <w:p>
      <w:pPr>
        <w:pStyle w:val="ListParagraph"/>
        <w:numPr>
          <w:ilvl w:val="0"/>
          <w:numId w:val="2"/>
        </w:numPr>
        <w:spacing w:after="60"/>
      </w:pPr>
      <w:r>
        <w:rPr>
          <w:rFonts w:ascii="Arial" w:cs="Arial" w:eastAsia="Arial" w:hAnsi="Arial"/>
          <w:sz w:val="20"/>
          <w:szCs w:val="20"/>
        </w:rPr>
        <w:t xml:space="preserve">The NBAD solution should utilize standard methodologies/ models to reduce false positives and reduce error rates.</w:t>
      </w:r>
    </w:p>
    <w:p>
      <w:pPr>
        <w:pStyle w:val="ListParagraph"/>
        <w:numPr>
          <w:ilvl w:val="0"/>
          <w:numId w:val="2"/>
        </w:numPr>
        <w:spacing w:after="60"/>
      </w:pPr>
      <w:r>
        <w:rPr>
          <w:rFonts w:ascii="Arial" w:cs="Arial" w:eastAsia="Arial" w:hAnsi="Arial"/>
          <w:sz w:val="20"/>
          <w:szCs w:val="20"/>
        </w:rPr>
        <w:t xml:space="preserve">Fine tune the baseline profile for network access.</w:t>
      </w:r>
    </w:p>
    <w:p>
      <w:pPr>
        <w:pStyle w:val="ListParagraph"/>
        <w:numPr>
          <w:ilvl w:val="0"/>
          <w:numId w:val="2"/>
        </w:numPr>
        <w:spacing w:after="60"/>
      </w:pPr>
      <w:r>
        <w:rPr>
          <w:rFonts w:ascii="Arial" w:cs="Arial" w:eastAsia="Arial" w:hAnsi="Arial"/>
          <w:sz w:val="20"/>
          <w:szCs w:val="20"/>
        </w:rPr>
        <w:t xml:space="preserve">Identify the network baseline and configure the NBA policies.</w:t>
      </w:r>
    </w:p>
    <w:p>
      <w:pPr>
        <w:pStyle w:val="Heading1"/>
        <w:spacing w:after="120" w:before="280"/>
      </w:pPr>
      <w:r>
        <w:rPr>
          <w:rFonts w:ascii="Arial" w:cs="Arial" w:eastAsia="Arial" w:hAnsi="Arial"/>
          <w:b/>
          <w:bCs/>
          <w:color w:val="1F3864"/>
          <w:sz w:val="30"/>
          <w:szCs w:val="30"/>
        </w:rPr>
        <w:t xml:space="preserve">Obligations that apply to every module</w:t>
      </w:r>
    </w:p>
    <w:p>
      <w:pPr>
        <w:pStyle w:val="ListParagraph"/>
        <w:numPr>
          <w:ilvl w:val="0"/>
          <w:numId w:val="2"/>
        </w:numPr>
        <w:spacing w:after="60"/>
      </w:pPr>
      <w:r>
        <w:rPr>
          <w:rFonts w:ascii="Arial" w:cs="Arial" w:eastAsia="Arial" w:hAnsi="Arial"/>
          <w:sz w:val="20"/>
          <w:szCs w:val="20"/>
        </w:rPr>
        <w:t xml:space="preserve">Solution must be the latest available version with a minimum 5-year End of Support Life (EOSL) from Go-Live (Annexure-2, 1.1(s) / 1.2(j)).</w:t>
      </w:r>
    </w:p>
    <w:p>
      <w:pPr>
        <w:pStyle w:val="ListParagraph"/>
        <w:numPr>
          <w:ilvl w:val="0"/>
          <w:numId w:val="2"/>
        </w:numPr>
        <w:spacing w:after="60"/>
      </w:pPr>
      <w:r>
        <w:rPr>
          <w:rFonts w:ascii="Arial" w:cs="Arial" w:eastAsia="Arial" w:hAnsi="Arial"/>
          <w:sz w:val="20"/>
          <w:szCs w:val="20"/>
        </w:rPr>
        <w:t xml:space="preserve">Back-to-back comprehensive onsite OEM support for 5 years, plus an annual configuration audit by the OEM (Annexure-2, §5 – applies to the products listed there).</w:t>
      </w:r>
    </w:p>
    <w:p>
      <w:pPr>
        <w:pStyle w:val="ListParagraph"/>
        <w:numPr>
          <w:ilvl w:val="0"/>
          <w:numId w:val="2"/>
        </w:numPr>
        <w:spacing w:after="60"/>
      </w:pPr>
      <w:r>
        <w:rPr>
          <w:rFonts w:ascii="Arial" w:cs="Arial" w:eastAsia="Arial" w:hAnsi="Arial"/>
          <w:sz w:val="20"/>
          <w:szCs w:val="20"/>
        </w:rPr>
        <w:t xml:space="preserve">Five-year onsite comprehensive warranty; 24x7x365 support; 99.9% uptime for the supplied solution (Annexure-2, §4).</w:t>
      </w:r>
    </w:p>
    <w:p>
      <w:pPr>
        <w:pStyle w:val="ListParagraph"/>
        <w:numPr>
          <w:ilvl w:val="0"/>
          <w:numId w:val="2"/>
        </w:numPr>
        <w:spacing w:after="60"/>
      </w:pPr>
      <w:r>
        <w:rPr>
          <w:rFonts w:ascii="Arial" w:cs="Arial" w:eastAsia="Arial" w:hAnsi="Arial"/>
          <w:sz w:val="20"/>
          <w:szCs w:val="20"/>
        </w:rPr>
        <w:t xml:space="preserve">Design with redundancy / fault tolerance (no single point of failure) and a minimum of 30% spare capacity at peak load (Annexure-2, 1.1(q) and 1.3).</w:t>
      </w:r>
    </w:p>
    <w:p>
      <w:pPr>
        <w:pStyle w:val="ListParagraph"/>
        <w:numPr>
          <w:ilvl w:val="0"/>
          <w:numId w:val="2"/>
        </w:numPr>
        <w:spacing w:after="60"/>
      </w:pPr>
      <w:r>
        <w:rPr>
          <w:rFonts w:ascii="Arial" w:cs="Arial" w:eastAsia="Arial" w:hAnsi="Arial"/>
          <w:sz w:val="20"/>
          <w:szCs w:val="20"/>
        </w:rPr>
        <w:t xml:space="preserve">On-premises / air-gapped deployment; SOC event and alert data must stay within OPTCL premises (see the module table where this is repeated).</w:t>
      </w:r>
    </w:p>
    <w:p>
      <w:pPr>
        <w:pStyle w:val="ListParagraph"/>
        <w:numPr>
          <w:ilvl w:val="0"/>
          <w:numId w:val="2"/>
        </w:numPr>
        <w:spacing w:after="60"/>
      </w:pPr>
      <w:r>
        <w:rPr>
          <w:rFonts w:ascii="Arial" w:cs="Arial" w:eastAsia="Arial" w:hAnsi="Arial"/>
          <w:sz w:val="20"/>
          <w:szCs w:val="20"/>
        </w:rPr>
        <w:t xml:space="preserve">Everything stated in the bid becomes contractually binding on award (Annexure-2, preamble). PQR 5 requires the core platform to work without dependence on future roadmap features, so answer Yes only for what the product does today.</w:t>
      </w:r>
    </w:p>
    <w:p>
      <w:r>
        <w:br w:type="page"/>
      </w:r>
    </w:p>
    <w:p>
      <w:pPr>
        <w:pStyle w:val="Heading1"/>
        <w:spacing w:after="120" w:before="280"/>
      </w:pPr>
      <w:r>
        <w:rPr>
          <w:rFonts w:ascii="Arial" w:cs="Arial" w:eastAsia="Arial" w:hAnsi="Arial"/>
          <w:b/>
          <w:bCs/>
          <w:color w:val="1F3864"/>
          <w:sz w:val="30"/>
          <w:szCs w:val="30"/>
        </w:rPr>
        <w:t xml:space="preserve">Schedule-9 compliance table – Network Behaviour Anomaly Detection (NBAD)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800"/>
        <w:gridCol w:w="8000"/>
        <w:gridCol w:w="1900"/>
        <w:gridCol w:w="4138"/>
      </w:tblGrid>
      <w:tr>
        <w:trPr>
          <w:cantSplit/>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SN</w:t>
            </w:r>
          </w:p>
        </w:tc>
        <w:tc>
          <w:tcPr>
            <w:tcW w:type="dxa" w:w="8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Minimum technical specification</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Compliance (Yes / No / Can Be)</w:t>
            </w:r>
          </w:p>
        </w:tc>
        <w:tc>
          <w:tcPr>
            <w:tcW w:type="dxa" w:w="41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Datasheet reference / remarks</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NBAD should be capable of monitoring and managing minimum of 3 separate zones.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have single centralized dashboard</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tool should detect malware and botnets.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4</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detect activities related to Advanced Persistent Threats (APT) and Trojans.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Ability to detect the presence of an Internet worm on the network based on propagation behaviour on a particular service port.</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6</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tool should be able to perform Network Traffic Pattern Analysis based on IP addresses, groups of IP addresses, source/destination IP pairs and Bandwidth Analysis etc.</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7</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tool should be able to perform Real time monitoring of host behaviours and traffic analysis to identify threats.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8</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tool should detect common events like DDoS / Do S, Scanning, Worms, Unexpected application services. (e.g., tunnelled protocols, backdoors, use of forbidden application Protocols), Policy violations, etc.</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9</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tool should be able to identify from where the attack originated.</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Bidder shall suggest mitigation measures for security events like Denial of Service, DDoS etc. on real time basis.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11</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 Do mention the list of events that can be detected and action it can take, if any. b. Describe how tool can take care of slow and small attack over a prolonged period. c. Also mention overall limitations.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12</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Should detect long-lived connections that may be associated with data- exfiltration.</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13</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Should detect applications running on non-standard port numbers.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14</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tool should be able to identify ports and services not necessary for normal business operations.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15</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events generated by the system should be classified at various risk level like High, Medium, Low etc.</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16</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tool should have the capability to analyse physical and virtual network environments.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17</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tool should be able to do Centralized and non-intrusive traffic and flow-based network monitoring.</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18</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be able to Detect Anomalous Security Events and have threshold-based alerting.</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19</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tool should have customized rule creation options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20</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identify network traffic from potentially risky applications (e.g. file sharing, peer- to-peer) etc.</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21</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support traffic profiling associated with logical network design (e.g., Subnet/CIDR).</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22</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be compatible with industry leading appliances (like Firewall, IPS, VPN, routers, etc. for network flow analysis)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23</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must support and be scalable to cover assets of SLDC catering to distributed deployment.</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24</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must be capable of identifying suspicious or hitherto undiscovered communication patterns. The solution must support detection of newly discovered pattern in future.</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25</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be integrable with other components viz. SIEM, VM, AD, LDAP, Firewalls, IPS, VPN, Routers, Switches, Internet Proxy, etc. List of supported technology and products and products/technologies not supported if any.</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26</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system should be able to capture NetFlow and Packets.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27</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identify applications using ports other than the well-known, and applications tunnelling themselves on other ports (e.g., HTTP as transport for MS-Instant Messenger should be detected as Instant messenger - not HTTP).</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28</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profile traffic by TCP and UDP Port</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29</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shall provide application bandwidth utilization graph.</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30</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display traffic profiles in terms of packet rate.</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31</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profile and present information in multiple timeframes. Profiles should be available for week, day and hour</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32</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shall be able to display the new hosts coming into the Network. It should be able to take inputs from other systems (like, vulnerability scanners) and alert about the new hosts that are vulnerable.</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33</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display the type of data being transported via HTTP into and out of the network</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34</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Should be able to get regular feed from global threat intelligence for proactive monitoring and alerting.</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35</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All the Event, Alerts and other information pertaining to SLDC’S NG- SOC must remain within SLDC premises only. Any information moving out of SLDC premises shall be reviewed and approved by SLDC on need basis.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36</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must retrieve forensic results at lightning speed. Should retrieve atleast 5M records within 180 seconds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37</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should have machine learning capability for unlimited host without any additional licence</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38</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The solution must have the ability to capture network traffic.</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39</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Solution should allow investigation of logs and raw packets data from a single console</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40</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Proposed solution should help the analysis in various Network Threat Detection use cases as listed below, but not limited to a. Continuous Monitoring: Ability to capture network traffic, index and play back all network data, and to provide Analyst with timely, targeted and prioritized information b. Detect Suspicious traffic to an Unknown Country: Meta should provide all details in terms of Country name, Business context, IP - From and To Information. Analyst should be able to isolate such traffic swiftly and investigate the payload for any malicious egress or ingress. It should also have provision for analysts to integrate with Sandboxing environment for malware analysis.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41</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Solution should store RAW packet DATA for 7 days and normalized packet data for 15 days for forensics.</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42</w:t>
            </w:r>
          </w:p>
        </w:tc>
        <w:tc>
          <w:tcPr>
            <w:tcW w:type="dxa" w:w="8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Should Capture at-least 512 Mbps of internet traffic at DC.</w:t>
            </w:r>
          </w:p>
        </w:tc>
        <w:tc>
          <w:tcPr>
            <w:tcW w:type="dxa" w:w="1900"/>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c>
          <w:tcPr>
            <w:tcW w:type="dxa" w:w="4138"/>
            <w:tcBorders>
              <w:top w:val="single" w:color="999999" w:sz="4"/>
              <w:left w:val="single" w:color="999999" w:sz="4"/>
              <w:bottom w:val="single" w:color="999999" w:sz="4"/>
              <w:right w:val="single" w:color="999999" w:sz="4"/>
            </w:tcBorders>
            <w:shd w:fill="FFF8DC"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
            </w:r>
          </w:p>
        </w:tc>
      </w:tr>
    </w:tbl>
    <w:p>
      <w:pPr>
        <w:spacing w:after="100" w:before="0"/>
      </w:pPr>
      <w:r>
        <w:rPr>
          <w:rFonts w:ascii="Arial" w:cs="Arial" w:eastAsia="Arial" w:hAnsi="Arial"/>
          <w:sz w:val="20"/>
          <w:szCs w:val="20"/>
        </w:rPr>
        <w:t xml:space="preserve"/>
      </w:r>
    </w:p>
    <w:p>
      <w:pPr>
        <w:spacing w:after="100" w:before="0"/>
      </w:pPr>
      <w:r>
        <w:rPr>
          <w:rFonts w:ascii="Arial" w:cs="Arial" w:eastAsia="Arial" w:hAnsi="Arial"/>
          <w:i/>
          <w:iCs/>
          <w:color w:val="7F7F7F"/>
          <w:sz w:val="16"/>
          <w:szCs w:val="16"/>
        </w:rPr>
        <w:t xml:space="preserve">* Asterisked items in the firewall table are marked as printed in the tender.</w:t>
      </w:r>
    </w:p>
    <w:sectPr>
      <w:headerReference w:type="default" r:id="rId7"/>
      <w:footerReference w:type="default" r:id="rId8"/>
      <w:pgSz w:w="16838" w:h="11906" w:orient="landscape"/>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r>
      <w:rPr>
        <w:rFonts w:ascii="Arial" w:cs="Arial" w:eastAsia="Arial" w:hAnsi="Arial"/>
        <w:color w:val="7F7F7F"/>
        <w:sz w:val="16"/>
        <w:szCs w:val="16"/>
      </w:rPr>
      <w:t xml:space="preserve">   |   Working copy extracted from tender PDF (107 pages). The original tender prevails.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color w:val="595959"/>
        <w:sz w:val="16"/>
        <w:szCs w:val="16"/>
      </w:rPr>
      <w:t xml:space="preserve">OPTCL – Next Generation SOC &amp; NOC  |  Network Behaviour Anomaly Detection (NBAD)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Behaviour Anomaly Detection (NBAD)</dc:title>
  <dc:creator>RFP split</dc:creator>
  <cp:lastModifiedBy>Un-named</cp:lastModifiedBy>
  <cp:revision>1</cp:revision>
  <dcterms:created xsi:type="dcterms:W3CDTF">2026-10-17T09:28:51.383Z</dcterms:created>
  <dcterms:modified xsi:type="dcterms:W3CDTF">2026-10-17T09:28:51.383Z</dcterms:modified>
</cp:coreProperties>
</file>

<file path=docProps/custom.xml><?xml version="1.0" encoding="utf-8"?>
<Properties xmlns="http://schemas.openxmlformats.org/officeDocument/2006/custom-properties" xmlns:vt="http://schemas.openxmlformats.org/officeDocument/2006/docPropsVTypes"/>
</file>