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NBAD Air-Gap Operations and Security Design</w:t>
      </w:r>
    </w:p>
    <w:p>
      <w:pPr/>
      <w:r>
        <w:rPr>
          <w:b/>
        </w:rPr>
        <w:t xml:space="preserve">OPTCL Next Generation SOC &amp; NOC: Network Behaviour Anomaly Detection</w:t>
      </w:r>
    </w:p>
    <w:p>
      <w:pPr/>
      <w:r>
        <w:t xml:space="preserve">Version 0.1 | Companion to the NBAD Project Blueprint | Draft for security and operations review</w:t>
      </w:r>
    </w:p>
    <w:p>
      <w:pPr/>
      <w:r>
        <w:rPr>
          <w:i/>
        </w:rPr>
        <w:t xml:space="preserve">Status: Proposed controls and procedures. The exact air-gap boundary, approved transfer routes and OPTCL security policies are not yet known and must be confirmed. Where this document says “approved”, it means approved by OPTCL.</w:t>
      </w:r>
    </w:p>
    <w:p>
      <w:pPr>
        <w:pStyle w:val="Heading2"/>
      </w:pPr>
      <w:r>
        <w:t xml:space="preserve">1. Purpose</w:t>
      </w:r>
    </w:p>
    <w:p>
      <w:pPr/>
      <w:r>
        <w:t xml:space="preserve">The NBAD platform must run on-premises, air-gapped, and keep event and alert data inside the designated premises. That changes how we install, update, license, support, feed and monitor the system. This document sets out the security model and the offline operating procedures that make the air gap real rather than assumed.</w:t>
      </w:r>
    </w:p>
    <w:p>
      <w:pPr>
        <w:pStyle w:val="Heading2"/>
      </w:pPr>
      <w:r>
        <w:t xml:space="preserve">2. Confirm the boundary first</w:t>
      </w:r>
    </w:p>
    <w:tbl>
      <w:tblPr>
        <w:tblStyle w:val="TableGrid"/>
        <w:tblW w:w="0" w:type="auto"/>
        <w:tblLayout w:type="fixed"/>
        <w:tblLook w:val="04A0" w:firstRow="1" w:lastRow="0" w:firstColumn="0" w:lastColumn="0" w:noHBand="0" w:noVBand="1"/>
      </w:tblPr>
      <w:tblGrid>
        <w:gridCol w:w="4656"/>
        <w:gridCol w:w="4703"/>
      </w:tblGrid>
      <w:tr>
        <w:trPr>
          <w:tblHeader/>
        </w:trPr>
        <w:tc>
          <w:tcPr>
            <w:tcW w:w="4656" w:type="dxa"/>
            <w:shd w:val="clear" w:color="auto" w:fill="F2F2F2"/>
          </w:tcPr>
          <w:p>
            <w:pPr/>
            <w:r>
              <w:t xml:space="preserve">Question</w:t>
            </w:r>
          </w:p>
        </w:tc>
        <w:tc>
          <w:tcPr>
            <w:tcW w:w="4703" w:type="dxa"/>
            <w:shd w:val="clear" w:color="auto" w:fill="F2F2F2"/>
          </w:tcPr>
          <w:p>
            <w:pPr/>
            <w:r>
              <w:t xml:space="preserve">Why it matters</w:t>
            </w:r>
          </w:p>
        </w:tc>
      </w:tr>
      <w:tr>
        <w:tc>
          <w:tcPr>
            <w:tcW w:w="4656" w:type="dxa"/>
          </w:tcPr>
          <w:p>
            <w:pPr/>
            <w:r>
              <w:t xml:space="preserve">Is the environment completely disconnected, or is there an approved one-way or controlled transfer path?</w:t>
            </w:r>
          </w:p>
        </w:tc>
        <w:tc>
          <w:tcPr>
            <w:tcW w:w="4703" w:type="dxa"/>
          </w:tcPr>
          <w:p>
            <w:pPr/>
            <w:r>
              <w:t xml:space="preserve">A data diode, a transfer station and a removable-media process each need different procedures. They are not interchangeable.</w:t>
            </w:r>
          </w:p>
        </w:tc>
      </w:tr>
      <w:tr>
        <w:tc>
          <w:tcPr>
            <w:tcW w:w="4656" w:type="dxa"/>
          </w:tcPr>
          <w:p>
            <w:pPr/>
            <w:r>
              <w:t xml:space="preserve">Who approves imports and exports, and how fast?</w:t>
            </w:r>
          </w:p>
        </w:tc>
        <w:tc>
          <w:tcPr>
            <w:tcW w:w="4703" w:type="dxa"/>
          </w:tcPr>
          <w:p>
            <w:pPr/>
            <w:r>
              <w:t xml:space="preserve">Sets the update and threat-feed cadence we can promise.</w:t>
            </w:r>
          </w:p>
        </w:tc>
      </w:tr>
      <w:tr>
        <w:tc>
          <w:tcPr>
            <w:tcW w:w="4656" w:type="dxa"/>
          </w:tcPr>
          <w:p>
            <w:pPr/>
            <w:r>
              <w:t xml:space="preserve">Is removable media allowed? What type, and how is it scanned?</w:t>
            </w:r>
          </w:p>
        </w:tc>
        <w:tc>
          <w:tcPr>
            <w:tcW w:w="4703" w:type="dxa"/>
          </w:tcPr>
          <w:p>
            <w:pPr/>
            <w:r>
              <w:t xml:space="preserve">Defines the software delivery route.</w:t>
            </w:r>
          </w:p>
        </w:tc>
      </w:tr>
      <w:tr>
        <w:tc>
          <w:tcPr>
            <w:tcW w:w="4656" w:type="dxa"/>
          </w:tcPr>
          <w:p>
            <w:pPr/>
            <w:r>
              <w:t xml:space="preserve">How will OEM or vendor support be given (on-site only, supervised session, none)?</w:t>
            </w:r>
          </w:p>
        </w:tc>
        <w:tc>
          <w:tcPr>
            <w:tcW w:w="4703" w:type="dxa"/>
          </w:tcPr>
          <w:p>
            <w:pPr/>
            <w:r>
              <w:t xml:space="preserve">Affects the 24x7 support promise in the tender.</w:t>
            </w:r>
          </w:p>
        </w:tc>
      </w:tr>
      <w:tr>
        <w:tc>
          <w:tcPr>
            <w:tcW w:w="4656" w:type="dxa"/>
          </w:tcPr>
          <w:p>
            <w:pPr/>
            <w:r>
              <w:t xml:space="preserve">How is licence activation handled offline?</w:t>
            </w:r>
          </w:p>
        </w:tc>
        <w:tc>
          <w:tcPr>
            <w:tcW w:w="4703" w:type="dxa"/>
          </w:tcPr>
          <w:p>
            <w:pPr/>
            <w:r>
              <w:t xml:space="preserve">Many products need an online check unless an offline licence file is provided.</w:t>
            </w:r>
          </w:p>
        </w:tc>
      </w:tr>
    </w:tbl>
    <w:p>
      <w:pPr/>
      <w:r>
        <w:t xml:space="preserve">Do not design the update process until these are answered.</w:t>
      </w:r>
    </w:p>
    <w:p>
      <w:pPr>
        <w:pStyle w:val="Heading2"/>
      </w:pPr>
      <w:r>
        <w:t xml:space="preserve">3. Security zones and data paths</w:t>
      </w:r>
    </w:p>
    <w:tbl>
      <w:tblPr>
        <w:tblStyle w:val="TableGrid"/>
        <w:tblW w:w="0" w:type="auto"/>
        <w:tblLayout w:type="fixed"/>
        <w:tblLook w:val="04A0" w:firstRow="1" w:lastRow="0" w:firstColumn="0" w:lastColumn="0" w:noHBand="0" w:noVBand="1"/>
      </w:tblPr>
      <w:tblGrid>
        <w:gridCol w:w="1819"/>
        <w:gridCol w:w="3466"/>
        <w:gridCol w:w="4075"/>
      </w:tblGrid>
      <w:tr>
        <w:trPr>
          <w:tblHeader/>
        </w:trPr>
        <w:tc>
          <w:tcPr>
            <w:tcW w:w="1819" w:type="dxa"/>
            <w:shd w:val="clear" w:color="auto" w:fill="F2F2F2"/>
          </w:tcPr>
          <w:p>
            <w:pPr/>
            <w:r>
              <w:t xml:space="preserve">Zone</w:t>
            </w:r>
          </w:p>
        </w:tc>
        <w:tc>
          <w:tcPr>
            <w:tcW w:w="3466" w:type="dxa"/>
            <w:shd w:val="clear" w:color="auto" w:fill="F2F2F2"/>
          </w:tcPr>
          <w:p>
            <w:pPr/>
            <w:r>
              <w:t xml:space="preserve">Contents</w:t>
            </w:r>
          </w:p>
        </w:tc>
        <w:tc>
          <w:tcPr>
            <w:tcW w:w="4075" w:type="dxa"/>
            <w:shd w:val="clear" w:color="auto" w:fill="F2F2F2"/>
          </w:tcPr>
          <w:p>
            <w:pPr/>
            <w:r>
              <w:t xml:space="preserve">Allowed connections</w:t>
            </w:r>
          </w:p>
        </w:tc>
      </w:tr>
      <w:tr>
        <w:tc>
          <w:tcPr>
            <w:tcW w:w="1819" w:type="dxa"/>
          </w:tcPr>
          <w:p>
            <w:pPr/>
            <w:r>
              <w:t xml:space="preserve">Capture</w:t>
            </w:r>
          </w:p>
        </w:tc>
        <w:tc>
          <w:tcPr>
            <w:tcW w:w="3466" w:type="dxa"/>
          </w:tcPr>
          <w:p>
            <w:pPr/>
            <w:r>
              <w:t xml:space="preserve">Sensor capture ports</w:t>
            </w:r>
          </w:p>
        </w:tc>
        <w:tc>
          <w:tcPr>
            <w:tcW w:w="4075" w:type="dxa"/>
          </w:tcPr>
          <w:p>
            <w:pPr/>
            <w:r>
              <w:t xml:space="preserve">Inbound mirrored traffic only. No transmit, no IP address</w:t>
            </w:r>
          </w:p>
        </w:tc>
      </w:tr>
      <w:tr>
        <w:tc>
          <w:tcPr>
            <w:tcW w:w="1819" w:type="dxa"/>
          </w:tcPr>
          <w:p>
            <w:pPr/>
            <w:r>
              <w:t xml:space="preserve">Platform core</w:t>
            </w:r>
          </w:p>
        </w:tc>
        <w:tc>
          <w:tcPr>
            <w:tcW w:w="3466" w:type="dxa"/>
          </w:tcPr>
          <w:p>
            <w:pPr/>
            <w:r>
              <w:t xml:space="preserve">Queue, workers, storage, API</w:t>
            </w:r>
          </w:p>
        </w:tc>
        <w:tc>
          <w:tcPr>
            <w:tcW w:w="4075" w:type="dxa"/>
          </w:tcPr>
          <w:p>
            <w:pPr/>
            <w:r>
              <w:t xml:space="preserve">Internal platform traffic only, mutual TLS</w:t>
            </w:r>
          </w:p>
        </w:tc>
      </w:tr>
      <w:tr>
        <w:tc>
          <w:tcPr>
            <w:tcW w:w="1819" w:type="dxa"/>
          </w:tcPr>
          <w:p>
            <w:pPr/>
            <w:r>
              <w:t xml:space="preserve">Analyst access</w:t>
            </w:r>
          </w:p>
        </w:tc>
        <w:tc>
          <w:tcPr>
            <w:tcW w:w="3466" w:type="dxa"/>
          </w:tcPr>
          <w:p>
            <w:pPr/>
            <w:r>
              <w:t xml:space="preserve">Console reverse proxy</w:t>
            </w:r>
          </w:p>
        </w:tc>
        <w:tc>
          <w:tcPr>
            <w:tcW w:w="4075" w:type="dxa"/>
          </w:tcPr>
          <w:p>
            <w:pPr/>
            <w:r>
              <w:t xml:space="preserve">From the SOC network, over HTTPS, authenticated</w:t>
            </w:r>
          </w:p>
        </w:tc>
      </w:tr>
      <w:tr>
        <w:tc>
          <w:tcPr>
            <w:tcW w:w="1819" w:type="dxa"/>
          </w:tcPr>
          <w:p>
            <w:pPr/>
            <w:r>
              <w:t xml:space="preserve">Management</w:t>
            </w:r>
          </w:p>
        </w:tc>
        <w:tc>
          <w:tcPr>
            <w:tcW w:w="3466" w:type="dxa"/>
          </w:tcPr>
          <w:p>
            <w:pPr/>
            <w:r>
              <w:t xml:space="preserve">Admin hosts, monitoring, backup, package repository</w:t>
            </w:r>
          </w:p>
        </w:tc>
        <w:tc>
          <w:tcPr>
            <w:tcW w:w="4075" w:type="dxa"/>
          </w:tcPr>
          <w:p>
            <w:pPr/>
            <w:r>
              <w:t xml:space="preserve">From jump host only</w:t>
            </w:r>
          </w:p>
        </w:tc>
      </w:tr>
      <w:tr>
        <w:tc>
          <w:tcPr>
            <w:tcW w:w="1819" w:type="dxa"/>
          </w:tcPr>
          <w:p>
            <w:pPr/>
            <w:r>
              <w:t xml:space="preserve">Integration</w:t>
            </w:r>
          </w:p>
        </w:tc>
        <w:tc>
          <w:tcPr>
            <w:tcW w:w="3466" w:type="dxa"/>
          </w:tcPr>
          <w:p>
            <w:pPr/>
            <w:r>
              <w:t xml:space="preserve">Connectors to SIEM, identity, firewalls, sandbox</w:t>
            </w:r>
          </w:p>
        </w:tc>
        <w:tc>
          <w:tcPr>
            <w:tcW w:w="4075" w:type="dxa"/>
          </w:tcPr>
          <w:p>
            <w:pPr/>
            <w:r>
              <w:t xml:space="preserve">Allow-listed per destination and port</w:t>
            </w:r>
          </w:p>
        </w:tc>
      </w:tr>
      <w:tr>
        <w:tc>
          <w:tcPr>
            <w:tcW w:w="1819" w:type="dxa"/>
          </w:tcPr>
          <w:p>
            <w:pPr/>
            <w:r>
              <w:t xml:space="preserve">Transfer</w:t>
            </w:r>
          </w:p>
        </w:tc>
        <w:tc>
          <w:tcPr>
            <w:tcW w:w="3466" w:type="dxa"/>
          </w:tcPr>
          <w:p>
            <w:pPr/>
            <w:r>
              <w:t xml:space="preserve">Staging area for imported packages and feeds</w:t>
            </w:r>
          </w:p>
        </w:tc>
        <w:tc>
          <w:tcPr>
            <w:tcW w:w="4075" w:type="dxa"/>
          </w:tcPr>
          <w:p>
            <w:pPr/>
            <w:r>
              <w:t xml:space="preserve">One-way into the platform after validation</w:t>
            </w:r>
          </w:p>
        </w:tc>
      </w:tr>
    </w:tbl>
    <w:p>
      <w:pPr/>
      <w:r>
        <w:t xml:space="preserve">Rules: no direct path from the capture zone to anything except the sensor host; no path from the platform to any external network; every cross-zone flow documented, firewalled and logged.</w:t>
      </w:r>
    </w:p>
    <w:p>
      <w:pPr>
        <w:pStyle w:val="Heading2"/>
      </w:pPr>
      <w:r>
        <w:t xml:space="preserve">4. Identity, access and RBAC</w:t>
      </w:r>
    </w:p>
    <w:tbl>
      <w:tblPr>
        <w:tblStyle w:val="TableGrid"/>
        <w:tblW w:w="0" w:type="auto"/>
        <w:tblLayout w:type="fixed"/>
        <w:tblLook w:val="04A0" w:firstRow="1" w:lastRow="0" w:firstColumn="0" w:lastColumn="0" w:noHBand="0" w:noVBand="1"/>
      </w:tblPr>
      <w:tblGrid>
        <w:gridCol w:w="3256"/>
        <w:gridCol w:w="6103"/>
      </w:tblGrid>
      <w:tr>
        <w:trPr>
          <w:tblHeader/>
        </w:trPr>
        <w:tc>
          <w:tcPr>
            <w:tcW w:w="3256" w:type="dxa"/>
            <w:shd w:val="clear" w:color="auto" w:fill="F2F2F2"/>
          </w:tcPr>
          <w:p>
            <w:pPr/>
            <w:r>
              <w:t xml:space="preserve">Role</w:t>
            </w:r>
          </w:p>
        </w:tc>
        <w:tc>
          <w:tcPr>
            <w:tcW w:w="6103" w:type="dxa"/>
            <w:shd w:val="clear" w:color="auto" w:fill="F2F2F2"/>
          </w:tcPr>
          <w:p>
            <w:pPr/>
            <w:r>
              <w:t xml:space="preserve">Typical rights</w:t>
            </w:r>
          </w:p>
        </w:tc>
      </w:tr>
      <w:tr>
        <w:tc>
          <w:tcPr>
            <w:tcW w:w="3256" w:type="dxa"/>
          </w:tcPr>
          <w:p>
            <w:pPr/>
            <w:r>
              <w:t xml:space="preserve">SOC analyst</w:t>
            </w:r>
          </w:p>
        </w:tc>
        <w:tc>
          <w:tcPr>
            <w:tcW w:w="6103" w:type="dxa"/>
          </w:tcPr>
          <w:p>
            <w:pPr/>
            <w:r>
              <w:t xml:space="preserve">View alerts, search flows and sessions, annotate incidents, request packet retrieval</w:t>
            </w:r>
          </w:p>
        </w:tc>
      </w:tr>
      <w:tr>
        <w:tc>
          <w:tcPr>
            <w:tcW w:w="3256" w:type="dxa"/>
          </w:tcPr>
          <w:p>
            <w:pPr/>
            <w:r>
              <w:t xml:space="preserve">Senior analyst</w:t>
            </w:r>
          </w:p>
        </w:tc>
        <w:tc>
          <w:tcPr>
            <w:tcW w:w="6103" w:type="dxa"/>
          </w:tcPr>
          <w:p>
            <w:pPr/>
            <w:r>
              <w:t xml:space="preserve">Analyst rights, plus approve packet exports, edit incidents, manage suppressions</w:t>
            </w:r>
          </w:p>
        </w:tc>
      </w:tr>
      <w:tr>
        <w:tc>
          <w:tcPr>
            <w:tcW w:w="3256" w:type="dxa"/>
          </w:tcPr>
          <w:p>
            <w:pPr/>
            <w:r>
              <w:t xml:space="preserve">Detection engineer</w:t>
            </w:r>
          </w:p>
        </w:tc>
        <w:tc>
          <w:tcPr>
            <w:tcW w:w="6103" w:type="dxa"/>
          </w:tcPr>
          <w:p>
            <w:pPr/>
            <w:r>
              <w:t xml:space="preserve">Create and test rules, manage baselines, promote models</w:t>
            </w:r>
          </w:p>
        </w:tc>
      </w:tr>
      <w:tr>
        <w:tc>
          <w:tcPr>
            <w:tcW w:w="3256" w:type="dxa"/>
          </w:tcPr>
          <w:p>
            <w:pPr/>
            <w:r>
              <w:t xml:space="preserve">Network administrator</w:t>
            </w:r>
          </w:p>
        </w:tc>
        <w:tc>
          <w:tcPr>
            <w:tcW w:w="6103" w:type="dxa"/>
          </w:tcPr>
          <w:p>
            <w:pPr/>
            <w:r>
              <w:t xml:space="preserve">Manage sensors, exporters, zones and subnets</w:t>
            </w:r>
          </w:p>
        </w:tc>
      </w:tr>
      <w:tr>
        <w:tc>
          <w:tcPr>
            <w:tcW w:w="3256" w:type="dxa"/>
          </w:tcPr>
          <w:p>
            <w:pPr/>
            <w:r>
              <w:t xml:space="preserve">Platform administrator</w:t>
            </w:r>
          </w:p>
        </w:tc>
        <w:tc>
          <w:tcPr>
            <w:tcW w:w="6103" w:type="dxa"/>
          </w:tcPr>
          <w:p>
            <w:pPr/>
            <w:r>
              <w:t xml:space="preserve">Manage users, integrations, backups, upgrades</w:t>
            </w:r>
          </w:p>
        </w:tc>
      </w:tr>
      <w:tr>
        <w:tc>
          <w:tcPr>
            <w:tcW w:w="3256" w:type="dxa"/>
          </w:tcPr>
          <w:p>
            <w:pPr/>
            <w:r>
              <w:t xml:space="preserve">Auditor</w:t>
            </w:r>
          </w:p>
        </w:tc>
        <w:tc>
          <w:tcPr>
            <w:tcW w:w="6103" w:type="dxa"/>
          </w:tcPr>
          <w:p>
            <w:pPr/>
            <w:r>
              <w:t xml:space="preserve">Read-only access to audit logs and configuration history</w:t>
            </w:r>
          </w:p>
        </w:tc>
      </w:tr>
      <w:tr>
        <w:tc>
          <w:tcPr>
            <w:tcW w:w="3256" w:type="dxa"/>
          </w:tcPr>
          <w:p>
            <w:pPr/>
            <w:r>
              <w:t xml:space="preserve">Break-glass</w:t>
            </w:r>
          </w:p>
        </w:tc>
        <w:tc>
          <w:tcPr>
            <w:tcW w:w="6103" w:type="dxa"/>
          </w:tcPr>
          <w:p>
            <w:pPr/>
            <w:r>
              <w:t xml:space="preserve">Emergency local account, sealed credentials, every use alerted</w:t>
            </w:r>
          </w:p>
        </w:tc>
      </w:tr>
    </w:tbl>
    <w:p>
      <w:pPr>
        <w:pStyle w:val="ListParagraph"/>
        <w:numPr>
          <w:ilvl w:val="0"/>
          <w:numId w:val="2"/>
        </w:numPr>
      </w:pPr>
      <w:r>
        <w:t xml:space="preserve">Authenticate through AD or LDAP where available, with a local fallback.</w:t>
      </w:r>
    </w:p>
    <w:p>
      <w:pPr>
        <w:pStyle w:val="ListParagraph"/>
        <w:numPr>
          <w:ilvl w:val="0"/>
          <w:numId w:val="2"/>
        </w:numPr>
      </w:pPr>
      <w:r>
        <w:t xml:space="preserve">Use multi-factor authentication for administrative roles where the environment supports it.</w:t>
      </w:r>
    </w:p>
    <w:p>
      <w:pPr>
        <w:pStyle w:val="ListParagraph"/>
        <w:numPr>
          <w:ilvl w:val="0"/>
          <w:numId w:val="2"/>
        </w:numPr>
      </w:pPr>
      <w:r>
        <w:t xml:space="preserve">Apply least privilege. Packet payload access and export are separate rights from alert viewing.</w:t>
      </w:r>
    </w:p>
    <w:p>
      <w:pPr>
        <w:pStyle w:val="ListParagraph"/>
        <w:numPr>
          <w:ilvl w:val="0"/>
          <w:numId w:val="2"/>
        </w:numPr>
      </w:pPr>
      <w:r>
        <w:t xml:space="preserve">Enforce authorization in the API, not just in the user interface.</w:t>
      </w:r>
    </w:p>
    <w:p>
      <w:pPr>
        <w:pStyle w:val="ListParagraph"/>
        <w:numPr>
          <w:ilvl w:val="0"/>
          <w:numId w:val="2"/>
        </w:numPr>
      </w:pPr>
      <w:r>
        <w:t xml:space="preserve">Review role membership on a fixed schedule.</w:t>
      </w:r>
    </w:p>
    <w:p>
      <w:pPr>
        <w:pStyle w:val="Heading2"/>
      </w:pPr>
      <w:r>
        <w:t xml:space="preserve">5. Cryptography and key management</w:t>
      </w:r>
    </w:p>
    <w:p>
      <w:pPr>
        <w:pStyle w:val="ListParagraph"/>
        <w:numPr>
          <w:ilvl w:val="0"/>
          <w:numId w:val="3"/>
        </w:numPr>
      </w:pPr>
      <w:r>
        <w:t xml:space="preserve">TLS between all platform components, with mutual authentication for service-to-service links.</w:t>
      </w:r>
    </w:p>
    <w:p>
      <w:pPr>
        <w:pStyle w:val="ListParagraph"/>
        <w:numPr>
          <w:ilvl w:val="0"/>
          <w:numId w:val="3"/>
        </w:numPr>
      </w:pPr>
      <w:r>
        <w:t xml:space="preserve">Encryption at rest for the packet archive, the index, backups and the configuration database, using mechanisms OPTCL approves.</w:t>
      </w:r>
    </w:p>
    <w:p>
      <w:pPr>
        <w:pStyle w:val="ListParagraph"/>
        <w:numPr>
          <w:ilvl w:val="0"/>
          <w:numId w:val="3"/>
        </w:numPr>
      </w:pPr>
      <w:r>
        <w:t xml:space="preserve">Keys and certificates generated and held locally, in a vault or hardware security module.</w:t>
      </w:r>
    </w:p>
    <w:p>
      <w:pPr>
        <w:pStyle w:val="ListParagraph"/>
        <w:numPr>
          <w:ilvl w:val="0"/>
          <w:numId w:val="3"/>
        </w:numPr>
      </w:pPr>
      <w:r>
        <w:t xml:space="preserve">A private certificate authority inside the premises, with documented issuance, rotation and revocation.</w:t>
      </w:r>
    </w:p>
    <w:p>
      <w:pPr>
        <w:pStyle w:val="ListParagraph"/>
        <w:numPr>
          <w:ilvl w:val="0"/>
          <w:numId w:val="3"/>
        </w:numPr>
      </w:pPr>
      <w:r>
        <w:t xml:space="preserve">Certificate expiry monitoring with early alerts. Expired internal certificates are a classic cause of outages.</w:t>
      </w:r>
    </w:p>
    <w:p>
      <w:pPr>
        <w:pStyle w:val="ListParagraph"/>
        <w:numPr>
          <w:ilvl w:val="0"/>
          <w:numId w:val="3"/>
        </w:numPr>
      </w:pPr>
      <w:r>
        <w:t xml:space="preserve">Integrity hashes (for example SHA-256) on packet archive files and exported evidence.</w:t>
      </w:r>
    </w:p>
    <w:p>
      <w:pPr>
        <w:pStyle w:val="Heading2"/>
      </w:pPr>
      <w:r>
        <w:t xml:space="preserve">6. Offline supply chain: software and updates</w:t>
      </w:r>
    </w:p>
    <w:p>
      <w:pPr/>
      <w:r>
        <w:t xml:space="preserve">All software enters through one controlled route.</w:t>
      </w:r>
    </w:p>
    <w:p>
      <w:pPr>
        <w:pStyle w:val="ListParagraph"/>
        <w:numPr>
          <w:ilvl w:val="0"/>
          <w:numId w:val="4"/>
        </w:numPr>
      </w:pPr>
      <w:r>
        <w:rPr>
          <w:b/>
        </w:rPr>
        <w:t xml:space="preserve">Build or obtain</w:t>
      </w:r>
      <w:r>
        <w:t xml:space="preserve"> packages outside the air gap from a controlled build environment.</w:t>
      </w:r>
    </w:p>
    <w:p>
      <w:pPr>
        <w:pStyle w:val="ListParagraph"/>
        <w:numPr>
          <w:ilvl w:val="0"/>
          <w:numId w:val="4"/>
        </w:numPr>
      </w:pPr>
      <w:r>
        <w:rPr>
          <w:b/>
        </w:rPr>
        <w:t xml:space="preserve">Sign</w:t>
      </w:r>
      <w:r>
        <w:t xml:space="preserve"> every artifact (packages, container images, models, rule sets) with an organization key and record hashes.</w:t>
      </w:r>
    </w:p>
    <w:p>
      <w:pPr>
        <w:pStyle w:val="ListParagraph"/>
        <w:numPr>
          <w:ilvl w:val="0"/>
          <w:numId w:val="4"/>
        </w:numPr>
      </w:pPr>
      <w:r>
        <w:rPr>
          <w:b/>
        </w:rPr>
        <w:t xml:space="preserve">Scan</w:t>
      </w:r>
      <w:r>
        <w:t xml:space="preserve"> for malware and known vulnerabilities, and generate a software bill of materials.</w:t>
      </w:r>
    </w:p>
    <w:p>
      <w:pPr>
        <w:pStyle w:val="ListParagraph"/>
        <w:numPr>
          <w:ilvl w:val="0"/>
          <w:numId w:val="4"/>
        </w:numPr>
      </w:pPr>
      <w:r>
        <w:rPr>
          <w:b/>
        </w:rPr>
        <w:t xml:space="preserve">Approve</w:t>
      </w:r>
      <w:r>
        <w:t xml:space="preserve"> through OPTCL’s change process, with a written record.</w:t>
      </w:r>
    </w:p>
    <w:p>
      <w:pPr>
        <w:pStyle w:val="ListParagraph"/>
        <w:numPr>
          <w:ilvl w:val="0"/>
          <w:numId w:val="4"/>
        </w:numPr>
      </w:pPr>
      <w:r>
        <w:rPr>
          <w:b/>
        </w:rPr>
        <w:t xml:space="preserve">Transfer</w:t>
      </w:r>
      <w:r>
        <w:t xml:space="preserve"> over the approved route (removable media or transfer station).</w:t>
      </w:r>
    </w:p>
    <w:p>
      <w:pPr>
        <w:pStyle w:val="ListParagraph"/>
        <w:numPr>
          <w:ilvl w:val="0"/>
          <w:numId w:val="4"/>
        </w:numPr>
      </w:pPr>
      <w:r>
        <w:rPr>
          <w:b/>
        </w:rPr>
        <w:t xml:space="preserve">Verify</w:t>
      </w:r>
      <w:r>
        <w:t xml:space="preserve"> signatures and hashes on the inside before anything is installed.</w:t>
      </w:r>
    </w:p>
    <w:p>
      <w:pPr>
        <w:pStyle w:val="ListParagraph"/>
        <w:numPr>
          <w:ilvl w:val="0"/>
          <w:numId w:val="4"/>
        </w:numPr>
      </w:pPr>
      <w:r>
        <w:rPr>
          <w:b/>
        </w:rPr>
        <w:t xml:space="preserve">Stage</w:t>
      </w:r>
      <w:r>
        <w:t xml:space="preserve"> in the internal package repository and container registry.</w:t>
      </w:r>
    </w:p>
    <w:p>
      <w:pPr>
        <w:pStyle w:val="ListParagraph"/>
        <w:numPr>
          <w:ilvl w:val="0"/>
          <w:numId w:val="4"/>
        </w:numPr>
      </w:pPr>
      <w:r>
        <w:rPr>
          <w:b/>
        </w:rPr>
        <w:t xml:space="preserve">Deploy</w:t>
      </w:r>
      <w:r>
        <w:t xml:space="preserve"> to test first, then production, with a rollback plan.</w:t>
      </w:r>
    </w:p>
    <w:p>
      <w:pPr>
        <w:pStyle w:val="ListParagraph"/>
        <w:numPr>
          <w:ilvl w:val="0"/>
          <w:numId w:val="4"/>
        </w:numPr>
      </w:pPr>
      <w:r>
        <w:rPr>
          <w:b/>
        </w:rPr>
        <w:t xml:space="preserve">Record</w:t>
      </w:r>
      <w:r>
        <w:t xml:space="preserve"> what was installed, when, by whom, and from which transfer batch.</w:t>
      </w:r>
    </w:p>
    <w:p>
      <w:pPr/>
      <w:r>
        <w:t xml:space="preserve">Cadence: define regular windows (for example monthly for security patches) plus an emergency path for critical fixes. The tender requires the latest version and five years of end-of-support-life, so the product needs a documented patch and release policy that works through this route.</w:t>
      </w:r>
    </w:p>
    <w:p>
      <w:pPr>
        <w:pStyle w:val="Heading2"/>
      </w:pPr>
      <w:r>
        <w:t xml:space="preserve">7. Offline threat-intelligence workflow</w:t>
      </w:r>
    </w:p>
    <w:tbl>
      <w:tblPr>
        <w:tblStyle w:val="TableGrid"/>
        <w:tblW w:w="0" w:type="auto"/>
        <w:tblLayout w:type="fixed"/>
        <w:tblLook w:val="04A0" w:firstRow="1" w:lastRow="0" w:firstColumn="0" w:lastColumn="0" w:noHBand="0" w:noVBand="1"/>
      </w:tblPr>
      <w:tblGrid>
        <w:gridCol w:w="2766"/>
        <w:gridCol w:w="6593"/>
      </w:tblGrid>
      <w:tr>
        <w:trPr>
          <w:tblHeader/>
        </w:trPr>
        <w:tc>
          <w:tcPr>
            <w:tcW w:w="2766" w:type="dxa"/>
            <w:shd w:val="clear" w:color="auto" w:fill="F2F2F2"/>
          </w:tcPr>
          <w:p>
            <w:pPr/>
            <w:r>
              <w:t xml:space="preserve">Step</w:t>
            </w:r>
          </w:p>
        </w:tc>
        <w:tc>
          <w:tcPr>
            <w:tcW w:w="6593" w:type="dxa"/>
            <w:shd w:val="clear" w:color="auto" w:fill="F2F2F2"/>
          </w:tcPr>
          <w:p>
            <w:pPr/>
            <w:r>
              <w:t xml:space="preserve">Control</w:t>
            </w:r>
          </w:p>
        </w:tc>
      </w:tr>
      <w:tr>
        <w:tc>
          <w:tcPr>
            <w:tcW w:w="2766" w:type="dxa"/>
          </w:tcPr>
          <w:p>
            <w:pPr/>
            <w:r>
              <w:t xml:space="preserve">Collect</w:t>
            </w:r>
          </w:p>
        </w:tc>
        <w:tc>
          <w:tcPr>
            <w:tcW w:w="6593" w:type="dxa"/>
          </w:tcPr>
          <w:p>
            <w:pPr/>
            <w:r>
              <w:t xml:space="preserve">Gather feeds on an internet-connected staging system outside the platform</w:t>
            </w:r>
          </w:p>
        </w:tc>
      </w:tr>
      <w:tr>
        <w:tc>
          <w:tcPr>
            <w:tcW w:w="2766" w:type="dxa"/>
          </w:tcPr>
          <w:p>
            <w:pPr/>
            <w:r>
              <w:t xml:space="preserve">Package</w:t>
            </w:r>
          </w:p>
        </w:tc>
        <w:tc>
          <w:tcPr>
            <w:tcW w:w="6593" w:type="dxa"/>
          </w:tcPr>
          <w:p>
            <w:pPr/>
            <w:r>
              <w:t xml:space="preserve">Convert to an agreed format (for example STIX or CSV), add source, timestamp, expiry and a signature</w:t>
            </w:r>
          </w:p>
        </w:tc>
      </w:tr>
      <w:tr>
        <w:tc>
          <w:tcPr>
            <w:tcW w:w="2766" w:type="dxa"/>
          </w:tcPr>
          <w:p>
            <w:pPr/>
            <w:r>
              <w:t xml:space="preserve">Review</w:t>
            </w:r>
          </w:p>
        </w:tc>
        <w:tc>
          <w:tcPr>
            <w:tcW w:w="6593" w:type="dxa"/>
          </w:tcPr>
          <w:p>
            <w:pPr/>
            <w:r>
              <w:t xml:space="preserve">Spot-check for obvious errors, such as private ranges or major CDN addresses that would cause floods of false alerts</w:t>
            </w:r>
          </w:p>
        </w:tc>
      </w:tr>
      <w:tr>
        <w:tc>
          <w:tcPr>
            <w:tcW w:w="2766" w:type="dxa"/>
          </w:tcPr>
          <w:p>
            <w:pPr/>
            <w:r>
              <w:t xml:space="preserve">Transfer</w:t>
            </w:r>
          </w:p>
        </w:tc>
        <w:tc>
          <w:tcPr>
            <w:tcW w:w="6593" w:type="dxa"/>
          </w:tcPr>
          <w:p>
            <w:pPr/>
            <w:r>
              <w:t xml:space="preserve">Over the approved route</w:t>
            </w:r>
          </w:p>
        </w:tc>
      </w:tr>
      <w:tr>
        <w:tc>
          <w:tcPr>
            <w:tcW w:w="2766" w:type="dxa"/>
          </w:tcPr>
          <w:p>
            <w:pPr/>
            <w:r>
              <w:t xml:space="preserve">Verify and import</w:t>
            </w:r>
          </w:p>
        </w:tc>
        <w:tc>
          <w:tcPr>
            <w:tcW w:w="6593" w:type="dxa"/>
          </w:tcPr>
          <w:p>
            <w:pPr/>
            <w:r>
              <w:t xml:space="preserve">Check signature, then import into a staging area, then into production</w:t>
            </w:r>
          </w:p>
        </w:tc>
      </w:tr>
      <w:tr>
        <w:tc>
          <w:tcPr>
            <w:tcW w:w="2766" w:type="dxa"/>
          </w:tcPr>
          <w:p>
            <w:pPr/>
            <w:r>
              <w:t xml:space="preserve">Expire</w:t>
            </w:r>
          </w:p>
        </w:tc>
        <w:tc>
          <w:tcPr>
            <w:tcW w:w="6593" w:type="dxa"/>
          </w:tcPr>
          <w:p>
            <w:pPr/>
            <w:r>
              <w:t xml:space="preserve">Every indicator has a valid-until date. Expired entries are disabled automatically</w:t>
            </w:r>
          </w:p>
        </w:tc>
      </w:tr>
      <w:tr>
        <w:tc>
          <w:tcPr>
            <w:tcW w:w="2766" w:type="dxa"/>
          </w:tcPr>
          <w:p>
            <w:pPr/>
            <w:r>
              <w:t xml:space="preserve">Roll back</w:t>
            </w:r>
          </w:p>
        </w:tc>
        <w:tc>
          <w:tcPr>
            <w:tcW w:w="6593" w:type="dxa"/>
          </w:tcPr>
          <w:p>
            <w:pPr/>
            <w:r>
              <w:t xml:space="preserve">Keep previous batches so a bad import can be reversed in minutes</w:t>
            </w:r>
          </w:p>
        </w:tc>
      </w:tr>
    </w:tbl>
    <w:p>
      <w:pPr/>
      <w:r>
        <w:t xml:space="preserve">Similar handling applies to geolocation databases, application-signature updates, and rule sets.</w:t>
      </w:r>
    </w:p>
    <w:p>
      <w:pPr>
        <w:pStyle w:val="Heading2"/>
      </w:pPr>
      <w:r>
        <w:t xml:space="preserve">8. Block unwanted outbound dependencies</w:t>
      </w:r>
    </w:p>
    <w:p>
      <w:pPr/>
      <w:r>
        <w:t xml:space="preserve">Products often try to call home. Treat each of these as a defect until proven absent:</w:t>
      </w:r>
    </w:p>
    <w:p>
      <w:pPr>
        <w:pStyle w:val="ListParagraph"/>
        <w:numPr>
          <w:ilvl w:val="0"/>
          <w:numId w:val="5"/>
        </w:numPr>
      </w:pPr>
      <w:r>
        <w:t xml:space="preserve">Telemetry and crash reporting.</w:t>
      </w:r>
    </w:p>
    <w:p>
      <w:pPr>
        <w:pStyle w:val="ListParagraph"/>
        <w:numPr>
          <w:ilvl w:val="0"/>
          <w:numId w:val="5"/>
        </w:numPr>
      </w:pPr>
      <w:r>
        <w:t xml:space="preserve">Online licence checks and activation.</w:t>
      </w:r>
    </w:p>
    <w:p>
      <w:pPr>
        <w:pStyle w:val="ListParagraph"/>
        <w:numPr>
          <w:ilvl w:val="0"/>
          <w:numId w:val="5"/>
        </w:numPr>
      </w:pPr>
      <w:r>
        <w:t xml:space="preserve">Update checks and plugin repositories.</w:t>
      </w:r>
    </w:p>
    <w:p>
      <w:pPr>
        <w:pStyle w:val="ListParagraph"/>
        <w:numPr>
          <w:ilvl w:val="0"/>
          <w:numId w:val="5"/>
        </w:numPr>
      </w:pPr>
      <w:r>
        <w:t xml:space="preserve">Cloud lookups for geolocation, reputation or sandboxing.</w:t>
      </w:r>
    </w:p>
    <w:p>
      <w:pPr>
        <w:pStyle w:val="ListParagraph"/>
        <w:numPr>
          <w:ilvl w:val="0"/>
          <w:numId w:val="5"/>
        </w:numPr>
      </w:pPr>
      <w:r>
        <w:t xml:space="preserve">External DNS and NTP servers.</w:t>
      </w:r>
    </w:p>
    <w:p>
      <w:pPr>
        <w:pStyle w:val="ListParagraph"/>
        <w:numPr>
          <w:ilvl w:val="0"/>
          <w:numId w:val="5"/>
        </w:numPr>
      </w:pPr>
      <w:r>
        <w:t xml:space="preserve">Fonts, scripts or images loaded by the web console from outside.</w:t>
      </w:r>
    </w:p>
    <w:p>
      <w:pPr>
        <w:pStyle w:val="ListParagraph"/>
        <w:numPr>
          <w:ilvl w:val="0"/>
          <w:numId w:val="5"/>
        </w:numPr>
      </w:pPr>
      <w:r>
        <w:t xml:space="preserve">Support tunnels and remote-management agents.</w:t>
      </w:r>
    </w:p>
    <w:p>
      <w:pPr/>
      <w:r>
        <w:t xml:space="preserve">Verification: default-deny egress on every host, packet capture on the management and integration segments during a soak test, and a written dependency inventory signed off before go-live. Repeat after every upgrade.</w:t>
      </w:r>
    </w:p>
    <w:p>
      <w:pPr>
        <w:pStyle w:val="Heading2"/>
      </w:pPr>
      <w:r>
        <w:t xml:space="preserve">9. Platform hardening</w:t>
      </w:r>
    </w:p>
    <w:p>
      <w:pPr>
        <w:pStyle w:val="ListParagraph"/>
        <w:numPr>
          <w:ilvl w:val="0"/>
          <w:numId w:val="6"/>
        </w:numPr>
      </w:pPr>
      <w:r>
        <w:t xml:space="preserve">Minimal operating-system installs, unused services removed, secure baselines applied and checked.</w:t>
      </w:r>
    </w:p>
    <w:p>
      <w:pPr>
        <w:pStyle w:val="ListParagraph"/>
        <w:numPr>
          <w:ilvl w:val="0"/>
          <w:numId w:val="6"/>
        </w:numPr>
      </w:pPr>
      <w:r>
        <w:t xml:space="preserve">Host firewalls on every node in addition to network firewalls.</w:t>
      </w:r>
    </w:p>
    <w:p>
      <w:pPr>
        <w:pStyle w:val="ListParagraph"/>
        <w:numPr>
          <w:ilvl w:val="0"/>
          <w:numId w:val="6"/>
        </w:numPr>
      </w:pPr>
      <w:r>
        <w:t xml:space="preserve">Separate administrative accounts, no shared credentials, secrets never stored in plain-text configuration.</w:t>
      </w:r>
    </w:p>
    <w:p>
      <w:pPr>
        <w:pStyle w:val="ListParagraph"/>
        <w:numPr>
          <w:ilvl w:val="0"/>
          <w:numId w:val="6"/>
        </w:numPr>
      </w:pPr>
      <w:r>
        <w:t xml:space="preserve">Disabled USB mass storage except on the controlled transfer station.</w:t>
      </w:r>
    </w:p>
    <w:p>
      <w:pPr>
        <w:pStyle w:val="ListParagraph"/>
        <w:numPr>
          <w:ilvl w:val="0"/>
          <w:numId w:val="6"/>
        </w:numPr>
      </w:pPr>
      <w:r>
        <w:t xml:space="preserve">Time synchronization from local, redundant sources, with drift alarms.</w:t>
      </w:r>
    </w:p>
    <w:p>
      <w:pPr>
        <w:pStyle w:val="ListParagraph"/>
        <w:numPr>
          <w:ilvl w:val="0"/>
          <w:numId w:val="6"/>
        </w:numPr>
      </w:pPr>
      <w:r>
        <w:t xml:space="preserve">Restricted shell access, command logging on privileged sessions.</w:t>
      </w:r>
    </w:p>
    <w:p>
      <w:pPr>
        <w:pStyle w:val="ListParagraph"/>
        <w:numPr>
          <w:ilvl w:val="0"/>
          <w:numId w:val="6"/>
        </w:numPr>
      </w:pPr>
      <w:r>
        <w:t xml:space="preserve">Regular vulnerability scanning of the platform itself, using offline-updated signatures.</w:t>
      </w:r>
    </w:p>
    <w:p>
      <w:pPr>
        <w:pStyle w:val="Heading2"/>
      </w:pPr>
      <w:r>
        <w:t xml:space="preserve">10. Auditing and evidence handling</w:t>
      </w:r>
    </w:p>
    <w:tbl>
      <w:tblPr>
        <w:tblStyle w:val="TableGrid"/>
        <w:tblW w:w="0" w:type="auto"/>
        <w:tblLayout w:type="fixed"/>
        <w:tblLook w:val="04A0" w:firstRow="1" w:lastRow="0" w:firstColumn="0" w:lastColumn="0" w:noHBand="0" w:noVBand="1"/>
      </w:tblPr>
      <w:tblGrid>
        <w:gridCol w:w="4771"/>
        <w:gridCol w:w="4588"/>
      </w:tblGrid>
      <w:tr>
        <w:trPr>
          <w:tblHeader/>
        </w:trPr>
        <w:tc>
          <w:tcPr>
            <w:tcW w:w="4771" w:type="dxa"/>
            <w:shd w:val="clear" w:color="auto" w:fill="F2F2F2"/>
          </w:tcPr>
          <w:p>
            <w:pPr/>
            <w:r>
              <w:t xml:space="preserve">Event</w:t>
            </w:r>
          </w:p>
        </w:tc>
        <w:tc>
          <w:tcPr>
            <w:tcW w:w="4588" w:type="dxa"/>
            <w:shd w:val="clear" w:color="auto" w:fill="F2F2F2"/>
          </w:tcPr>
          <w:p>
            <w:pPr/>
            <w:r>
              <w:t xml:space="preserve">Recorded</w:t>
            </w:r>
          </w:p>
        </w:tc>
      </w:tr>
      <w:tr>
        <w:tc>
          <w:tcPr>
            <w:tcW w:w="4771" w:type="dxa"/>
          </w:tcPr>
          <w:p>
            <w:pPr/>
            <w:r>
              <w:t xml:space="preserve">Login, failed login, role change</w:t>
            </w:r>
          </w:p>
        </w:tc>
        <w:tc>
          <w:tcPr>
            <w:tcW w:w="4588" w:type="dxa"/>
          </w:tcPr>
          <w:p>
            <w:pPr/>
            <w:r>
              <w:t xml:space="preserve">Who, when, from where</w:t>
            </w:r>
          </w:p>
        </w:tc>
      </w:tr>
      <w:tr>
        <w:tc>
          <w:tcPr>
            <w:tcW w:w="4771" w:type="dxa"/>
          </w:tcPr>
          <w:p>
            <w:pPr/>
            <w:r>
              <w:t xml:space="preserve">Rule, threshold and policy changes</w:t>
            </w:r>
          </w:p>
        </w:tc>
        <w:tc>
          <w:tcPr>
            <w:tcW w:w="4588" w:type="dxa"/>
          </w:tcPr>
          <w:p>
            <w:pPr/>
            <w:r>
              <w:t xml:space="preserve">Author, version, reason</w:t>
            </w:r>
          </w:p>
        </w:tc>
      </w:tr>
      <w:tr>
        <w:tc>
          <w:tcPr>
            <w:tcW w:w="4771" w:type="dxa"/>
          </w:tcPr>
          <w:p>
            <w:pPr/>
            <w:r>
              <w:t xml:space="preserve">Packet search, retrieval and export</w:t>
            </w:r>
          </w:p>
        </w:tc>
        <w:tc>
          <w:tcPr>
            <w:tcW w:w="4588" w:type="dxa"/>
          </w:tcPr>
          <w:p>
            <w:pPr/>
            <w:r>
              <w:t xml:space="preserve">Who, what filter, which files, why</w:t>
            </w:r>
          </w:p>
        </w:tc>
      </w:tr>
      <w:tr>
        <w:tc>
          <w:tcPr>
            <w:tcW w:w="4771" w:type="dxa"/>
          </w:tcPr>
          <w:p>
            <w:pPr/>
            <w:r>
              <w:t xml:space="preserve">Incident status changes</w:t>
            </w:r>
          </w:p>
        </w:tc>
        <w:tc>
          <w:tcPr>
            <w:tcW w:w="4588" w:type="dxa"/>
          </w:tcPr>
          <w:p>
            <w:pPr/>
            <w:r>
              <w:t xml:space="preserve">Analyst, time, notes</w:t>
            </w:r>
          </w:p>
        </w:tc>
      </w:tr>
      <w:tr>
        <w:tc>
          <w:tcPr>
            <w:tcW w:w="4771" w:type="dxa"/>
          </w:tcPr>
          <w:p>
            <w:pPr/>
            <w:r>
              <w:t xml:space="preserve">Configuration and integration changes</w:t>
            </w:r>
          </w:p>
        </w:tc>
        <w:tc>
          <w:tcPr>
            <w:tcW w:w="4588" w:type="dxa"/>
          </w:tcPr>
          <w:p>
            <w:pPr/>
            <w:r>
              <w:t xml:space="preserve">Before and after values</w:t>
            </w:r>
          </w:p>
        </w:tc>
      </w:tr>
      <w:tr>
        <w:tc>
          <w:tcPr>
            <w:tcW w:w="4771" w:type="dxa"/>
          </w:tcPr>
          <w:p>
            <w:pPr/>
            <w:r>
              <w:t xml:space="preserve">Software and content imports</w:t>
            </w:r>
          </w:p>
        </w:tc>
        <w:tc>
          <w:tcPr>
            <w:tcW w:w="4588" w:type="dxa"/>
          </w:tcPr>
          <w:p>
            <w:pPr/>
            <w:r>
              <w:t xml:space="preserve">Batch ID, signer, approver, installer</w:t>
            </w:r>
          </w:p>
        </w:tc>
      </w:tr>
    </w:tbl>
    <w:p>
      <w:pPr/>
      <w:r>
        <w:t xml:space="preserve">Audit records are append-only, time-stamped from the synchronized clock, protected from the administrators they describe, and retained according to OPTCL policy. Exported packet evidence carries its hash and chain-of-custody details.</w:t>
      </w:r>
    </w:p>
    <w:p>
      <w:pPr>
        <w:pStyle w:val="Heading2"/>
      </w:pPr>
      <w:r>
        <w:t xml:space="preserve">11. Backup, retention and secure deletion</w:t>
      </w:r>
    </w:p>
    <w:p>
      <w:pPr>
        <w:pStyle w:val="ListParagraph"/>
        <w:numPr>
          <w:ilvl w:val="0"/>
          <w:numId w:val="7"/>
        </w:numPr>
      </w:pPr>
      <w:r>
        <w:t xml:space="preserve">Back up configuration, rules, models, baselines, incidents and audit logs on a defined schedule to a separate local target.</w:t>
      </w:r>
    </w:p>
    <w:p>
      <w:pPr>
        <w:pStyle w:val="ListParagraph"/>
        <w:numPr>
          <w:ilvl w:val="0"/>
          <w:numId w:val="7"/>
        </w:numPr>
      </w:pPr>
      <w:r>
        <w:t xml:space="preserve">Raw packet and flow data is usually not backed up in full. The replication design and the retention policy decide what is recoverable.</w:t>
      </w:r>
    </w:p>
    <w:p>
      <w:pPr>
        <w:pStyle w:val="ListParagraph"/>
        <w:numPr>
          <w:ilvl w:val="0"/>
          <w:numId w:val="7"/>
        </w:numPr>
      </w:pPr>
      <w:r>
        <w:t xml:space="preserve">Test restores regularly and record the result.</w:t>
      </w:r>
    </w:p>
    <w:p>
      <w:pPr>
        <w:pStyle w:val="ListParagraph"/>
        <w:numPr>
          <w:ilvl w:val="0"/>
          <w:numId w:val="7"/>
        </w:numPr>
      </w:pPr>
      <w:r>
        <w:t xml:space="preserve">Delete data at the end of retention automatically, with a job that reports what was deleted. Where policy requires it, use secure erase or cryptographic erasure.</w:t>
      </w:r>
    </w:p>
    <w:p>
      <w:pPr>
        <w:pStyle w:val="ListParagraph"/>
        <w:numPr>
          <w:ilvl w:val="0"/>
          <w:numId w:val="7"/>
        </w:numPr>
      </w:pPr>
      <w:r>
        <w:t xml:space="preserve">Define legal-hold handling so evidence in an active incident is not deleted by retention jobs.</w:t>
      </w:r>
    </w:p>
    <w:p>
      <w:pPr>
        <w:pStyle w:val="Heading2"/>
      </w:pPr>
      <w:r>
        <w:t xml:space="preserve">12. Security testing</w:t>
      </w:r>
    </w:p>
    <w:tbl>
      <w:tblPr>
        <w:tblStyle w:val="TableGrid"/>
        <w:tblW w:w="0" w:type="auto"/>
        <w:tblLayout w:type="fixed"/>
        <w:tblLook w:val="04A0" w:firstRow="1" w:lastRow="0" w:firstColumn="0" w:lastColumn="0" w:noHBand="0" w:noVBand="1"/>
      </w:tblPr>
      <w:tblGrid>
        <w:gridCol w:w="4654"/>
        <w:gridCol w:w="4705"/>
      </w:tblGrid>
      <w:tr>
        <w:trPr>
          <w:tblHeader/>
        </w:trPr>
        <w:tc>
          <w:tcPr>
            <w:tcW w:w="4654" w:type="dxa"/>
            <w:shd w:val="clear" w:color="auto" w:fill="F2F2F2"/>
          </w:tcPr>
          <w:p>
            <w:pPr/>
            <w:r>
              <w:t xml:space="preserve">Test</w:t>
            </w:r>
          </w:p>
        </w:tc>
        <w:tc>
          <w:tcPr>
            <w:tcW w:w="4705" w:type="dxa"/>
            <w:shd w:val="clear" w:color="auto" w:fill="F2F2F2"/>
          </w:tcPr>
          <w:p>
            <w:pPr/>
            <w:r>
              <w:t xml:space="preserve">Frequency or trigger</w:t>
            </w:r>
          </w:p>
        </w:tc>
      </w:tr>
      <w:tr>
        <w:tc>
          <w:tcPr>
            <w:tcW w:w="4654" w:type="dxa"/>
          </w:tcPr>
          <w:p>
            <w:pPr/>
            <w:r>
              <w:t xml:space="preserve">Egress validation (no outbound traffic)</w:t>
            </w:r>
          </w:p>
        </w:tc>
        <w:tc>
          <w:tcPr>
            <w:tcW w:w="4705" w:type="dxa"/>
          </w:tcPr>
          <w:p>
            <w:pPr/>
            <w:r>
              <w:t xml:space="preserve">Before go-live and after each upgrade</w:t>
            </w:r>
          </w:p>
        </w:tc>
      </w:tr>
      <w:tr>
        <w:tc>
          <w:tcPr>
            <w:tcW w:w="4654" w:type="dxa"/>
          </w:tcPr>
          <w:p>
            <w:pPr/>
            <w:r>
              <w:t xml:space="preserve">Vulnerability scan of the platform</w:t>
            </w:r>
          </w:p>
        </w:tc>
        <w:tc>
          <w:tcPr>
            <w:tcW w:w="4705" w:type="dxa"/>
          </w:tcPr>
          <w:p>
            <w:pPr/>
            <w:r>
              <w:t xml:space="preserve">Monthly and before go-live</w:t>
            </w:r>
          </w:p>
        </w:tc>
      </w:tr>
      <w:tr>
        <w:tc>
          <w:tcPr>
            <w:tcW w:w="4654" w:type="dxa"/>
          </w:tcPr>
          <w:p>
            <w:pPr/>
            <w:r>
              <w:t xml:space="preserve">Penetration test of console and API</w:t>
            </w:r>
          </w:p>
        </w:tc>
        <w:tc>
          <w:tcPr>
            <w:tcW w:w="4705" w:type="dxa"/>
          </w:tcPr>
          <w:p>
            <w:pPr/>
            <w:r>
              <w:t xml:space="preserve">Before go-live and after major changes</w:t>
            </w:r>
          </w:p>
        </w:tc>
      </w:tr>
      <w:tr>
        <w:tc>
          <w:tcPr>
            <w:tcW w:w="4654" w:type="dxa"/>
          </w:tcPr>
          <w:p>
            <w:pPr/>
            <w:r>
              <w:t xml:space="preserve">Access-control review</w:t>
            </w:r>
          </w:p>
        </w:tc>
        <w:tc>
          <w:tcPr>
            <w:tcW w:w="4705" w:type="dxa"/>
          </w:tcPr>
          <w:p>
            <w:pPr/>
            <w:r>
              <w:t xml:space="preserve">Quarterly</w:t>
            </w:r>
          </w:p>
        </w:tc>
      </w:tr>
      <w:tr>
        <w:tc>
          <w:tcPr>
            <w:tcW w:w="4654" w:type="dxa"/>
          </w:tcPr>
          <w:p>
            <w:pPr/>
            <w:r>
              <w:t xml:space="preserve">Restore test</w:t>
            </w:r>
          </w:p>
        </w:tc>
        <w:tc>
          <w:tcPr>
            <w:tcW w:w="4705" w:type="dxa"/>
          </w:tcPr>
          <w:p>
            <w:pPr/>
            <w:r>
              <w:t xml:space="preserve">At least twice a year</w:t>
            </w:r>
          </w:p>
        </w:tc>
      </w:tr>
      <w:tr>
        <w:tc>
          <w:tcPr>
            <w:tcW w:w="4654" w:type="dxa"/>
          </w:tcPr>
          <w:p>
            <w:pPr/>
            <w:r>
              <w:t xml:space="preserve">Audit-log tamper test</w:t>
            </w:r>
          </w:p>
        </w:tc>
        <w:tc>
          <w:tcPr>
            <w:tcW w:w="4705" w:type="dxa"/>
          </w:tcPr>
          <w:p>
            <w:pPr/>
            <w:r>
              <w:t xml:space="preserve">Before go-live</w:t>
            </w:r>
          </w:p>
        </w:tc>
      </w:tr>
      <w:tr>
        <w:tc>
          <w:tcPr>
            <w:tcW w:w="4654" w:type="dxa"/>
          </w:tcPr>
          <w:p>
            <w:pPr/>
            <w:r>
              <w:t xml:space="preserve">Offline update rehearsal</w:t>
            </w:r>
          </w:p>
        </w:tc>
        <w:tc>
          <w:tcPr>
            <w:tcW w:w="4705" w:type="dxa"/>
          </w:tcPr>
          <w:p>
            <w:pPr/>
            <w:r>
              <w:t xml:space="preserve">Before go-live and once a year</w:t>
            </w:r>
          </w:p>
        </w:tc>
      </w:tr>
    </w:tbl>
    <w:p>
      <w:pPr>
        <w:pStyle w:val="Heading2"/>
      </w:pPr>
      <w:r>
        <w:t xml:space="preserve">13. Open items</w:t>
      </w:r>
    </w:p>
    <w:p>
      <w:pPr>
        <w:pStyle w:val="ListParagraph"/>
        <w:numPr>
          <w:ilvl w:val="0"/>
          <w:numId w:val="8"/>
        </w:numPr>
      </w:pPr>
      <w:r>
        <w:t xml:space="preserve">Written description of the air-gap boundary and the approved transfer methods.</w:t>
      </w:r>
    </w:p>
    <w:p>
      <w:pPr>
        <w:pStyle w:val="ListParagraph"/>
        <w:numPr>
          <w:ilvl w:val="0"/>
          <w:numId w:val="8"/>
        </w:numPr>
      </w:pPr>
      <w:r>
        <w:t xml:space="preserve">OPTCL’s cryptographic standards, approved algorithms and key-custody rules.</w:t>
      </w:r>
    </w:p>
    <w:p>
      <w:pPr>
        <w:pStyle w:val="ListParagraph"/>
        <w:numPr>
          <w:ilvl w:val="0"/>
          <w:numId w:val="8"/>
        </w:numPr>
      </w:pPr>
      <w:r>
        <w:t xml:space="preserve">Offline licensing method for every commercial component.</w:t>
      </w:r>
    </w:p>
    <w:p>
      <w:pPr>
        <w:pStyle w:val="ListParagraph"/>
        <w:numPr>
          <w:ilvl w:val="0"/>
          <w:numId w:val="8"/>
        </w:numPr>
      </w:pPr>
      <w:r>
        <w:t xml:space="preserve">Supervised-support model for OEM engineers and how it meets the 24x7 requirement.</w:t>
      </w:r>
    </w:p>
    <w:p>
      <w:pPr>
        <w:pStyle w:val="ListParagraph"/>
        <w:numPr>
          <w:ilvl w:val="0"/>
          <w:numId w:val="8"/>
        </w:numPr>
      </w:pPr>
      <w:r>
        <w:t xml:space="preserve">Retention and legal-hold policy for incident evidence.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NBAD Air-Gap Operations and Security Design</dc:title>
  <dc:description>Claude Docs node/1ff948a4-6b27@2 docx-w7</dc:description>
  <cp:revision>2</cp:revision>
</cp:coreProperties>
</file>