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Capacity Planning and Sizing Workbook</w:t>
      </w:r>
    </w:p>
    <w:p>
      <w:pPr/>
      <w:r>
        <w:rPr>
          <w:b/>
        </w:rPr>
        <w:t xml:space="preserve">OPTCL Next Generation SOC &amp; NOC: Network Behaviour Anomaly Detection</w:t>
      </w:r>
    </w:p>
    <w:p>
      <w:pPr/>
      <w:r>
        <w:t xml:space="preserve">Version 0.1 | Companion to the NBAD Project Blueprint | Draft for engineering review</w:t>
      </w:r>
    </w:p>
    <w:p>
      <w:pPr/>
      <w:r>
        <w:rPr>
          <w:i/>
        </w:rPr>
        <w:t xml:space="preserve">Status: Worked examples and formulas only. Every figure is a scenario calculation. Do not use any number here as a procurement size until OPTCL’s real traffic has been measured and the benchmark definitions are agreed.</w:t>
      </w:r>
    </w:p>
    <w:p>
      <w:pPr>
        <w:pStyle w:val="Heading2"/>
      </w:pPr>
      <w:r>
        <w:t xml:space="preserve">1. Purpose</w:t>
      </w:r>
    </w:p>
    <w:p>
      <w:pPr/>
      <w:r>
        <w:t xml:space="preserve">The tender gives a few hard numbers (512 Mbps at the DC, 5 million records in 180 seconds, 7 days of raw packets, 15 days of normalized data, 30% spare capacity). This workbook shows how each one turns into storage, packet-rate and throughput requirements, and what inputs we still need before a size can be committed.</w:t>
      </w:r>
    </w:p>
    <w:p>
      <w:pPr>
        <w:pStyle w:val="Heading2"/>
      </w:pPr>
      <w:r>
        <w:t xml:space="preserve">2. Raw packet storage</w:t>
      </w:r>
    </w:p>
    <w:p>
      <w:pPr>
        <w:pStyle w:val="Heading3"/>
      </w:pPr>
      <w:r>
        <w:t xml:space="preserve">2.1 Formula</w:t>
      </w:r>
    </w:p>
    <w:p>
      <w:pPr/>
      <w:r>
        <w:t xml:space="preserve">Daily raw storage = average captured bit rate ÷ 8 × 86,400 seconds.</w:t>
      </w:r>
    </w:p>
    <w:p>
      <w:pPr/>
      <w:r>
        <w:t xml:space="preserve">Total raw storage = daily raw storage × retention days × (1 + planning margin) × replication factor, plus filesystem and index overhead.</w:t>
      </w:r>
    </w:p>
    <w:p>
      <w:pPr>
        <w:pStyle w:val="Heading3"/>
      </w:pPr>
      <w:r>
        <w:t xml:space="preserve">2.2 Worked example at 512 Mbps, sustained, no filtering</w:t>
      </w:r>
    </w:p>
    <w:tbl>
      <w:tblPr>
        <w:tblStyle w:val="TableGrid"/>
        <w:tblW w:w="0" w:type="auto"/>
        <w:tblLayout w:type="fixed"/>
        <w:tblLook w:val="04A0" w:firstRow="1" w:lastRow="0" w:firstColumn="0" w:lastColumn="0" w:noHBand="0" w:noVBand="1"/>
      </w:tblPr>
      <w:tblGrid>
        <w:gridCol w:w="4236"/>
        <w:gridCol w:w="5123"/>
      </w:tblGrid>
      <w:tr>
        <w:trPr>
          <w:tblHeader/>
        </w:trPr>
        <w:tc>
          <w:tcPr>
            <w:tcW w:w="4236" w:type="dxa"/>
            <w:shd w:val="clear" w:color="auto" w:fill="F2F2F2"/>
          </w:tcPr>
          <w:p>
            <w:pPr/>
            <w:r>
              <w:t xml:space="preserve">Step</w:t>
            </w:r>
          </w:p>
        </w:tc>
        <w:tc>
          <w:tcPr>
            <w:tcW w:w="5123" w:type="dxa"/>
            <w:shd w:val="clear" w:color="auto" w:fill="F2F2F2"/>
          </w:tcPr>
          <w:p>
            <w:pPr/>
            <w:r>
              <w:t xml:space="preserve">Value</w:t>
            </w:r>
          </w:p>
        </w:tc>
      </w:tr>
      <w:tr>
        <w:tc>
          <w:tcPr>
            <w:tcW w:w="4236" w:type="dxa"/>
          </w:tcPr>
          <w:p>
            <w:pPr/>
            <w:r>
              <w:t xml:space="preserve">Bytes per second</w:t>
            </w:r>
          </w:p>
        </w:tc>
        <w:tc>
          <w:tcPr>
            <w:tcW w:w="5123" w:type="dxa"/>
          </w:tcPr>
          <w:p>
            <w:pPr/>
            <w:r>
              <w:t xml:space="preserve">512,000,000 ÷ 8 = 64,000,000</w:t>
            </w:r>
          </w:p>
        </w:tc>
      </w:tr>
      <w:tr>
        <w:tc>
          <w:tcPr>
            <w:tcW w:w="4236" w:type="dxa"/>
          </w:tcPr>
          <w:p>
            <w:pPr/>
            <w:r>
              <w:t xml:space="preserve">Per day</w:t>
            </w:r>
          </w:p>
        </w:tc>
        <w:tc>
          <w:tcPr>
            <w:tcW w:w="5123" w:type="dxa"/>
          </w:tcPr>
          <w:p>
            <w:pPr/>
            <w:r>
              <w:t xml:space="preserve">5.53 TB (decimal)</w:t>
            </w:r>
          </w:p>
        </w:tc>
      </w:tr>
      <w:tr>
        <w:tc>
          <w:tcPr>
            <w:tcW w:w="4236" w:type="dxa"/>
          </w:tcPr>
          <w:p>
            <w:pPr/>
            <w:r>
              <w:t xml:space="preserve">Seven days</w:t>
            </w:r>
          </w:p>
        </w:tc>
        <w:tc>
          <w:tcPr>
            <w:tcW w:w="5123" w:type="dxa"/>
          </w:tcPr>
          <w:p>
            <w:pPr/>
            <w:r>
              <w:t xml:space="preserve">38.7 TB</w:t>
            </w:r>
          </w:p>
        </w:tc>
      </w:tr>
      <w:tr>
        <w:tc>
          <w:tcPr>
            <w:tcW w:w="4236" w:type="dxa"/>
          </w:tcPr>
          <w:p>
            <w:pPr/>
            <w:r>
              <w:t xml:space="preserve">With a 30% planning margin</w:t>
            </w:r>
          </w:p>
        </w:tc>
        <w:tc>
          <w:tcPr>
            <w:tcW w:w="5123" w:type="dxa"/>
          </w:tcPr>
          <w:p>
            <w:pPr/>
            <w:r>
              <w:t xml:space="preserve">50.3 TB</w:t>
            </w:r>
          </w:p>
        </w:tc>
      </w:tr>
      <w:tr>
        <w:tc>
          <w:tcPr>
            <w:tcW w:w="4236" w:type="dxa"/>
          </w:tcPr>
          <w:p>
            <w:pPr/>
            <w:r>
              <w:t xml:space="preserve">With a replication factor of 2 on top</w:t>
            </w:r>
          </w:p>
        </w:tc>
        <w:tc>
          <w:tcPr>
            <w:tcW w:w="5123" w:type="dxa"/>
          </w:tcPr>
          <w:p>
            <w:pPr/>
            <w:r>
              <w:t xml:space="preserve">about 100.6 TB, before filesystem overhead</w:t>
            </w:r>
          </w:p>
        </w:tc>
      </w:tr>
    </w:tbl>
    <w:p>
      <w:pPr>
        <w:pStyle w:val="Heading3"/>
      </w:pPr>
      <w:r>
        <w:t xml:space="preserve">2.3 Effect of average utilization</w:t>
      </w:r>
    </w:p>
    <w:p>
      <w:pPr/>
      <w:r>
        <w:t xml:space="preserve">The tender says at least 512 Mbps. If that is a peak and the average is lower, the retained volume drops proportionally. We need the real average to decide.</w:t>
      </w:r>
    </w:p>
    <w:tbl>
      <w:tblPr>
        <w:tblStyle w:val="TableGrid"/>
        <w:tblW w:w="0" w:type="auto"/>
        <w:tblLayout w:type="fixed"/>
        <w:tblLook w:val="04A0" w:firstRow="1" w:lastRow="0" w:firstColumn="0" w:lastColumn="0" w:noHBand="0" w:noVBand="1"/>
      </w:tblPr>
      <w:tblGrid>
        <w:gridCol w:w="4416"/>
        <w:gridCol w:w="1164"/>
        <w:gridCol w:w="1553"/>
        <w:gridCol w:w="2225"/>
      </w:tblGrid>
      <w:tr>
        <w:trPr>
          <w:tblHeader/>
        </w:trPr>
        <w:tc>
          <w:tcPr>
            <w:tcW w:w="4416" w:type="dxa"/>
            <w:shd w:val="clear" w:color="auto" w:fill="F2F2F2"/>
          </w:tcPr>
          <w:p>
            <w:pPr/>
            <w:r>
              <w:t xml:space="preserve">Average rate as a share of 512 Mbps</w:t>
            </w:r>
          </w:p>
        </w:tc>
        <w:tc>
          <w:tcPr>
            <w:tcW w:w="1164" w:type="dxa"/>
            <w:shd w:val="clear" w:color="auto" w:fill="F2F2F2"/>
          </w:tcPr>
          <w:p>
            <w:pPr/>
            <w:r>
              <w:t xml:space="preserve">Per day</w:t>
            </w:r>
          </w:p>
        </w:tc>
        <w:tc>
          <w:tcPr>
            <w:tcW w:w="1553" w:type="dxa"/>
            <w:shd w:val="clear" w:color="auto" w:fill="F2F2F2"/>
          </w:tcPr>
          <w:p>
            <w:pPr/>
            <w:r>
              <w:t xml:space="preserve">Seven days</w:t>
            </w:r>
          </w:p>
        </w:tc>
        <w:tc>
          <w:tcPr>
            <w:tcW w:w="2225" w:type="dxa"/>
            <w:shd w:val="clear" w:color="auto" w:fill="F2F2F2"/>
          </w:tcPr>
          <w:p>
            <w:pPr/>
            <w:r>
              <w:t xml:space="preserve">With 30% margin</w:t>
            </w:r>
          </w:p>
        </w:tc>
      </w:tr>
      <w:tr>
        <w:tc>
          <w:tcPr>
            <w:tcW w:w="4416" w:type="dxa"/>
          </w:tcPr>
          <w:p>
            <w:pPr/>
            <w:r>
              <w:t xml:space="preserve">25%</w:t>
            </w:r>
          </w:p>
        </w:tc>
        <w:tc>
          <w:tcPr>
            <w:tcW w:w="1164" w:type="dxa"/>
          </w:tcPr>
          <w:p>
            <w:pPr/>
            <w:r>
              <w:t xml:space="preserve">1.38 TB</w:t>
            </w:r>
          </w:p>
        </w:tc>
        <w:tc>
          <w:tcPr>
            <w:tcW w:w="1553" w:type="dxa"/>
          </w:tcPr>
          <w:p>
            <w:pPr/>
            <w:r>
              <w:t xml:space="preserve">9.7 TB</w:t>
            </w:r>
          </w:p>
        </w:tc>
        <w:tc>
          <w:tcPr>
            <w:tcW w:w="2225" w:type="dxa"/>
          </w:tcPr>
          <w:p>
            <w:pPr/>
            <w:r>
              <w:t xml:space="preserve">12.6 TB</w:t>
            </w:r>
          </w:p>
        </w:tc>
      </w:tr>
      <w:tr>
        <w:tc>
          <w:tcPr>
            <w:tcW w:w="4416" w:type="dxa"/>
          </w:tcPr>
          <w:p>
            <w:pPr/>
            <w:r>
              <w:t xml:space="preserve">50%</w:t>
            </w:r>
          </w:p>
        </w:tc>
        <w:tc>
          <w:tcPr>
            <w:tcW w:w="1164" w:type="dxa"/>
          </w:tcPr>
          <w:p>
            <w:pPr/>
            <w:r>
              <w:t xml:space="preserve">2.76 TB</w:t>
            </w:r>
          </w:p>
        </w:tc>
        <w:tc>
          <w:tcPr>
            <w:tcW w:w="1553" w:type="dxa"/>
          </w:tcPr>
          <w:p>
            <w:pPr/>
            <w:r>
              <w:t xml:space="preserve">19.4 TB</w:t>
            </w:r>
          </w:p>
        </w:tc>
        <w:tc>
          <w:tcPr>
            <w:tcW w:w="2225" w:type="dxa"/>
          </w:tcPr>
          <w:p>
            <w:pPr/>
            <w:r>
              <w:t xml:space="preserve">25.2 TB</w:t>
            </w:r>
          </w:p>
        </w:tc>
      </w:tr>
      <w:tr>
        <w:tc>
          <w:tcPr>
            <w:tcW w:w="4416" w:type="dxa"/>
          </w:tcPr>
          <w:p>
            <w:pPr/>
            <w:r>
              <w:t xml:space="preserve">100%</w:t>
            </w:r>
          </w:p>
        </w:tc>
        <w:tc>
          <w:tcPr>
            <w:tcW w:w="1164" w:type="dxa"/>
          </w:tcPr>
          <w:p>
            <w:pPr/>
            <w:r>
              <w:t xml:space="preserve">5.53 TB</w:t>
            </w:r>
          </w:p>
        </w:tc>
        <w:tc>
          <w:tcPr>
            <w:tcW w:w="1553" w:type="dxa"/>
          </w:tcPr>
          <w:p>
            <w:pPr/>
            <w:r>
              <w:t xml:space="preserve">38.7 TB</w:t>
            </w:r>
          </w:p>
        </w:tc>
        <w:tc>
          <w:tcPr>
            <w:tcW w:w="2225" w:type="dxa"/>
          </w:tcPr>
          <w:p>
            <w:pPr/>
            <w:r>
              <w:t xml:space="preserve">50.3 TB</w:t>
            </w:r>
          </w:p>
        </w:tc>
      </w:tr>
    </w:tbl>
    <w:p>
      <w:pPr>
        <w:pStyle w:val="Heading3"/>
      </w:pPr>
      <w:r>
        <w:t xml:space="preserve">2.4 If the real rate is higher than the tender minimum</w:t>
      </w:r>
    </w:p>
    <w:tbl>
      <w:tblPr>
        <w:tblStyle w:val="TableGrid"/>
        <w:tblW w:w="0" w:type="auto"/>
        <w:tblLayout w:type="fixed"/>
        <w:tblLook w:val="04A0" w:firstRow="1" w:lastRow="0" w:firstColumn="0" w:lastColumn="0" w:noHBand="0" w:noVBand="1"/>
      </w:tblPr>
      <w:tblGrid>
        <w:gridCol w:w="2598"/>
        <w:gridCol w:w="1592"/>
        <w:gridCol w:w="2125"/>
        <w:gridCol w:w="3043"/>
      </w:tblGrid>
      <w:tr>
        <w:trPr>
          <w:tblHeader/>
        </w:trPr>
        <w:tc>
          <w:tcPr>
            <w:tcW w:w="2598" w:type="dxa"/>
            <w:shd w:val="clear" w:color="auto" w:fill="F2F2F2"/>
          </w:tcPr>
          <w:p>
            <w:pPr/>
            <w:r>
              <w:t xml:space="preserve">Sustained rate</w:t>
            </w:r>
          </w:p>
        </w:tc>
        <w:tc>
          <w:tcPr>
            <w:tcW w:w="1592" w:type="dxa"/>
            <w:shd w:val="clear" w:color="auto" w:fill="F2F2F2"/>
          </w:tcPr>
          <w:p>
            <w:pPr/>
            <w:r>
              <w:t xml:space="preserve">Per day</w:t>
            </w:r>
          </w:p>
        </w:tc>
        <w:tc>
          <w:tcPr>
            <w:tcW w:w="2125" w:type="dxa"/>
            <w:shd w:val="clear" w:color="auto" w:fill="F2F2F2"/>
          </w:tcPr>
          <w:p>
            <w:pPr/>
            <w:r>
              <w:t xml:space="preserve">Seven days</w:t>
            </w:r>
          </w:p>
        </w:tc>
        <w:tc>
          <w:tcPr>
            <w:tcW w:w="3043" w:type="dxa"/>
            <w:shd w:val="clear" w:color="auto" w:fill="F2F2F2"/>
          </w:tcPr>
          <w:p>
            <w:pPr/>
            <w:r>
              <w:t xml:space="preserve">With 30% margin</w:t>
            </w:r>
          </w:p>
        </w:tc>
      </w:tr>
      <w:tr>
        <w:tc>
          <w:tcPr>
            <w:tcW w:w="2598" w:type="dxa"/>
          </w:tcPr>
          <w:p>
            <w:pPr/>
            <w:r>
              <w:t xml:space="preserve">512 Mbps</w:t>
            </w:r>
          </w:p>
        </w:tc>
        <w:tc>
          <w:tcPr>
            <w:tcW w:w="1592" w:type="dxa"/>
          </w:tcPr>
          <w:p>
            <w:pPr/>
            <w:r>
              <w:t xml:space="preserve">5.53 TB</w:t>
            </w:r>
          </w:p>
        </w:tc>
        <w:tc>
          <w:tcPr>
            <w:tcW w:w="2125" w:type="dxa"/>
          </w:tcPr>
          <w:p>
            <w:pPr/>
            <w:r>
              <w:t xml:space="preserve">38.7 TB</w:t>
            </w:r>
          </w:p>
        </w:tc>
        <w:tc>
          <w:tcPr>
            <w:tcW w:w="3043" w:type="dxa"/>
          </w:tcPr>
          <w:p>
            <w:pPr/>
            <w:r>
              <w:t xml:space="preserve">50.3 TB</w:t>
            </w:r>
          </w:p>
        </w:tc>
      </w:tr>
      <w:tr>
        <w:tc>
          <w:tcPr>
            <w:tcW w:w="2598" w:type="dxa"/>
          </w:tcPr>
          <w:p>
            <w:pPr/>
            <w:r>
              <w:t xml:space="preserve">1 Gbps</w:t>
            </w:r>
          </w:p>
        </w:tc>
        <w:tc>
          <w:tcPr>
            <w:tcW w:w="1592" w:type="dxa"/>
          </w:tcPr>
          <w:p>
            <w:pPr/>
            <w:r>
              <w:t xml:space="preserve">10.8 TB</w:t>
            </w:r>
          </w:p>
        </w:tc>
        <w:tc>
          <w:tcPr>
            <w:tcW w:w="2125" w:type="dxa"/>
          </w:tcPr>
          <w:p>
            <w:pPr/>
            <w:r>
              <w:t xml:space="preserve">75.6 TB</w:t>
            </w:r>
          </w:p>
        </w:tc>
        <w:tc>
          <w:tcPr>
            <w:tcW w:w="3043" w:type="dxa"/>
          </w:tcPr>
          <w:p>
            <w:pPr/>
            <w:r>
              <w:t xml:space="preserve">98.3 TB</w:t>
            </w:r>
          </w:p>
        </w:tc>
      </w:tr>
      <w:tr>
        <w:tc>
          <w:tcPr>
            <w:tcW w:w="2598" w:type="dxa"/>
          </w:tcPr>
          <w:p>
            <w:pPr/>
            <w:r>
              <w:t xml:space="preserve">2 Gbps</w:t>
            </w:r>
          </w:p>
        </w:tc>
        <w:tc>
          <w:tcPr>
            <w:tcW w:w="1592" w:type="dxa"/>
          </w:tcPr>
          <w:p>
            <w:pPr/>
            <w:r>
              <w:t xml:space="preserve">21.6 TB</w:t>
            </w:r>
          </w:p>
        </w:tc>
        <w:tc>
          <w:tcPr>
            <w:tcW w:w="2125" w:type="dxa"/>
          </w:tcPr>
          <w:p>
            <w:pPr/>
            <w:r>
              <w:t xml:space="preserve">151.2 TB</w:t>
            </w:r>
          </w:p>
        </w:tc>
        <w:tc>
          <w:tcPr>
            <w:tcW w:w="3043" w:type="dxa"/>
          </w:tcPr>
          <w:p>
            <w:pPr/>
            <w:r>
              <w:t xml:space="preserve">196.6 TB</w:t>
            </w:r>
          </w:p>
        </w:tc>
      </w:tr>
      <w:tr>
        <w:tc>
          <w:tcPr>
            <w:tcW w:w="2598" w:type="dxa"/>
          </w:tcPr>
          <w:p>
            <w:pPr/>
            <w:r>
              <w:t xml:space="preserve">10 Gbps</w:t>
            </w:r>
          </w:p>
        </w:tc>
        <w:tc>
          <w:tcPr>
            <w:tcW w:w="1592" w:type="dxa"/>
          </w:tcPr>
          <w:p>
            <w:pPr/>
            <w:r>
              <w:t xml:space="preserve">108 TB</w:t>
            </w:r>
          </w:p>
        </w:tc>
        <w:tc>
          <w:tcPr>
            <w:tcW w:w="2125" w:type="dxa"/>
          </w:tcPr>
          <w:p>
            <w:pPr/>
            <w:r>
              <w:t xml:space="preserve">756 TB</w:t>
            </w:r>
          </w:p>
        </w:tc>
        <w:tc>
          <w:tcPr>
            <w:tcW w:w="3043" w:type="dxa"/>
          </w:tcPr>
          <w:p>
            <w:pPr/>
            <w:r>
              <w:t xml:space="preserve">982.8 TB</w:t>
            </w:r>
          </w:p>
        </w:tc>
      </w:tr>
    </w:tbl>
    <w:p>
      <w:pPr/>
      <w:r>
        <w:t xml:space="preserve">The tender also says the platform must keep at least 30% spare capacity at peak. Whether the planning margin and the spare-capacity requirement are one and the same, or stack on top of each other, must be confirmed in the tender text. Applying both is the conservative reading.</w:t>
      </w:r>
    </w:p>
    <w:p>
      <w:pPr>
        <w:pStyle w:val="Heading3"/>
      </w:pPr>
      <w:r>
        <w:t xml:space="preserve">2.5 Other levers</w:t>
      </w:r>
    </w:p>
    <w:p>
      <w:pPr>
        <w:pStyle w:val="ListParagraph"/>
        <w:numPr>
          <w:ilvl w:val="0"/>
          <w:numId w:val="2"/>
        </w:numPr>
      </w:pPr>
      <w:r>
        <w:rPr>
          <w:b/>
        </w:rPr>
        <w:t xml:space="preserve">Capture filters.</w:t>
      </w:r>
      <w:r>
        <w:t xml:space="preserve"> Excluding approved bulk traffic (for example encrypted backup streams) reduces volume, but only with OPTCL’s written approval.</w:t>
      </w:r>
    </w:p>
    <w:p>
      <w:pPr>
        <w:pStyle w:val="ListParagraph"/>
        <w:numPr>
          <w:ilvl w:val="0"/>
          <w:numId w:val="2"/>
        </w:numPr>
      </w:pPr>
      <w:r>
        <w:rPr>
          <w:b/>
        </w:rPr>
        <w:t xml:space="preserve">Truncation.</w:t>
      </w:r>
      <w:r>
        <w:t xml:space="preserve"> Storing only the first N bytes of each packet cuts volume sharply but loses payload evidence. Check what forensic use requires.</w:t>
      </w:r>
    </w:p>
    <w:p>
      <w:pPr>
        <w:pStyle w:val="ListParagraph"/>
        <w:numPr>
          <w:ilvl w:val="0"/>
          <w:numId w:val="2"/>
        </w:numPr>
      </w:pPr>
      <w:r>
        <w:rPr>
          <w:b/>
        </w:rPr>
        <w:t xml:space="preserve">Compression.</w:t>
      </w:r>
      <w:r>
        <w:t xml:space="preserve"> Packet files compress modestly, and compression costs CPU during capture. Test before counting on it.</w:t>
      </w:r>
    </w:p>
    <w:p>
      <w:pPr>
        <w:pStyle w:val="Heading2"/>
      </w:pPr>
      <w:r>
        <w:t xml:space="preserve">3. Packet rate and sensor sizing</w:t>
      </w:r>
    </w:p>
    <w:p>
      <w:pPr/>
      <w:r>
        <w:t xml:space="preserve">Sensors are limited by packets per second as much as by bits per second.</w:t>
      </w:r>
    </w:p>
    <w:tbl>
      <w:tblPr>
        <w:tblStyle w:val="TableGrid"/>
        <w:tblW w:w="0" w:type="auto"/>
        <w:tblLayout w:type="fixed"/>
        <w:tblLook w:val="04A0" w:firstRow="1" w:lastRow="0" w:firstColumn="0" w:lastColumn="0" w:noHBand="0" w:noVBand="1"/>
      </w:tblPr>
      <w:tblGrid>
        <w:gridCol w:w="4902"/>
        <w:gridCol w:w="4456"/>
      </w:tblGrid>
      <w:tr>
        <w:trPr>
          <w:tblHeader/>
        </w:trPr>
        <w:tc>
          <w:tcPr>
            <w:tcW w:w="4902" w:type="dxa"/>
            <w:shd w:val="clear" w:color="auto" w:fill="F2F2F2"/>
          </w:tcPr>
          <w:p>
            <w:pPr/>
            <w:r>
              <w:t xml:space="preserve">Average packet size</w:t>
            </w:r>
          </w:p>
        </w:tc>
        <w:tc>
          <w:tcPr>
            <w:tcW w:w="4456" w:type="dxa"/>
            <w:shd w:val="clear" w:color="auto" w:fill="F2F2F2"/>
          </w:tcPr>
          <w:p>
            <w:pPr/>
            <w:r>
              <w:t xml:space="preserve">Packets per second at 512 Mbps (approximate)</w:t>
            </w:r>
          </w:p>
        </w:tc>
      </w:tr>
      <w:tr>
        <w:tc>
          <w:tcPr>
            <w:tcW w:w="4902" w:type="dxa"/>
          </w:tcPr>
          <w:p>
            <w:pPr/>
            <w:r>
              <w:t xml:space="preserve">1,500 bytes on the wire</w:t>
            </w:r>
          </w:p>
        </w:tc>
        <w:tc>
          <w:tcPr>
            <w:tcW w:w="4456" w:type="dxa"/>
          </w:tcPr>
          <w:p>
            <w:pPr/>
            <w:r>
              <w:t xml:space="preserve">about 41,600</w:t>
            </w:r>
          </w:p>
        </w:tc>
      </w:tr>
      <w:tr>
        <w:tc>
          <w:tcPr>
            <w:tcW w:w="4902" w:type="dxa"/>
          </w:tcPr>
          <w:p>
            <w:pPr/>
            <w:r>
              <w:t xml:space="preserve">1,000 bytes</w:t>
            </w:r>
          </w:p>
        </w:tc>
        <w:tc>
          <w:tcPr>
            <w:tcW w:w="4456" w:type="dxa"/>
          </w:tcPr>
          <w:p>
            <w:pPr/>
            <w:r>
              <w:t xml:space="preserve">about 64,000</w:t>
            </w:r>
          </w:p>
        </w:tc>
      </w:tr>
      <w:tr>
        <w:tc>
          <w:tcPr>
            <w:tcW w:w="4902" w:type="dxa"/>
          </w:tcPr>
          <w:p>
            <w:pPr/>
            <w:r>
              <w:t xml:space="preserve">600 bytes</w:t>
            </w:r>
          </w:p>
        </w:tc>
        <w:tc>
          <w:tcPr>
            <w:tcW w:w="4456" w:type="dxa"/>
          </w:tcPr>
          <w:p>
            <w:pPr/>
            <w:r>
              <w:t xml:space="preserve">about 106,700</w:t>
            </w:r>
          </w:p>
        </w:tc>
      </w:tr>
      <w:tr>
        <w:tc>
          <w:tcPr>
            <w:tcW w:w="4902" w:type="dxa"/>
          </w:tcPr>
          <w:p>
            <w:pPr/>
            <w:r>
              <w:t xml:space="preserve">Minimum-size frames (84 bytes on the wire)</w:t>
            </w:r>
          </w:p>
        </w:tc>
        <w:tc>
          <w:tcPr>
            <w:tcW w:w="4456" w:type="dxa"/>
          </w:tcPr>
          <w:p>
            <w:pPr/>
            <w:r>
              <w:t xml:space="preserve">about 761,900</w:t>
            </w:r>
          </w:p>
        </w:tc>
      </w:tr>
    </w:tbl>
    <w:p>
      <w:pPr/>
      <w:r>
        <w:t xml:space="preserve">Real traffic sits somewhere between these. The packet-size distribution of OPTCL’s Internet edge decides how hard the sensors must work. Test at the measured mix and at a harsher, small-packet mix to find the headroom.</w:t>
      </w:r>
    </w:p>
    <w:p>
      <w:pPr>
        <w:pStyle w:val="Heading3"/>
      </w:pPr>
      <w:r>
        <w:t xml:space="preserve">Sensor checklist</w:t>
      </w:r>
    </w:p>
    <w:p>
      <w:pPr>
        <w:pStyle w:val="ListParagraph"/>
        <w:numPr>
          <w:ilvl w:val="0"/>
          <w:numId w:val="3"/>
        </w:numPr>
      </w:pPr>
      <w:r>
        <w:t xml:space="preserve">Required capture rate in Mbps and packets per second at peak, plus 30% headroom.</w:t>
      </w:r>
    </w:p>
    <w:p>
      <w:pPr>
        <w:pStyle w:val="ListParagraph"/>
        <w:numPr>
          <w:ilvl w:val="0"/>
          <w:numId w:val="3"/>
        </w:numPr>
      </w:pPr>
      <w:r>
        <w:t xml:space="preserve">NIC model, driver and capture method tested on the exact kernel version.</w:t>
      </w:r>
    </w:p>
    <w:p>
      <w:pPr>
        <w:pStyle w:val="ListParagraph"/>
        <w:numPr>
          <w:ilvl w:val="0"/>
          <w:numId w:val="3"/>
        </w:numPr>
      </w:pPr>
      <w:r>
        <w:t xml:space="preserve">CPU cores and memory per sensor from benchmark, not from vendor brochures.</w:t>
      </w:r>
    </w:p>
    <w:p>
      <w:pPr>
        <w:pStyle w:val="ListParagraph"/>
        <w:numPr>
          <w:ilvl w:val="0"/>
          <w:numId w:val="3"/>
        </w:numPr>
      </w:pPr>
      <w:r>
        <w:t xml:space="preserve">Disk write rate for local PCAP buffering.</w:t>
      </w:r>
    </w:p>
    <w:p>
      <w:pPr>
        <w:pStyle w:val="ListParagraph"/>
        <w:numPr>
          <w:ilvl w:val="0"/>
          <w:numId w:val="3"/>
        </w:numPr>
      </w:pPr>
      <w:r>
        <w:t xml:space="preserve">Capture-loss counters, with a target loss rate agreed in writing.</w:t>
      </w:r>
    </w:p>
    <w:p>
      <w:pPr>
        <w:pStyle w:val="Heading2"/>
      </w:pPr>
      <w:r>
        <w:t xml:space="preserve">4. Flow and event storage</w:t>
      </w:r>
    </w:p>
    <w:p>
      <w:pPr/>
      <w:r>
        <w:t xml:space="preserve">The flow rate is the unknown here. This example uses placeholder inputs.</w:t>
      </w:r>
    </w:p>
    <w:tbl>
      <w:tblPr>
        <w:tblStyle w:val="TableGrid"/>
        <w:tblW w:w="0" w:type="auto"/>
        <w:tblLayout w:type="fixed"/>
        <w:tblLook w:val="04A0" w:firstRow="1" w:lastRow="0" w:firstColumn="0" w:lastColumn="0" w:noHBand="0" w:noVBand="1"/>
      </w:tblPr>
      <w:tblGrid>
        <w:gridCol w:w="6391"/>
        <w:gridCol w:w="2968"/>
      </w:tblGrid>
      <w:tr>
        <w:trPr>
          <w:tblHeader/>
        </w:trPr>
        <w:tc>
          <w:tcPr>
            <w:tcW w:w="6391" w:type="dxa"/>
            <w:shd w:val="clear" w:color="auto" w:fill="F2F2F2"/>
          </w:tcPr>
          <w:p>
            <w:pPr/>
            <w:r>
              <w:t xml:space="preserve">Input</w:t>
            </w:r>
          </w:p>
        </w:tc>
        <w:tc>
          <w:tcPr>
            <w:tcW w:w="2968" w:type="dxa"/>
            <w:shd w:val="clear" w:color="auto" w:fill="F2F2F2"/>
          </w:tcPr>
          <w:p>
            <w:pPr/>
            <w:r>
              <w:t xml:space="preserve">Example value</w:t>
            </w:r>
          </w:p>
        </w:tc>
      </w:tr>
      <w:tr>
        <w:tc>
          <w:tcPr>
            <w:tcW w:w="6391" w:type="dxa"/>
          </w:tcPr>
          <w:p>
            <w:pPr/>
            <w:r>
              <w:t xml:space="preserve">Flow records per second (average)</w:t>
            </w:r>
          </w:p>
        </w:tc>
        <w:tc>
          <w:tcPr>
            <w:tcW w:w="2968" w:type="dxa"/>
          </w:tcPr>
          <w:p>
            <w:pPr/>
            <w:r>
              <w:t xml:space="preserve">5,000</w:t>
            </w:r>
          </w:p>
        </w:tc>
      </w:tr>
      <w:tr>
        <w:tc>
          <w:tcPr>
            <w:tcW w:w="6391" w:type="dxa"/>
          </w:tcPr>
          <w:p>
            <w:pPr/>
            <w:r>
              <w:t xml:space="preserve">Average serialized record size</w:t>
            </w:r>
          </w:p>
        </w:tc>
        <w:tc>
          <w:tcPr>
            <w:tcW w:w="2968" w:type="dxa"/>
          </w:tcPr>
          <w:p>
            <w:pPr/>
            <w:r>
              <w:t xml:space="preserve">200 bytes</w:t>
            </w:r>
          </w:p>
        </w:tc>
      </w:tr>
      <w:tr>
        <w:tc>
          <w:tcPr>
            <w:tcW w:w="6391" w:type="dxa"/>
          </w:tcPr>
          <w:p>
            <w:pPr/>
            <w:r>
              <w:t xml:space="preserve">Retention</w:t>
            </w:r>
          </w:p>
        </w:tc>
        <w:tc>
          <w:tcPr>
            <w:tcW w:w="2968" w:type="dxa"/>
          </w:tcPr>
          <w:p>
            <w:pPr/>
            <w:r>
              <w:t xml:space="preserve">15 days</w:t>
            </w:r>
          </w:p>
        </w:tc>
      </w:tr>
    </w:tbl>
    <w:p/>
    <w:tbl>
      <w:tblPr>
        <w:tblStyle w:val="TableGrid"/>
        <w:tblW w:w="0" w:type="auto"/>
        <w:tblLayout w:type="fixed"/>
        <w:tblLook w:val="04A0" w:firstRow="1" w:lastRow="0" w:firstColumn="0" w:lastColumn="0" w:noHBand="0" w:noVBand="1"/>
      </w:tblPr>
      <w:tblGrid>
        <w:gridCol w:w="6129"/>
        <w:gridCol w:w="3230"/>
      </w:tblGrid>
      <w:tr>
        <w:trPr>
          <w:tblHeader/>
        </w:trPr>
        <w:tc>
          <w:tcPr>
            <w:tcW w:w="6129" w:type="dxa"/>
            <w:shd w:val="clear" w:color="auto" w:fill="F2F2F2"/>
          </w:tcPr>
          <w:p>
            <w:pPr/>
            <w:r>
              <w:t xml:space="preserve">Result</w:t>
            </w:r>
          </w:p>
        </w:tc>
        <w:tc>
          <w:tcPr>
            <w:tcW w:w="3230" w:type="dxa"/>
            <w:shd w:val="clear" w:color="auto" w:fill="F2F2F2"/>
          </w:tcPr>
          <w:p>
            <w:pPr/>
            <w:r>
              <w:t xml:space="preserve">Value</w:t>
            </w:r>
          </w:p>
        </w:tc>
      </w:tr>
      <w:tr>
        <w:tc>
          <w:tcPr>
            <w:tcW w:w="6129" w:type="dxa"/>
          </w:tcPr>
          <w:p>
            <w:pPr/>
            <w:r>
              <w:t xml:space="preserve">Raw serialized data per second</w:t>
            </w:r>
          </w:p>
        </w:tc>
        <w:tc>
          <w:tcPr>
            <w:tcW w:w="3230" w:type="dxa"/>
          </w:tcPr>
          <w:p>
            <w:pPr/>
            <w:r>
              <w:t xml:space="preserve">1,000,000 bytes</w:t>
            </w:r>
          </w:p>
        </w:tc>
      </w:tr>
      <w:tr>
        <w:tc>
          <w:tcPr>
            <w:tcW w:w="6129" w:type="dxa"/>
          </w:tcPr>
          <w:p>
            <w:pPr/>
            <w:r>
              <w:t xml:space="preserve">Per day</w:t>
            </w:r>
          </w:p>
        </w:tc>
        <w:tc>
          <w:tcPr>
            <w:tcW w:w="3230" w:type="dxa"/>
          </w:tcPr>
          <w:p>
            <w:pPr/>
            <w:r>
              <w:t xml:space="preserve">86.4 GB</w:t>
            </w:r>
          </w:p>
        </w:tc>
      </w:tr>
      <w:tr>
        <w:tc>
          <w:tcPr>
            <w:tcW w:w="6129" w:type="dxa"/>
          </w:tcPr>
          <w:p>
            <w:pPr/>
            <w:r>
              <w:t xml:space="preserve">Fifteen days</w:t>
            </w:r>
          </w:p>
        </w:tc>
        <w:tc>
          <w:tcPr>
            <w:tcW w:w="3230" w:type="dxa"/>
          </w:tcPr>
          <w:p>
            <w:pPr/>
            <w:r>
              <w:t xml:space="preserve">about 1.3 TB</w:t>
            </w:r>
          </w:p>
        </w:tc>
      </w:tr>
      <w:tr>
        <w:tc>
          <w:tcPr>
            <w:tcW w:w="6129" w:type="dxa"/>
          </w:tcPr>
          <w:p>
            <w:pPr/>
            <w:r>
              <w:t xml:space="preserve">With a replication factor of 2</w:t>
            </w:r>
          </w:p>
        </w:tc>
        <w:tc>
          <w:tcPr>
            <w:tcW w:w="3230" w:type="dxa"/>
          </w:tcPr>
          <w:p>
            <w:pPr/>
            <w:r>
              <w:t xml:space="preserve">about 2.6 TB</w:t>
            </w:r>
          </w:p>
        </w:tc>
      </w:tr>
    </w:tbl>
    <w:p>
      <w:pPr/>
      <w:r>
        <w:t xml:space="preserve">Search indexes add overhead and compression subtracts from it. Both depend on the store and the schema, so measure them in the benchmark and replace this example with the result. If OPTCL’s flow rate is ten times higher, every number here is ten times higher.</w:t>
      </w:r>
    </w:p>
    <w:p>
      <w:pPr>
        <w:pStyle w:val="Heading2"/>
      </w:pPr>
      <w:r>
        <w:t xml:space="preserve">5. Why “normalized packet data” must be defined</w:t>
      </w:r>
    </w:p>
    <w:p>
      <w:pPr/>
      <w:r>
        <w:t xml:space="preserve">The 15-day retention requirement for normalized packet data could mean very different things. Example at an average packet size of 600 bytes and 512 Mbps (about 106,667 packets per second):</w:t>
      </w:r>
    </w:p>
    <w:tbl>
      <w:tblPr>
        <w:tblStyle w:val="TableGrid"/>
        <w:tblW w:w="0" w:type="auto"/>
        <w:tblLayout w:type="fixed"/>
        <w:tblLook w:val="04A0" w:firstRow="1" w:lastRow="0" w:firstColumn="0" w:lastColumn="0" w:noHBand="0" w:noVBand="1"/>
      </w:tblPr>
      <w:tblGrid>
        <w:gridCol w:w="3458"/>
        <w:gridCol w:w="2312"/>
        <w:gridCol w:w="1980"/>
        <w:gridCol w:w="1610"/>
      </w:tblGrid>
      <w:tr>
        <w:trPr>
          <w:tblHeader/>
        </w:trPr>
        <w:tc>
          <w:tcPr>
            <w:tcW w:w="3458" w:type="dxa"/>
            <w:shd w:val="clear" w:color="auto" w:fill="F2F2F2"/>
          </w:tcPr>
          <w:p>
            <w:pPr/>
            <w:r>
              <w:t xml:space="preserve">Interpretation</w:t>
            </w:r>
          </w:p>
        </w:tc>
        <w:tc>
          <w:tcPr>
            <w:tcW w:w="2312" w:type="dxa"/>
            <w:shd w:val="clear" w:color="auto" w:fill="F2F2F2"/>
          </w:tcPr>
          <w:p>
            <w:pPr/>
            <w:r>
              <w:t xml:space="preserve">Rough record rate</w:t>
            </w:r>
          </w:p>
        </w:tc>
        <w:tc>
          <w:tcPr>
            <w:tcW w:w="1980" w:type="dxa"/>
            <w:shd w:val="clear" w:color="auto" w:fill="F2F2F2"/>
          </w:tcPr>
          <w:p>
            <w:pPr/>
            <w:r>
              <w:t xml:space="preserve">Rough size per day</w:t>
            </w:r>
          </w:p>
        </w:tc>
        <w:tc>
          <w:tcPr>
            <w:tcW w:w="1610" w:type="dxa"/>
            <w:shd w:val="clear" w:color="auto" w:fill="F2F2F2"/>
          </w:tcPr>
          <w:p>
            <w:pPr/>
            <w:r>
              <w:t xml:space="preserve">Fifteen days</w:t>
            </w:r>
          </w:p>
        </w:tc>
      </w:tr>
      <w:tr>
        <w:tc>
          <w:tcPr>
            <w:tcW w:w="3458" w:type="dxa"/>
          </w:tcPr>
          <w:p>
            <w:pPr/>
            <w:r>
              <w:t xml:space="preserve">One metadata row per packet, about 100 bytes each</w:t>
            </w:r>
          </w:p>
        </w:tc>
        <w:tc>
          <w:tcPr>
            <w:tcW w:w="2312" w:type="dxa"/>
          </w:tcPr>
          <w:p>
            <w:pPr/>
            <w:r>
              <w:t xml:space="preserve">106,667 rows per second</w:t>
            </w:r>
          </w:p>
        </w:tc>
        <w:tc>
          <w:tcPr>
            <w:tcW w:w="1980" w:type="dxa"/>
          </w:tcPr>
          <w:p>
            <w:pPr/>
            <w:r>
              <w:t xml:space="preserve">about 0.92 TB</w:t>
            </w:r>
          </w:p>
        </w:tc>
        <w:tc>
          <w:tcPr>
            <w:tcW w:w="1610" w:type="dxa"/>
          </w:tcPr>
          <w:p>
            <w:pPr/>
            <w:r>
              <w:t xml:space="preserve">about 13.8 TB</w:t>
            </w:r>
          </w:p>
        </w:tc>
      </w:tr>
      <w:tr>
        <w:tc>
          <w:tcPr>
            <w:tcW w:w="3458" w:type="dxa"/>
          </w:tcPr>
          <w:p>
            <w:pPr/>
            <w:r>
              <w:t xml:space="preserve">One record per session or flow</w:t>
            </w:r>
          </w:p>
        </w:tc>
        <w:tc>
          <w:tcPr>
            <w:tcW w:w="2312" w:type="dxa"/>
          </w:tcPr>
          <w:p>
            <w:pPr/>
            <w:r>
              <w:t xml:space="preserve">Likely a few thousand per second</w:t>
            </w:r>
          </w:p>
        </w:tc>
        <w:tc>
          <w:tcPr>
            <w:tcW w:w="1980" w:type="dxa"/>
          </w:tcPr>
          <w:p>
            <w:pPr/>
            <w:r>
              <w:t xml:space="preserve">Tens to low hundreds of GB</w:t>
            </w:r>
          </w:p>
        </w:tc>
        <w:tc>
          <w:tcPr>
            <w:tcW w:w="1610" w:type="dxa"/>
          </w:tcPr>
          <w:p>
            <w:pPr/>
            <w:r>
              <w:t xml:space="preserve">Low single-digit TB</w:t>
            </w:r>
          </w:p>
        </w:tc>
      </w:tr>
      <w:tr>
        <w:tc>
          <w:tcPr>
            <w:tcW w:w="3458" w:type="dxa"/>
          </w:tcPr>
          <w:p>
            <w:pPr/>
            <w:r>
              <w:t xml:space="preserve">Normalized copy of the full packet payload</w:t>
            </w:r>
          </w:p>
        </w:tc>
        <w:tc>
          <w:tcPr>
            <w:tcW w:w="2312" w:type="dxa"/>
          </w:tcPr>
          <w:p>
            <w:pPr/>
            <w:r>
              <w:t xml:space="preserve">Same as raw</w:t>
            </w:r>
          </w:p>
        </w:tc>
        <w:tc>
          <w:tcPr>
            <w:tcW w:w="1980" w:type="dxa"/>
          </w:tcPr>
          <w:p>
            <w:pPr/>
            <w:r>
              <w:t xml:space="preserve">about 5.53 TB</w:t>
            </w:r>
          </w:p>
        </w:tc>
        <w:tc>
          <w:tcPr>
            <w:tcW w:w="1610" w:type="dxa"/>
          </w:tcPr>
          <w:p>
            <w:pPr/>
            <w:r>
              <w:t xml:space="preserve">about 83 TB</w:t>
            </w:r>
          </w:p>
        </w:tc>
      </w:tr>
    </w:tbl>
    <w:p>
      <w:pPr/>
      <w:r>
        <w:t xml:space="preserve">The spread is more than an order of magnitude. Ask OPTCL for the exact definition in writing before sizing.</w:t>
      </w:r>
    </w:p>
    <w:p>
      <w:pPr>
        <w:pStyle w:val="Heading2"/>
      </w:pPr>
      <w:r>
        <w:t xml:space="preserve">6. The 5 million records in 180 seconds target</w:t>
      </w:r>
    </w:p>
    <w:p>
      <w:pPr/>
      <w:r>
        <w:t xml:space="preserve">5,000,000 ÷ 180 = about 27,778 records per second.</w:t>
      </w:r>
    </w:p>
    <w:p>
      <w:pPr/>
      <w:r>
        <w:t xml:space="preserve">What that means depends on what “retrieve” includes:</w:t>
      </w:r>
    </w:p>
    <w:tbl>
      <w:tblPr>
        <w:tblStyle w:val="TableGrid"/>
        <w:tblW w:w="0" w:type="auto"/>
        <w:tblLayout w:type="fixed"/>
        <w:tblLook w:val="04A0" w:firstRow="1" w:lastRow="0" w:firstColumn="0" w:lastColumn="0" w:noHBand="0" w:noVBand="1"/>
      </w:tblPr>
      <w:tblGrid>
        <w:gridCol w:w="2393"/>
        <w:gridCol w:w="2875"/>
        <w:gridCol w:w="2452"/>
        <w:gridCol w:w="1638"/>
      </w:tblGrid>
      <w:tr>
        <w:trPr>
          <w:tblHeader/>
        </w:trPr>
        <w:tc>
          <w:tcPr>
            <w:tcW w:w="2393" w:type="dxa"/>
            <w:shd w:val="clear" w:color="auto" w:fill="F2F2F2"/>
          </w:tcPr>
          <w:p>
            <w:pPr/>
            <w:r>
              <w:t xml:space="preserve">Interpretation</w:t>
            </w:r>
          </w:p>
        </w:tc>
        <w:tc>
          <w:tcPr>
            <w:tcW w:w="2875" w:type="dxa"/>
            <w:shd w:val="clear" w:color="auto" w:fill="F2F2F2"/>
          </w:tcPr>
          <w:p>
            <w:pPr/>
            <w:r>
              <w:t xml:space="preserve">What it tests</w:t>
            </w:r>
          </w:p>
        </w:tc>
        <w:tc>
          <w:tcPr>
            <w:tcW w:w="2452" w:type="dxa"/>
            <w:shd w:val="clear" w:color="auto" w:fill="F2F2F2"/>
          </w:tcPr>
          <w:p>
            <w:pPr/>
            <w:r>
              <w:t xml:space="preserve">Rough data moved at 200 bytes per record</w:t>
            </w:r>
          </w:p>
        </w:tc>
        <w:tc>
          <w:tcPr>
            <w:tcW w:w="1638" w:type="dxa"/>
            <w:shd w:val="clear" w:color="auto" w:fill="F2F2F2"/>
          </w:tcPr>
          <w:p>
            <w:pPr/>
            <w:r>
              <w:t xml:space="preserve">At 1 KB per record</w:t>
            </w:r>
          </w:p>
        </w:tc>
      </w:tr>
      <w:tr>
        <w:tc>
          <w:tcPr>
            <w:tcW w:w="2393" w:type="dxa"/>
          </w:tcPr>
          <w:p>
            <w:pPr/>
            <w:r>
              <w:t xml:space="preserve">Query execution only</w:t>
            </w:r>
          </w:p>
        </w:tc>
        <w:tc>
          <w:tcPr>
            <w:tcW w:w="2875" w:type="dxa"/>
          </w:tcPr>
          <w:p>
            <w:pPr/>
            <w:r>
              <w:t xml:space="preserve">Index and scan speed inside the store</w:t>
            </w:r>
          </w:p>
        </w:tc>
        <w:tc>
          <w:tcPr>
            <w:tcW w:w="2452" w:type="dxa"/>
          </w:tcPr>
          <w:p>
            <w:pPr/>
            <w:r>
              <w:t xml:space="preserve">About 1 GB scanned</w:t>
            </w:r>
          </w:p>
        </w:tc>
        <w:tc>
          <w:tcPr>
            <w:tcW w:w="1638" w:type="dxa"/>
          </w:tcPr>
          <w:p>
            <w:pPr/>
            <w:r>
              <w:t xml:space="preserve">About 5 GB</w:t>
            </w:r>
          </w:p>
        </w:tc>
      </w:tr>
      <w:tr>
        <w:tc>
          <w:tcPr>
            <w:tcW w:w="2393" w:type="dxa"/>
          </w:tcPr>
          <w:p>
            <w:pPr/>
            <w:r>
              <w:t xml:space="preserve">Records rendered in the console</w:t>
            </w:r>
          </w:p>
        </w:tc>
        <w:tc>
          <w:tcPr>
            <w:tcW w:w="2875" w:type="dxa"/>
          </w:tcPr>
          <w:p>
            <w:pPr/>
            <w:r>
              <w:t xml:space="preserve">Query plus API plus browser</w:t>
            </w:r>
          </w:p>
        </w:tc>
        <w:tc>
          <w:tcPr>
            <w:tcW w:w="2452" w:type="dxa"/>
          </w:tcPr>
          <w:p>
            <w:pPr/>
            <w:r>
              <w:t xml:space="preserve">About 1 GB through the API</w:t>
            </w:r>
          </w:p>
        </w:tc>
        <w:tc>
          <w:tcPr>
            <w:tcW w:w="1638" w:type="dxa"/>
          </w:tcPr>
          <w:p>
            <w:pPr/>
            <w:r>
              <w:t xml:space="preserve">About 5 GB</w:t>
            </w:r>
          </w:p>
        </w:tc>
      </w:tr>
      <w:tr>
        <w:tc>
          <w:tcPr>
            <w:tcW w:w="2393" w:type="dxa"/>
          </w:tcPr>
          <w:p>
            <w:pPr/>
            <w:r>
              <w:t xml:space="preserve">Records exported to a file</w:t>
            </w:r>
          </w:p>
        </w:tc>
        <w:tc>
          <w:tcPr>
            <w:tcW w:w="2875" w:type="dxa"/>
          </w:tcPr>
          <w:p>
            <w:pPr/>
            <w:r>
              <w:t xml:space="preserve">Query plus serialization plus disk write</w:t>
            </w:r>
          </w:p>
        </w:tc>
        <w:tc>
          <w:tcPr>
            <w:tcW w:w="2452" w:type="dxa"/>
          </w:tcPr>
          <w:p>
            <w:pPr/>
            <w:r>
              <w:t xml:space="preserve">About 1 GB file</w:t>
            </w:r>
          </w:p>
        </w:tc>
        <w:tc>
          <w:tcPr>
            <w:tcW w:w="1638" w:type="dxa"/>
          </w:tcPr>
          <w:p>
            <w:pPr/>
            <w:r>
              <w:t xml:space="preserve">About 5 GB file</w:t>
            </w:r>
          </w:p>
        </w:tc>
      </w:tr>
      <w:tr>
        <w:tc>
          <w:tcPr>
            <w:tcW w:w="2393" w:type="dxa"/>
          </w:tcPr>
          <w:p>
            <w:pPr/>
            <w:r>
              <w:t xml:space="preserve">Full delivery to a client machine</w:t>
            </w:r>
          </w:p>
        </w:tc>
        <w:tc>
          <w:tcPr>
            <w:tcW w:w="2875" w:type="dxa"/>
          </w:tcPr>
          <w:p>
            <w:pPr/>
            <w:r>
              <w:t xml:space="preserve">All of the above plus the network</w:t>
            </w:r>
          </w:p>
        </w:tc>
        <w:tc>
          <w:tcPr>
            <w:tcW w:w="2452" w:type="dxa"/>
          </w:tcPr>
          <w:p>
            <w:pPr/>
            <w:r>
              <w:t xml:space="preserve">About 44 Mbps average</w:t>
            </w:r>
          </w:p>
        </w:tc>
        <w:tc>
          <w:tcPr>
            <w:tcW w:w="1638" w:type="dxa"/>
          </w:tcPr>
          <w:p>
            <w:pPr/>
            <w:r>
              <w:t xml:space="preserve">About 222 Mbps average</w:t>
            </w:r>
          </w:p>
        </w:tc>
      </w:tr>
    </w:tbl>
    <w:p>
      <w:pPr/>
      <w:r>
        <w:t xml:space="preserve">Rendering five million rows in a browser is unrealistic for a normal UI, so a sensible test is probably query-and-export. Agree this with OPTCL before testing. Record the exact query, time range, filters, dataset size, concurrent load and the hardware used. Run the test while ingest and detection are running at normal load, not on an idle system.</w:t>
      </w:r>
    </w:p>
    <w:p>
      <w:pPr>
        <w:pStyle w:val="Heading2"/>
      </w:pPr>
      <w:r>
        <w:t xml:space="preserve">7. Compute and memory sizing method</w:t>
      </w:r>
    </w:p>
    <w:p>
      <w:pPr>
        <w:pStyle w:val="ListParagraph"/>
        <w:numPr>
          <w:ilvl w:val="0"/>
          <w:numId w:val="4"/>
        </w:numPr>
      </w:pPr>
      <w:r>
        <w:t xml:space="preserve">Replay traffic at the measured average, the measured peak and 130% of peak (the 30% headroom).</w:t>
      </w:r>
    </w:p>
    <w:p>
      <w:pPr>
        <w:pStyle w:val="ListParagraph"/>
        <w:numPr>
          <w:ilvl w:val="0"/>
          <w:numId w:val="4"/>
        </w:numPr>
      </w:pPr>
      <w:r>
        <w:t xml:space="preserve">Record CPU, memory, disk and network use for each tier at each rate.</w:t>
      </w:r>
    </w:p>
    <w:p>
      <w:pPr>
        <w:pStyle w:val="ListParagraph"/>
        <w:numPr>
          <w:ilvl w:val="0"/>
          <w:numId w:val="4"/>
        </w:numPr>
      </w:pPr>
      <w:r>
        <w:t xml:space="preserve">Find the first bottleneck. Add capacity to that tier and repeat.</w:t>
      </w:r>
    </w:p>
    <w:p>
      <w:pPr>
        <w:pStyle w:val="ListParagraph"/>
        <w:numPr>
          <w:ilvl w:val="0"/>
          <w:numId w:val="4"/>
        </w:numPr>
      </w:pPr>
      <w:r>
        <w:t xml:space="preserve">Set the production size so peak load uses at most 70% of the tested ceiling.</w:t>
      </w:r>
    </w:p>
    <w:p>
      <w:pPr>
        <w:pStyle w:val="ListParagraph"/>
        <w:numPr>
          <w:ilvl w:val="0"/>
          <w:numId w:val="4"/>
        </w:numPr>
      </w:pPr>
      <w:r>
        <w:t xml:space="preserve">Add redundancy on top: capacity must remain after losing one node of each clustered tier.</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Tier</w:t>
            </w:r>
          </w:p>
        </w:tc>
        <w:tc>
          <w:tcPr>
            <w:tcW w:w="6747" w:type="dxa"/>
            <w:shd w:val="clear" w:color="auto" w:fill="F2F2F2"/>
          </w:tcPr>
          <w:p>
            <w:pPr/>
            <w:r>
              <w:t xml:space="preserve">Typical first bottleneck to watch</w:t>
            </w:r>
          </w:p>
        </w:tc>
      </w:tr>
      <w:tr>
        <w:tc>
          <w:tcPr>
            <w:tcW w:w="2612" w:type="dxa"/>
          </w:tcPr>
          <w:p>
            <w:pPr/>
            <w:r>
              <w:t xml:space="preserve">Packet sensors</w:t>
            </w:r>
          </w:p>
        </w:tc>
        <w:tc>
          <w:tcPr>
            <w:tcW w:w="6747" w:type="dxa"/>
          </w:tcPr>
          <w:p>
            <w:pPr/>
            <w:r>
              <w:t xml:space="preserve">Packets per second, NIC queues, disk write</w:t>
            </w:r>
          </w:p>
        </w:tc>
      </w:tr>
      <w:tr>
        <w:tc>
          <w:tcPr>
            <w:tcW w:w="2612" w:type="dxa"/>
          </w:tcPr>
          <w:p>
            <w:pPr/>
            <w:r>
              <w:t xml:space="preserve">Flow collectors</w:t>
            </w:r>
          </w:p>
        </w:tc>
        <w:tc>
          <w:tcPr>
            <w:tcW w:w="6747" w:type="dxa"/>
          </w:tcPr>
          <w:p>
            <w:pPr/>
            <w:r>
              <w:t xml:space="preserve">UDP receive buffers, template handling</w:t>
            </w:r>
          </w:p>
        </w:tc>
      </w:tr>
      <w:tr>
        <w:tc>
          <w:tcPr>
            <w:tcW w:w="2612" w:type="dxa"/>
          </w:tcPr>
          <w:p>
            <w:pPr/>
            <w:r>
              <w:t xml:space="preserve">Queue</w:t>
            </w:r>
          </w:p>
        </w:tc>
        <w:tc>
          <w:tcPr>
            <w:tcW w:w="6747" w:type="dxa"/>
          </w:tcPr>
          <w:p>
            <w:pPr/>
            <w:r>
              <w:t xml:space="preserve">Disk throughput, network, partition count</w:t>
            </w:r>
          </w:p>
        </w:tc>
      </w:tr>
      <w:tr>
        <w:tc>
          <w:tcPr>
            <w:tcW w:w="2612" w:type="dxa"/>
          </w:tcPr>
          <w:p>
            <w:pPr/>
            <w:r>
              <w:t xml:space="preserve">Workers</w:t>
            </w:r>
          </w:p>
        </w:tc>
        <w:tc>
          <w:tcPr>
            <w:tcW w:w="6747" w:type="dxa"/>
          </w:tcPr>
          <w:p>
            <w:pPr/>
            <w:r>
              <w:t xml:space="preserve">CPU, state size for baselines and graph</w:t>
            </w:r>
          </w:p>
        </w:tc>
      </w:tr>
      <w:tr>
        <w:tc>
          <w:tcPr>
            <w:tcW w:w="2612" w:type="dxa"/>
          </w:tcPr>
          <w:p>
            <w:pPr/>
            <w:r>
              <w:t xml:space="preserve">Search index</w:t>
            </w:r>
          </w:p>
        </w:tc>
        <w:tc>
          <w:tcPr>
            <w:tcW w:w="6747" w:type="dxa"/>
          </w:tcPr>
          <w:p>
            <w:pPr/>
            <w:r>
              <w:t xml:space="preserve">Memory (heap and cache), disk IOPS, shard count</w:t>
            </w:r>
          </w:p>
        </w:tc>
      </w:tr>
      <w:tr>
        <w:tc>
          <w:tcPr>
            <w:tcW w:w="2612" w:type="dxa"/>
          </w:tcPr>
          <w:p>
            <w:pPr/>
            <w:r>
              <w:t xml:space="preserve">Packet archive</w:t>
            </w:r>
          </w:p>
        </w:tc>
        <w:tc>
          <w:tcPr>
            <w:tcW w:w="6747" w:type="dxa"/>
          </w:tcPr>
          <w:p>
            <w:pPr/>
            <w:r>
              <w:t xml:space="preserve">Sequential write throughput, retrieval seek time</w:t>
            </w:r>
          </w:p>
        </w:tc>
      </w:tr>
    </w:tbl>
    <w:p>
      <w:pPr>
        <w:pStyle w:val="Heading2"/>
      </w:pPr>
      <w:r>
        <w:t xml:space="preserve">8. Input worksheet (to fill in with OPTCL)</w:t>
      </w:r>
    </w:p>
    <w:tbl>
      <w:tblPr>
        <w:tblStyle w:val="TableGrid"/>
        <w:tblW w:w="0" w:type="auto"/>
        <w:tblLayout w:type="fixed"/>
        <w:tblLook w:val="04A0" w:firstRow="1" w:lastRow="0" w:firstColumn="0" w:lastColumn="0" w:noHBand="0" w:noVBand="1"/>
      </w:tblPr>
      <w:tblGrid>
        <w:gridCol w:w="4920"/>
        <w:gridCol w:w="829"/>
        <w:gridCol w:w="2891"/>
        <w:gridCol w:w="720"/>
      </w:tblGrid>
      <w:tr>
        <w:trPr>
          <w:tblHeader/>
        </w:trPr>
        <w:tc>
          <w:tcPr>
            <w:tcW w:w="4920" w:type="dxa"/>
            <w:shd w:val="clear" w:color="auto" w:fill="F2F2F2"/>
          </w:tcPr>
          <w:p>
            <w:pPr/>
            <w:r>
              <w:t xml:space="preserve">Input</w:t>
            </w:r>
          </w:p>
        </w:tc>
        <w:tc>
          <w:tcPr>
            <w:tcW w:w="829" w:type="dxa"/>
            <w:shd w:val="clear" w:color="auto" w:fill="F2F2F2"/>
          </w:tcPr>
          <w:p>
            <w:pPr/>
            <w:r>
              <w:t xml:space="preserve">Value</w:t>
            </w:r>
          </w:p>
        </w:tc>
        <w:tc>
          <w:tcPr>
            <w:tcW w:w="2891" w:type="dxa"/>
            <w:shd w:val="clear" w:color="auto" w:fill="F2F2F2"/>
          </w:tcPr>
          <w:p>
            <w:pPr/>
            <w:r>
              <w:t xml:space="preserve">Source</w:t>
            </w:r>
          </w:p>
        </w:tc>
        <w:tc>
          <w:tcPr>
            <w:tcW w:w="720" w:type="dxa"/>
            <w:shd w:val="clear" w:color="auto" w:fill="F2F2F2"/>
          </w:tcPr>
          <w:p>
            <w:pPr/>
            <w:r>
              <w:t xml:space="preserve">Date</w:t>
            </w:r>
          </w:p>
        </w:tc>
      </w:tr>
      <w:tr>
        <w:tc>
          <w:tcPr>
            <w:tcW w:w="4920" w:type="dxa"/>
          </w:tcPr>
          <w:p>
            <w:pPr/>
            <w:r>
              <w:t xml:space="preserve">Average and peak Mbps per observation point</w:t>
            </w:r>
          </w:p>
        </w:tc>
        <w:tc>
          <w:tcPr>
            <w:tcW w:w="829" w:type="dxa"/>
          </w:tcPr>
          <w:p>
            <w:pPr/>
          </w:p>
        </w:tc>
        <w:tc>
          <w:tcPr>
            <w:tcW w:w="2891" w:type="dxa"/>
          </w:tcPr>
          <w:p>
            <w:pPr/>
            <w:r>
              <w:t xml:space="preserve">Interface counters, 30 days</w:t>
            </w:r>
          </w:p>
        </w:tc>
        <w:tc>
          <w:tcPr>
            <w:tcW w:w="720" w:type="dxa"/>
          </w:tcPr>
          <w:p>
            <w:pPr/>
          </w:p>
        </w:tc>
      </w:tr>
      <w:tr>
        <w:tc>
          <w:tcPr>
            <w:tcW w:w="4920" w:type="dxa"/>
          </w:tcPr>
          <w:p>
            <w:pPr/>
            <w:r>
              <w:t xml:space="preserve">Packets per second, average and peak</w:t>
            </w:r>
          </w:p>
        </w:tc>
        <w:tc>
          <w:tcPr>
            <w:tcW w:w="829" w:type="dxa"/>
          </w:tcPr>
          <w:p>
            <w:pPr/>
          </w:p>
        </w:tc>
        <w:tc>
          <w:tcPr>
            <w:tcW w:w="2891" w:type="dxa"/>
          </w:tcPr>
          <w:p>
            <w:pPr/>
            <w:r>
              <w:t xml:space="preserve">Interface counters or capture</w:t>
            </w:r>
          </w:p>
        </w:tc>
        <w:tc>
          <w:tcPr>
            <w:tcW w:w="720" w:type="dxa"/>
          </w:tcPr>
          <w:p>
            <w:pPr/>
          </w:p>
        </w:tc>
      </w:tr>
      <w:tr>
        <w:tc>
          <w:tcPr>
            <w:tcW w:w="4920" w:type="dxa"/>
          </w:tcPr>
          <w:p>
            <w:pPr/>
            <w:r>
              <w:t xml:space="preserve">Packet-size distribution</w:t>
            </w:r>
          </w:p>
        </w:tc>
        <w:tc>
          <w:tcPr>
            <w:tcW w:w="829" w:type="dxa"/>
          </w:tcPr>
          <w:p>
            <w:pPr/>
          </w:p>
        </w:tc>
        <w:tc>
          <w:tcPr>
            <w:tcW w:w="2891" w:type="dxa"/>
          </w:tcPr>
          <w:p>
            <w:pPr/>
            <w:r>
              <w:t xml:space="preserve">Capture sample</w:t>
            </w:r>
          </w:p>
        </w:tc>
        <w:tc>
          <w:tcPr>
            <w:tcW w:w="720" w:type="dxa"/>
          </w:tcPr>
          <w:p>
            <w:pPr/>
          </w:p>
        </w:tc>
      </w:tr>
      <w:tr>
        <w:tc>
          <w:tcPr>
            <w:tcW w:w="4920" w:type="dxa"/>
          </w:tcPr>
          <w:p>
            <w:pPr/>
            <w:r>
              <w:t xml:space="preserve">Flow records per second, average and peak</w:t>
            </w:r>
          </w:p>
        </w:tc>
        <w:tc>
          <w:tcPr>
            <w:tcW w:w="829" w:type="dxa"/>
          </w:tcPr>
          <w:p>
            <w:pPr/>
          </w:p>
        </w:tc>
        <w:tc>
          <w:tcPr>
            <w:tcW w:w="2891" w:type="dxa"/>
          </w:tcPr>
          <w:p>
            <w:pPr/>
            <w:r>
              <w:t xml:space="preserve">Exporter statistics or sample</w:t>
            </w:r>
          </w:p>
        </w:tc>
        <w:tc>
          <w:tcPr>
            <w:tcW w:w="720" w:type="dxa"/>
          </w:tcPr>
          <w:p>
            <w:pPr/>
          </w:p>
        </w:tc>
      </w:tr>
      <w:tr>
        <w:tc>
          <w:tcPr>
            <w:tcW w:w="4920" w:type="dxa"/>
          </w:tcPr>
          <w:p>
            <w:pPr/>
            <w:r>
              <w:t xml:space="preserve">Number of exporters and their flow format</w:t>
            </w:r>
          </w:p>
        </w:tc>
        <w:tc>
          <w:tcPr>
            <w:tcW w:w="829" w:type="dxa"/>
          </w:tcPr>
          <w:p>
            <w:pPr/>
          </w:p>
        </w:tc>
        <w:tc>
          <w:tcPr>
            <w:tcW w:w="2891" w:type="dxa"/>
          </w:tcPr>
          <w:p>
            <w:pPr/>
            <w:r>
              <w:t xml:space="preserve">Network team</w:t>
            </w:r>
          </w:p>
        </w:tc>
        <w:tc>
          <w:tcPr>
            <w:tcW w:w="720" w:type="dxa"/>
          </w:tcPr>
          <w:p>
            <w:pPr/>
          </w:p>
        </w:tc>
      </w:tr>
      <w:tr>
        <w:tc>
          <w:tcPr>
            <w:tcW w:w="4920" w:type="dxa"/>
          </w:tcPr>
          <w:p>
            <w:pPr/>
            <w:r>
              <w:t xml:space="preserve">Share of traffic that is encrypted</w:t>
            </w:r>
          </w:p>
        </w:tc>
        <w:tc>
          <w:tcPr>
            <w:tcW w:w="829" w:type="dxa"/>
          </w:tcPr>
          <w:p>
            <w:pPr/>
          </w:p>
        </w:tc>
        <w:tc>
          <w:tcPr>
            <w:tcW w:w="2891" w:type="dxa"/>
          </w:tcPr>
          <w:p>
            <w:pPr/>
            <w:r>
              <w:t xml:space="preserve">Capture sample</w:t>
            </w:r>
          </w:p>
        </w:tc>
        <w:tc>
          <w:tcPr>
            <w:tcW w:w="720" w:type="dxa"/>
          </w:tcPr>
          <w:p>
            <w:pPr/>
          </w:p>
        </w:tc>
      </w:tr>
      <w:tr>
        <w:tc>
          <w:tcPr>
            <w:tcW w:w="4920" w:type="dxa"/>
          </w:tcPr>
          <w:p>
            <w:pPr/>
            <w:r>
              <w:t xml:space="preserve">Hosts and assets to track</w:t>
            </w:r>
          </w:p>
        </w:tc>
        <w:tc>
          <w:tcPr>
            <w:tcW w:w="829" w:type="dxa"/>
          </w:tcPr>
          <w:p>
            <w:pPr/>
          </w:p>
        </w:tc>
        <w:tc>
          <w:tcPr>
            <w:tcW w:w="2891" w:type="dxa"/>
          </w:tcPr>
          <w:p>
            <w:pPr/>
            <w:r>
              <w:t xml:space="preserve">Inventory</w:t>
            </w:r>
          </w:p>
        </w:tc>
        <w:tc>
          <w:tcPr>
            <w:tcW w:w="720" w:type="dxa"/>
          </w:tcPr>
          <w:p>
            <w:pPr/>
          </w:p>
        </w:tc>
      </w:tr>
      <w:tr>
        <w:tc>
          <w:tcPr>
            <w:tcW w:w="4920" w:type="dxa"/>
          </w:tcPr>
          <w:p>
            <w:pPr/>
            <w:r>
              <w:t xml:space="preserve">Concurrent analyst users</w:t>
            </w:r>
          </w:p>
        </w:tc>
        <w:tc>
          <w:tcPr>
            <w:tcW w:w="829" w:type="dxa"/>
          </w:tcPr>
          <w:p>
            <w:pPr/>
          </w:p>
        </w:tc>
        <w:tc>
          <w:tcPr>
            <w:tcW w:w="2891" w:type="dxa"/>
          </w:tcPr>
          <w:p>
            <w:pPr/>
            <w:r>
              <w:t xml:space="preserve">SOC</w:t>
            </w:r>
          </w:p>
        </w:tc>
        <w:tc>
          <w:tcPr>
            <w:tcW w:w="720" w:type="dxa"/>
          </w:tcPr>
          <w:p>
            <w:pPr/>
          </w:p>
        </w:tc>
      </w:tr>
      <w:tr>
        <w:tc>
          <w:tcPr>
            <w:tcW w:w="4920" w:type="dxa"/>
          </w:tcPr>
          <w:p>
            <w:pPr/>
            <w:r>
              <w:t xml:space="preserve">Concurrent forensic queries expected</w:t>
            </w:r>
          </w:p>
        </w:tc>
        <w:tc>
          <w:tcPr>
            <w:tcW w:w="829" w:type="dxa"/>
          </w:tcPr>
          <w:p>
            <w:pPr/>
          </w:p>
        </w:tc>
        <w:tc>
          <w:tcPr>
            <w:tcW w:w="2891" w:type="dxa"/>
          </w:tcPr>
          <w:p>
            <w:pPr/>
            <w:r>
              <w:t xml:space="preserve">SOC</w:t>
            </w:r>
          </w:p>
        </w:tc>
        <w:tc>
          <w:tcPr>
            <w:tcW w:w="720" w:type="dxa"/>
          </w:tcPr>
          <w:p>
            <w:pPr/>
          </w:p>
        </w:tc>
      </w:tr>
      <w:tr>
        <w:tc>
          <w:tcPr>
            <w:tcW w:w="4920" w:type="dxa"/>
          </w:tcPr>
          <w:p>
            <w:pPr/>
            <w:r>
              <w:t xml:space="preserve">Approved capture filters</w:t>
            </w:r>
          </w:p>
        </w:tc>
        <w:tc>
          <w:tcPr>
            <w:tcW w:w="829" w:type="dxa"/>
          </w:tcPr>
          <w:p>
            <w:pPr/>
          </w:p>
        </w:tc>
        <w:tc>
          <w:tcPr>
            <w:tcW w:w="2891" w:type="dxa"/>
          </w:tcPr>
          <w:p>
            <w:pPr/>
            <w:r>
              <w:t xml:space="preserve">OPTCL security</w:t>
            </w:r>
          </w:p>
        </w:tc>
        <w:tc>
          <w:tcPr>
            <w:tcW w:w="720" w:type="dxa"/>
          </w:tcPr>
          <w:p>
            <w:pPr/>
          </w:p>
        </w:tc>
      </w:tr>
      <w:tr>
        <w:tc>
          <w:tcPr>
            <w:tcW w:w="4920" w:type="dxa"/>
          </w:tcPr>
          <w:p>
            <w:pPr/>
            <w:r>
              <w:t xml:space="preserve">Replication and recovery requirements</w:t>
            </w:r>
          </w:p>
        </w:tc>
        <w:tc>
          <w:tcPr>
            <w:tcW w:w="829" w:type="dxa"/>
          </w:tcPr>
          <w:p>
            <w:pPr/>
          </w:p>
        </w:tc>
        <w:tc>
          <w:tcPr>
            <w:tcW w:w="2891" w:type="dxa"/>
          </w:tcPr>
          <w:p>
            <w:pPr/>
            <w:r>
              <w:t xml:space="preserve">OPTCL operations</w:t>
            </w:r>
          </w:p>
        </w:tc>
        <w:tc>
          <w:tcPr>
            <w:tcW w:w="720" w:type="dxa"/>
          </w:tcPr>
          <w:p>
            <w:pPr/>
          </w:p>
        </w:tc>
      </w:tr>
      <w:tr>
        <w:tc>
          <w:tcPr>
            <w:tcW w:w="4920" w:type="dxa"/>
          </w:tcPr>
          <w:p>
            <w:pPr/>
            <w:r>
              <w:t xml:space="preserve">Rack space, power and cooling available</w:t>
            </w:r>
          </w:p>
        </w:tc>
        <w:tc>
          <w:tcPr>
            <w:tcW w:w="829" w:type="dxa"/>
          </w:tcPr>
          <w:p>
            <w:pPr/>
          </w:p>
        </w:tc>
        <w:tc>
          <w:tcPr>
            <w:tcW w:w="2891" w:type="dxa"/>
          </w:tcPr>
          <w:p>
            <w:pPr/>
            <w:r>
              <w:t xml:space="preserve">Facilities</w:t>
            </w:r>
          </w:p>
        </w:tc>
        <w:tc>
          <w:tcPr>
            <w:tcW w:w="720" w:type="dxa"/>
          </w:tcPr>
          <w:p>
            <w:pPr/>
          </w:p>
        </w:tc>
      </w:tr>
    </w:tbl>
    <w:p>
      <w:pPr>
        <w:pStyle w:val="Heading2"/>
      </w:pPr>
      <w:r>
        <w:t xml:space="preserve">9. Open items</w:t>
      </w:r>
    </w:p>
    <w:p>
      <w:pPr>
        <w:pStyle w:val="ListParagraph"/>
        <w:numPr>
          <w:ilvl w:val="0"/>
          <w:numId w:val="5"/>
        </w:numPr>
      </w:pPr>
      <w:r>
        <w:t xml:space="preserve">Measured traffic profile for every observation point.</w:t>
      </w:r>
    </w:p>
    <w:p>
      <w:pPr>
        <w:pStyle w:val="ListParagraph"/>
        <w:numPr>
          <w:ilvl w:val="0"/>
          <w:numId w:val="5"/>
        </w:numPr>
      </w:pPr>
      <w:r>
        <w:t xml:space="preserve">Written definitions of normalized packet data and of record retrieval.</w:t>
      </w:r>
    </w:p>
    <w:p>
      <w:pPr>
        <w:pStyle w:val="ListParagraph"/>
        <w:numPr>
          <w:ilvl w:val="0"/>
          <w:numId w:val="5"/>
        </w:numPr>
      </w:pPr>
      <w:r>
        <w:t xml:space="preserve">Confirmation of how the 30% spare capacity is calculated and measured.</w:t>
      </w:r>
    </w:p>
    <w:p>
      <w:pPr>
        <w:pStyle w:val="ListParagraph"/>
        <w:numPr>
          <w:ilvl w:val="0"/>
          <w:numId w:val="5"/>
        </w:numPr>
      </w:pPr>
      <w:r>
        <w:t xml:space="preserve">Whether replicas and backups count towards the stated retention periods.</w:t>
      </w:r>
    </w:p>
    <w:p>
      <w:pPr>
        <w:pStyle w:val="ListParagraph"/>
        <w:numPr>
          <w:ilvl w:val="0"/>
          <w:numId w:val="5"/>
        </w:numPr>
      </w:pPr>
      <w:r>
        <w:t xml:space="preserve">Hardware platform constraints and approved vendors.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Capacity Planning and Sizing Workbook</dc:title>
  <dc:description>Claude Docs node/c31d8000-e478@1 docx-w7</dc:description>
  <cp:revision>1</cp:revision>
</cp:coreProperties>
</file>