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NBAD Detection Engineering Playbook</w:t>
      </w:r>
    </w:p>
    <w:p>
      <w:pPr/>
      <w:r>
        <w:rPr>
          <w:b/>
        </w:rPr>
        <w:t xml:space="preserve">OPTCL Next Generation SOC &amp; NOC: Network Behaviour Anomaly Detection</w:t>
      </w:r>
    </w:p>
    <w:p>
      <w:pPr/>
      <w:r>
        <w:t xml:space="preserve">Version 0.1 | Companion to the NBAD Project Blueprint | Draft for engineering review</w:t>
      </w:r>
    </w:p>
    <w:p>
      <w:pPr/>
      <w:r>
        <w:rPr>
          <w:i/>
        </w:rPr>
        <w:t xml:space="preserve">Status: Proposed detection logic. All thresholds are placeholders to tune on OPTCL’s real traffic. No detection should be claimed in a tender response until it has passed a test in the lab or POC.</w:t>
      </w:r>
    </w:p>
    <w:p>
      <w:pPr>
        <w:pStyle w:val="Heading2"/>
      </w:pPr>
      <w:r>
        <w:t xml:space="preserve">1. Purpose</w:t>
      </w:r>
    </w:p>
    <w:p>
      <w:pPr/>
      <w:r>
        <w:t xml:space="preserve">The tender lists many threat and behaviour categories. This playbook states, for each one, what data it needs, how we would detect it, where false positives come from, and how to test it. It also describes the baseline and machine-learning approach, scoring, tuning and the limits of what network metadata can show.</w:t>
      </w:r>
    </w:p>
    <w:p>
      <w:pPr>
        <w:pStyle w:val="Heading2"/>
      </w:pPr>
      <w:r>
        <w:t xml:space="preserve">2. Detection principles</w:t>
      </w:r>
    </w:p>
    <w:p>
      <w:pPr>
        <w:pStyle w:val="ListParagraph"/>
        <w:numPr>
          <w:ilvl w:val="0"/>
          <w:numId w:val="2"/>
        </w:numPr>
      </w:pPr>
      <w:r>
        <w:rPr>
          <w:b/>
        </w:rPr>
        <w:t xml:space="preserve">Start from data we actually have.</w:t>
      </w:r>
      <w:r>
        <w:t xml:space="preserve"> A use case that needs payload on encrypted traffic is out of reach. Say so plainly.</w:t>
      </w:r>
    </w:p>
    <w:p>
      <w:pPr>
        <w:pStyle w:val="ListParagraph"/>
        <w:numPr>
          <w:ilvl w:val="0"/>
          <w:numId w:val="2"/>
        </w:numPr>
      </w:pPr>
      <w:r>
        <w:rPr>
          <w:b/>
        </w:rPr>
        <w:t xml:space="preserve">Prefer simple and explainable.</w:t>
      </w:r>
      <w:r>
        <w:t xml:space="preserve"> A threshold with good evidence beats an opaque score during a POC.</w:t>
      </w:r>
    </w:p>
    <w:p>
      <w:pPr>
        <w:pStyle w:val="ListParagraph"/>
        <w:numPr>
          <w:ilvl w:val="0"/>
          <w:numId w:val="2"/>
        </w:numPr>
      </w:pPr>
      <w:r>
        <w:rPr>
          <w:b/>
        </w:rPr>
        <w:t xml:space="preserve">Every alert shows its working.</w:t>
      </w:r>
      <w:r>
        <w:t xml:space="preserve"> Observed value, expected value, window, and the rule or model version.</w:t>
      </w:r>
    </w:p>
    <w:p>
      <w:pPr>
        <w:pStyle w:val="ListParagraph"/>
        <w:numPr>
          <w:ilvl w:val="0"/>
          <w:numId w:val="2"/>
        </w:numPr>
      </w:pPr>
      <w:r>
        <w:rPr>
          <w:b/>
        </w:rPr>
        <w:t xml:space="preserve">Scope by zone and asset.</w:t>
      </w:r>
      <w:r>
        <w:t xml:space="preserve"> One global threshold fits no network. Allow per-zone, per-subnet and per-asset overrides.</w:t>
      </w:r>
    </w:p>
    <w:p>
      <w:pPr>
        <w:pStyle w:val="ListParagraph"/>
        <w:numPr>
          <w:ilvl w:val="0"/>
          <w:numId w:val="2"/>
        </w:numPr>
      </w:pPr>
      <w:r>
        <w:rPr>
          <w:b/>
        </w:rPr>
        <w:t xml:space="preserve">Measure false positives from day one.</w:t>
      </w:r>
      <w:r>
        <w:t xml:space="preserve"> Track analyst verdicts and use them for tuning.</w:t>
      </w:r>
    </w:p>
    <w:p>
      <w:pPr>
        <w:pStyle w:val="ListParagraph"/>
        <w:numPr>
          <w:ilvl w:val="0"/>
          <w:numId w:val="2"/>
        </w:numPr>
      </w:pPr>
      <w:r>
        <w:rPr>
          <w:b/>
        </w:rPr>
        <w:t xml:space="preserve">Separate severity from confidence.</w:t>
      </w:r>
      <w:r>
        <w:t xml:space="preserve"> A high-impact guess is not the same as a high-impact certainty.</w:t>
      </w:r>
    </w:p>
    <w:p>
      <w:pPr>
        <w:pStyle w:val="Heading2"/>
      </w:pPr>
      <w:r>
        <w:t xml:space="preserve">3. Use case catalogue</w:t>
      </w:r>
    </w:p>
    <w:tbl>
      <w:tblPr>
        <w:tblStyle w:val="TableGrid"/>
        <w:tblW w:w="0" w:type="auto"/>
        <w:tblLayout w:type="fixed"/>
        <w:tblLook w:val="04A0" w:firstRow="1" w:lastRow="0" w:firstColumn="0" w:lastColumn="0" w:noHBand="0" w:noVBand="1"/>
      </w:tblPr>
      <w:tblGrid>
        <w:gridCol w:w="1834"/>
        <w:gridCol w:w="1622"/>
        <w:gridCol w:w="2601"/>
        <w:gridCol w:w="1872"/>
        <w:gridCol w:w="1431"/>
      </w:tblGrid>
      <w:tr>
        <w:trPr>
          <w:tblHeader/>
        </w:trPr>
        <w:tc>
          <w:tcPr>
            <w:tcW w:w="1834" w:type="dxa"/>
            <w:shd w:val="clear" w:color="auto" w:fill="F2F2F2"/>
          </w:tcPr>
          <w:p>
            <w:pPr/>
            <w:r>
              <w:t xml:space="preserve">Use case</w:t>
            </w:r>
          </w:p>
        </w:tc>
        <w:tc>
          <w:tcPr>
            <w:tcW w:w="1622" w:type="dxa"/>
            <w:shd w:val="clear" w:color="auto" w:fill="F2F2F2"/>
          </w:tcPr>
          <w:p>
            <w:pPr/>
            <w:r>
              <w:t xml:space="preserve">Data needed</w:t>
            </w:r>
          </w:p>
        </w:tc>
        <w:tc>
          <w:tcPr>
            <w:tcW w:w="2601" w:type="dxa"/>
            <w:shd w:val="clear" w:color="auto" w:fill="F2F2F2"/>
          </w:tcPr>
          <w:p>
            <w:pPr/>
            <w:r>
              <w:t xml:space="preserve">Detection logic (starting point)</w:t>
            </w:r>
          </w:p>
        </w:tc>
        <w:tc>
          <w:tcPr>
            <w:tcW w:w="1872" w:type="dxa"/>
            <w:shd w:val="clear" w:color="auto" w:fill="F2F2F2"/>
          </w:tcPr>
          <w:p>
            <w:pPr/>
            <w:r>
              <w:t xml:space="preserve">Common false positives</w:t>
            </w:r>
          </w:p>
        </w:tc>
        <w:tc>
          <w:tcPr>
            <w:tcW w:w="1431" w:type="dxa"/>
            <w:shd w:val="clear" w:color="auto" w:fill="F2F2F2"/>
          </w:tcPr>
          <w:p>
            <w:pPr/>
            <w:r>
              <w:t xml:space="preserve">Lab test</w:t>
            </w:r>
          </w:p>
        </w:tc>
      </w:tr>
      <w:tr>
        <w:tc>
          <w:tcPr>
            <w:tcW w:w="1834" w:type="dxa"/>
          </w:tcPr>
          <w:p>
            <w:pPr/>
            <w:r>
              <w:t xml:space="preserve">Port scan (vertical)</w:t>
            </w:r>
          </w:p>
        </w:tc>
        <w:tc>
          <w:tcPr>
            <w:tcW w:w="1622" w:type="dxa"/>
          </w:tcPr>
          <w:p>
            <w:pPr/>
            <w:r>
              <w:t xml:space="preserve">Flows</w:t>
            </w:r>
          </w:p>
        </w:tc>
        <w:tc>
          <w:tcPr>
            <w:tcW w:w="2601" w:type="dxa"/>
          </w:tcPr>
          <w:p>
            <w:pPr/>
            <w:r>
              <w:t xml:space="preserve">One source touching many distinct ports on one target within a window</w:t>
            </w:r>
          </w:p>
        </w:tc>
        <w:tc>
          <w:tcPr>
            <w:tcW w:w="1872" w:type="dxa"/>
          </w:tcPr>
          <w:p>
            <w:pPr/>
            <w:r>
              <w:t xml:space="preserve">Vulnerability scanners, monitoring tools</w:t>
            </w:r>
          </w:p>
        </w:tc>
        <w:tc>
          <w:tcPr>
            <w:tcW w:w="1431" w:type="dxa"/>
          </w:tcPr>
          <w:p>
            <w:pPr/>
            <w:r>
              <w:t xml:space="preserve">Run nmap against a lab host</w:t>
            </w:r>
          </w:p>
        </w:tc>
      </w:tr>
      <w:tr>
        <w:tc>
          <w:tcPr>
            <w:tcW w:w="1834" w:type="dxa"/>
          </w:tcPr>
          <w:p>
            <w:pPr/>
            <w:r>
              <w:t xml:space="preserve">Host sweep (horizontal scan)</w:t>
            </w:r>
          </w:p>
        </w:tc>
        <w:tc>
          <w:tcPr>
            <w:tcW w:w="1622" w:type="dxa"/>
          </w:tcPr>
          <w:p>
            <w:pPr/>
            <w:r>
              <w:t xml:space="preserve">Flows</w:t>
            </w:r>
          </w:p>
        </w:tc>
        <w:tc>
          <w:tcPr>
            <w:tcW w:w="2601" w:type="dxa"/>
          </w:tcPr>
          <w:p>
            <w:pPr/>
            <w:r>
              <w:t xml:space="preserve">One source touching many distinct hosts on the same port within a window</w:t>
            </w:r>
          </w:p>
        </w:tc>
        <w:tc>
          <w:tcPr>
            <w:tcW w:w="1872" w:type="dxa"/>
          </w:tcPr>
          <w:p>
            <w:pPr/>
            <w:r>
              <w:t xml:space="preserve">Asset discovery, backup agents</w:t>
            </w:r>
          </w:p>
        </w:tc>
        <w:tc>
          <w:tcPr>
            <w:tcW w:w="1431" w:type="dxa"/>
          </w:tcPr>
          <w:p>
            <w:pPr/>
            <w:r>
              <w:t xml:space="preserve">Sweep a lab subnet</w:t>
            </w:r>
          </w:p>
        </w:tc>
      </w:tr>
      <w:tr>
        <w:tc>
          <w:tcPr>
            <w:tcW w:w="1834" w:type="dxa"/>
          </w:tcPr>
          <w:p>
            <w:pPr/>
            <w:r>
              <w:t xml:space="preserve">Volumetric DoS/DDoS</w:t>
            </w:r>
          </w:p>
        </w:tc>
        <w:tc>
          <w:tcPr>
            <w:tcW w:w="1622" w:type="dxa"/>
          </w:tcPr>
          <w:p>
            <w:pPr/>
            <w:r>
              <w:t xml:space="preserve">Flows, interface counters</w:t>
            </w:r>
          </w:p>
        </w:tc>
        <w:tc>
          <w:tcPr>
            <w:tcW w:w="2601" w:type="dxa"/>
          </w:tcPr>
          <w:p>
            <w:pPr/>
            <w:r>
              <w:t xml:space="preserve">Packets or bytes per second to one target far above baseline, many sources or one</w:t>
            </w:r>
          </w:p>
        </w:tc>
        <w:tc>
          <w:tcPr>
            <w:tcW w:w="1872" w:type="dxa"/>
          </w:tcPr>
          <w:p>
            <w:pPr/>
            <w:r>
              <w:t xml:space="preserve">Flash crowds, backups, software updates</w:t>
            </w:r>
          </w:p>
        </w:tc>
        <w:tc>
          <w:tcPr>
            <w:tcW w:w="1431" w:type="dxa"/>
          </w:tcPr>
          <w:p>
            <w:pPr/>
            <w:r>
              <w:t xml:space="preserve">Replay or generate flood-like traffic in the isolated lab</w:t>
            </w:r>
          </w:p>
        </w:tc>
      </w:tr>
      <w:tr>
        <w:tc>
          <w:tcPr>
            <w:tcW w:w="1834" w:type="dxa"/>
          </w:tcPr>
          <w:p>
            <w:pPr/>
            <w:r>
              <w:t xml:space="preserve">SYN flood</w:t>
            </w:r>
          </w:p>
        </w:tc>
        <w:tc>
          <w:tcPr>
            <w:tcW w:w="1622" w:type="dxa"/>
          </w:tcPr>
          <w:p>
            <w:pPr/>
            <w:r>
              <w:t xml:space="preserve">Flows with TCP flags, or packets</w:t>
            </w:r>
          </w:p>
        </w:tc>
        <w:tc>
          <w:tcPr>
            <w:tcW w:w="2601" w:type="dxa"/>
          </w:tcPr>
          <w:p>
            <w:pPr/>
            <w:r>
              <w:t xml:space="preserve">High rate of SYN-only flows with few completed handshakes</w:t>
            </w:r>
          </w:p>
        </w:tc>
        <w:tc>
          <w:tcPr>
            <w:tcW w:w="1872" w:type="dxa"/>
          </w:tcPr>
          <w:p>
            <w:pPr/>
            <w:r>
              <w:t xml:space="preserve">Misconfigured clients, scanners</w:t>
            </w:r>
          </w:p>
        </w:tc>
        <w:tc>
          <w:tcPr>
            <w:tcW w:w="1431" w:type="dxa"/>
          </w:tcPr>
          <w:p>
            <w:pPr/>
            <w:r>
              <w:t xml:space="preserve">Generate SYN-heavy traffic in the lab</w:t>
            </w:r>
          </w:p>
        </w:tc>
      </w:tr>
      <w:tr>
        <w:tc>
          <w:tcPr>
            <w:tcW w:w="1834" w:type="dxa"/>
          </w:tcPr>
          <w:p>
            <w:pPr/>
            <w:r>
              <w:t xml:space="preserve">Worm propagation</w:t>
            </w:r>
          </w:p>
        </w:tc>
        <w:tc>
          <w:tcPr>
            <w:tcW w:w="1622" w:type="dxa"/>
          </w:tcPr>
          <w:p>
            <w:pPr/>
            <w:r>
              <w:t xml:space="preserve">Flows, graph</w:t>
            </w:r>
          </w:p>
        </w:tc>
        <w:tc>
          <w:tcPr>
            <w:tcW w:w="2601" w:type="dxa"/>
          </w:tcPr>
          <w:p>
            <w:pPr/>
            <w:r>
              <w:t xml:space="preserve">Infected host fans out to many new peers, and those peers repeat the pattern</w:t>
            </w:r>
          </w:p>
        </w:tc>
        <w:tc>
          <w:tcPr>
            <w:tcW w:w="1872" w:type="dxa"/>
          </w:tcPr>
          <w:p>
            <w:pPr/>
            <w:r>
              <w:t xml:space="preserve">Patch distribution, inventory tools</w:t>
            </w:r>
          </w:p>
        </w:tc>
        <w:tc>
          <w:tcPr>
            <w:tcW w:w="1431" w:type="dxa"/>
          </w:tcPr>
          <w:p>
            <w:pPr/>
            <w:r>
              <w:t xml:space="preserve">Simulate propagation across lab hosts</w:t>
            </w:r>
          </w:p>
        </w:tc>
      </w:tr>
      <w:tr>
        <w:tc>
          <w:tcPr>
            <w:tcW w:w="1834" w:type="dxa"/>
          </w:tcPr>
          <w:p>
            <w:pPr/>
            <w:r>
              <w:t xml:space="preserve">Botnet or beaconing</w:t>
            </w:r>
          </w:p>
        </w:tc>
        <w:tc>
          <w:tcPr>
            <w:tcW w:w="1622" w:type="dxa"/>
          </w:tcPr>
          <w:p>
            <w:pPr/>
            <w:r>
              <w:t xml:space="preserve">Flows, DNS, TLS metadata</w:t>
            </w:r>
          </w:p>
        </w:tc>
        <w:tc>
          <w:tcPr>
            <w:tcW w:w="2601" w:type="dxa"/>
          </w:tcPr>
          <w:p>
            <w:pPr/>
            <w:r>
              <w:t xml:space="preserve">Regular-interval connections of similar size to the same external destination</w:t>
            </w:r>
          </w:p>
        </w:tc>
        <w:tc>
          <w:tcPr>
            <w:tcW w:w="1872" w:type="dxa"/>
          </w:tcPr>
          <w:p>
            <w:pPr/>
            <w:r>
              <w:t xml:space="preserve">Update checks, NTP, monitoring agents</w:t>
            </w:r>
          </w:p>
        </w:tc>
        <w:tc>
          <w:tcPr>
            <w:tcW w:w="1431" w:type="dxa"/>
          </w:tcPr>
          <w:p>
            <w:pPr/>
            <w:r>
              <w:t xml:space="preserve">Script periodic callbacks with jitter</w:t>
            </w:r>
          </w:p>
        </w:tc>
      </w:tr>
      <w:tr>
        <w:tc>
          <w:tcPr>
            <w:tcW w:w="1834" w:type="dxa"/>
          </w:tcPr>
          <w:p>
            <w:pPr/>
            <w:r>
              <w:t xml:space="preserve">Long-lived connection</w:t>
            </w:r>
          </w:p>
        </w:tc>
        <w:tc>
          <w:tcPr>
            <w:tcW w:w="1622" w:type="dxa"/>
          </w:tcPr>
          <w:p>
            <w:pPr/>
            <w:r>
              <w:t xml:space="preserve">Flows</w:t>
            </w:r>
          </w:p>
        </w:tc>
        <w:tc>
          <w:tcPr>
            <w:tcW w:w="2601" w:type="dxa"/>
          </w:tcPr>
          <w:p>
            <w:pPr/>
            <w:r>
              <w:t xml:space="preserve">Duration above a per-service threshold, optionally with low byte rate</w:t>
            </w:r>
          </w:p>
        </w:tc>
        <w:tc>
          <w:tcPr>
            <w:tcW w:w="1872" w:type="dxa"/>
          </w:tcPr>
          <w:p>
            <w:pPr/>
            <w:r>
              <w:t xml:space="preserve">VPNs, database connections, streaming</w:t>
            </w:r>
          </w:p>
        </w:tc>
        <w:tc>
          <w:tcPr>
            <w:tcW w:w="1431" w:type="dxa"/>
          </w:tcPr>
          <w:p>
            <w:pPr/>
            <w:r>
              <w:t xml:space="preserve">Hold a lab connection open</w:t>
            </w:r>
          </w:p>
        </w:tc>
      </w:tr>
      <w:tr>
        <w:tc>
          <w:tcPr>
            <w:tcW w:w="1834" w:type="dxa"/>
          </w:tcPr>
          <w:p>
            <w:pPr/>
            <w:r>
              <w:t xml:space="preserve">Non-standard port</w:t>
            </w:r>
          </w:p>
        </w:tc>
        <w:tc>
          <w:tcPr>
            <w:tcW w:w="1622" w:type="dxa"/>
          </w:tcPr>
          <w:p>
            <w:pPr/>
            <w:r>
              <w:t xml:space="preserve">Sessions with protocol detection</w:t>
            </w:r>
          </w:p>
        </w:tc>
        <w:tc>
          <w:tcPr>
            <w:tcW w:w="2601" w:type="dxa"/>
          </w:tcPr>
          <w:p>
            <w:pPr/>
            <w:r>
              <w:t xml:space="preserve">Detected protocol on a port outside its expected set</w:t>
            </w:r>
          </w:p>
        </w:tc>
        <w:tc>
          <w:tcPr>
            <w:tcW w:w="1872" w:type="dxa"/>
          </w:tcPr>
          <w:p>
            <w:pPr/>
            <w:r>
              <w:t xml:space="preserve">Legitimate custom apps</w:t>
            </w:r>
          </w:p>
        </w:tc>
        <w:tc>
          <w:tcPr>
            <w:tcW w:w="1431" w:type="dxa"/>
          </w:tcPr>
          <w:p>
            <w:pPr/>
            <w:r>
              <w:t xml:space="preserve">Run HTTP or SSH on an unusual port</w:t>
            </w:r>
          </w:p>
        </w:tc>
      </w:tr>
      <w:tr>
        <w:tc>
          <w:tcPr>
            <w:tcW w:w="1834" w:type="dxa"/>
          </w:tcPr>
          <w:p>
            <w:pPr/>
            <w:r>
              <w:t xml:space="preserve">Unexpected service</w:t>
            </w:r>
          </w:p>
        </w:tc>
        <w:tc>
          <w:tcPr>
            <w:tcW w:w="1622" w:type="dxa"/>
          </w:tcPr>
          <w:p>
            <w:pPr/>
            <w:r>
              <w:t xml:space="preserve">Flows, asset record</w:t>
            </w:r>
          </w:p>
        </w:tc>
        <w:tc>
          <w:tcPr>
            <w:tcW w:w="2601" w:type="dxa"/>
          </w:tcPr>
          <w:p>
            <w:pPr/>
            <w:r>
              <w:t xml:space="preserve">New listening service seen on a host that did not offer it before</w:t>
            </w:r>
          </w:p>
        </w:tc>
        <w:tc>
          <w:tcPr>
            <w:tcW w:w="1872" w:type="dxa"/>
          </w:tcPr>
          <w:p>
            <w:pPr/>
            <w:r>
              <w:t xml:space="preserve">New deployments</w:t>
            </w:r>
          </w:p>
        </w:tc>
        <w:tc>
          <w:tcPr>
            <w:tcW w:w="1431" w:type="dxa"/>
          </w:tcPr>
          <w:p>
            <w:pPr/>
            <w:r>
              <w:t xml:space="preserve">Start a new service on a lab host</w:t>
            </w:r>
          </w:p>
        </w:tc>
      </w:tr>
      <w:tr>
        <w:tc>
          <w:tcPr>
            <w:tcW w:w="1834" w:type="dxa"/>
          </w:tcPr>
          <w:p>
            <w:pPr/>
            <w:r>
              <w:t xml:space="preserve">New host</w:t>
            </w:r>
          </w:p>
        </w:tc>
        <w:tc>
          <w:tcPr>
            <w:tcW w:w="1622" w:type="dxa"/>
          </w:tcPr>
          <w:p>
            <w:pPr/>
            <w:r>
              <w:t xml:space="preserve">Flows, asset record</w:t>
            </w:r>
          </w:p>
        </w:tc>
        <w:tc>
          <w:tcPr>
            <w:tcW w:w="2601" w:type="dxa"/>
          </w:tcPr>
          <w:p>
            <w:pPr/>
            <w:r>
              <w:t xml:space="preserve">Address or MAC seen for the first time in a zone</w:t>
            </w:r>
          </w:p>
        </w:tc>
        <w:tc>
          <w:tcPr>
            <w:tcW w:w="1872" w:type="dxa"/>
          </w:tcPr>
          <w:p>
            <w:pPr/>
            <w:r>
              <w:t xml:space="preserve">DHCP churn, guest devices</w:t>
            </w:r>
          </w:p>
        </w:tc>
        <w:tc>
          <w:tcPr>
            <w:tcW w:w="1431" w:type="dxa"/>
          </w:tcPr>
          <w:p>
            <w:pPr/>
            <w:r>
              <w:t xml:space="preserve">Connect a new lab host</w:t>
            </w:r>
          </w:p>
        </w:tc>
      </w:tr>
      <w:tr>
        <w:tc>
          <w:tcPr>
            <w:tcW w:w="1834" w:type="dxa"/>
          </w:tcPr>
          <w:p>
            <w:pPr/>
            <w:r>
              <w:t xml:space="preserve">New vulnerable host</w:t>
            </w:r>
          </w:p>
        </w:tc>
        <w:tc>
          <w:tcPr>
            <w:tcW w:w="1622" w:type="dxa"/>
          </w:tcPr>
          <w:p>
            <w:pPr/>
            <w:r>
              <w:t xml:space="preserve">New host plus scanner data</w:t>
            </w:r>
          </w:p>
        </w:tc>
        <w:tc>
          <w:tcPr>
            <w:tcW w:w="2601" w:type="dxa"/>
          </w:tcPr>
          <w:p>
            <w:pPr/>
            <w:r>
              <w:t xml:space="preserve">New host matches vulnerability import with high-severity findings</w:t>
            </w:r>
          </w:p>
        </w:tc>
        <w:tc>
          <w:tcPr>
            <w:tcW w:w="1872" w:type="dxa"/>
          </w:tcPr>
          <w:p>
            <w:pPr/>
            <w:r>
              <w:t xml:space="preserve">Stale scan data</w:t>
            </w:r>
          </w:p>
        </w:tc>
        <w:tc>
          <w:tcPr>
            <w:tcW w:w="1431" w:type="dxa"/>
          </w:tcPr>
          <w:p>
            <w:pPr/>
            <w:r>
              <w:t xml:space="preserve">Import a test scan result for a new host</w:t>
            </w:r>
          </w:p>
        </w:tc>
      </w:tr>
      <w:tr>
        <w:tc>
          <w:tcPr>
            <w:tcW w:w="1834" w:type="dxa"/>
          </w:tcPr>
          <w:p>
            <w:pPr/>
            <w:r>
              <w:t xml:space="preserve">Policy violation</w:t>
            </w:r>
          </w:p>
        </w:tc>
        <w:tc>
          <w:tcPr>
            <w:tcW w:w="1622" w:type="dxa"/>
          </w:tcPr>
          <w:p>
            <w:pPr/>
            <w:r>
              <w:t xml:space="preserve">Flows, policy rules</w:t>
            </w:r>
          </w:p>
        </w:tc>
        <w:tc>
          <w:tcPr>
            <w:tcW w:w="2601" w:type="dxa"/>
          </w:tcPr>
          <w:p>
            <w:pPr/>
            <w:r>
              <w:t xml:space="preserve">Traffic matching a forbidden source, destination, service or direction</w:t>
            </w:r>
          </w:p>
        </w:tc>
        <w:tc>
          <w:tcPr>
            <w:tcW w:w="1872" w:type="dxa"/>
          </w:tcPr>
          <w:p>
            <w:pPr/>
            <w:r>
              <w:t xml:space="preserve">Poorly defined policy</w:t>
            </w:r>
          </w:p>
        </w:tc>
        <w:tc>
          <w:tcPr>
            <w:tcW w:w="1431" w:type="dxa"/>
          </w:tcPr>
          <w:p>
            <w:pPr/>
            <w:r>
              <w:t xml:space="preserve">Create a rule and send matching traffic</w:t>
            </w:r>
          </w:p>
        </w:tc>
      </w:tr>
      <w:tr>
        <w:tc>
          <w:tcPr>
            <w:tcW w:w="1834" w:type="dxa"/>
          </w:tcPr>
          <w:p>
            <w:pPr/>
            <w:r>
              <w:t xml:space="preserve">Risky application</w:t>
            </w:r>
          </w:p>
        </w:tc>
        <w:tc>
          <w:tcPr>
            <w:tcW w:w="1622" w:type="dxa"/>
          </w:tcPr>
          <w:p>
            <w:pPr/>
            <w:r>
              <w:t xml:space="preserve">App identification</w:t>
            </w:r>
          </w:p>
        </w:tc>
        <w:tc>
          <w:tcPr>
            <w:tcW w:w="2601" w:type="dxa"/>
          </w:tcPr>
          <w:p>
            <w:pPr/>
            <w:r>
              <w:t xml:space="preserve">Application classified in a risky category</w:t>
            </w:r>
          </w:p>
        </w:tc>
        <w:tc>
          <w:tcPr>
            <w:tcW w:w="1872" w:type="dxa"/>
          </w:tcPr>
          <w:p>
            <w:pPr/>
            <w:r>
              <w:t xml:space="preserve">Misclassification</w:t>
            </w:r>
          </w:p>
        </w:tc>
        <w:tc>
          <w:tcPr>
            <w:tcW w:w="1431" w:type="dxa"/>
          </w:tcPr>
          <w:p>
            <w:pPr/>
            <w:r>
              <w:t xml:space="preserve">Generate traffic for a known risky protocol in the lab</w:t>
            </w:r>
          </w:p>
        </w:tc>
      </w:tr>
      <w:tr>
        <w:tc>
          <w:tcPr>
            <w:tcW w:w="1834" w:type="dxa"/>
          </w:tcPr>
          <w:p>
            <w:pPr/>
            <w:r>
              <w:t xml:space="preserve">Unknown-country communication</w:t>
            </w:r>
          </w:p>
        </w:tc>
        <w:tc>
          <w:tcPr>
            <w:tcW w:w="1622" w:type="dxa"/>
          </w:tcPr>
          <w:p>
            <w:pPr/>
            <w:r>
              <w:t xml:space="preserve">Flows, geolocation</w:t>
            </w:r>
          </w:p>
        </w:tc>
        <w:tc>
          <w:tcPr>
            <w:tcW w:w="2601" w:type="dxa"/>
          </w:tcPr>
          <w:p>
            <w:pPr/>
            <w:r>
              <w:t xml:space="preserve">Traffic to or from a country not seen in the baseline or on a watch list</w:t>
            </w:r>
          </w:p>
        </w:tc>
        <w:tc>
          <w:tcPr>
            <w:tcW w:w="1872" w:type="dxa"/>
          </w:tcPr>
          <w:p>
            <w:pPr/>
            <w:r>
              <w:t xml:space="preserve">CDNs, geolocation errors</w:t>
            </w:r>
          </w:p>
        </w:tc>
        <w:tc>
          <w:tcPr>
            <w:tcW w:w="1431" w:type="dxa"/>
          </w:tcPr>
          <w:p>
            <w:pPr/>
            <w:r>
              <w:t xml:space="preserve">Replay flows with test addresses</w:t>
            </w:r>
          </w:p>
        </w:tc>
      </w:tr>
      <w:tr>
        <w:tc>
          <w:tcPr>
            <w:tcW w:w="1834" w:type="dxa"/>
          </w:tcPr>
          <w:p>
            <w:pPr/>
            <w:r>
              <w:t xml:space="preserve">Tunnelling</w:t>
            </w:r>
          </w:p>
        </w:tc>
        <w:tc>
          <w:tcPr>
            <w:tcW w:w="1622" w:type="dxa"/>
          </w:tcPr>
          <w:p>
            <w:pPr/>
            <w:r>
              <w:t xml:space="preserve">DNS, TLS, sessions</w:t>
            </w:r>
          </w:p>
        </w:tc>
        <w:tc>
          <w:tcPr>
            <w:tcW w:w="2601" w:type="dxa"/>
          </w:tcPr>
          <w:p>
            <w:pPr/>
            <w:r>
              <w:t xml:space="preserve">Unusually long or high-entropy DNS names, high query volume to one domain, protocol mismatch</w:t>
            </w:r>
          </w:p>
        </w:tc>
        <w:tc>
          <w:tcPr>
            <w:tcW w:w="1872" w:type="dxa"/>
          </w:tcPr>
          <w:p>
            <w:pPr/>
            <w:r>
              <w:t xml:space="preserve">CDNs, security products using DNS</w:t>
            </w:r>
          </w:p>
        </w:tc>
        <w:tc>
          <w:tcPr>
            <w:tcW w:w="1431" w:type="dxa"/>
          </w:tcPr>
          <w:p>
            <w:pPr/>
            <w:r>
              <w:t xml:space="preserve">Run a DNS tunnelling tool in the lab</w:t>
            </w:r>
          </w:p>
        </w:tc>
      </w:tr>
      <w:tr>
        <w:tc>
          <w:tcPr>
            <w:tcW w:w="1834" w:type="dxa"/>
          </w:tcPr>
          <w:p>
            <w:pPr/>
            <w:r>
              <w:t xml:space="preserve">Low-and-slow exfiltration</w:t>
            </w:r>
          </w:p>
        </w:tc>
        <w:tc>
          <w:tcPr>
            <w:tcW w:w="1622" w:type="dxa"/>
          </w:tcPr>
          <w:p>
            <w:pPr/>
            <w:r>
              <w:t xml:space="preserve">Flows over days</w:t>
            </w:r>
          </w:p>
        </w:tc>
        <w:tc>
          <w:tcPr>
            <w:tcW w:w="2601" w:type="dxa"/>
          </w:tcPr>
          <w:p>
            <w:pPr/>
            <w:r>
              <w:t xml:space="preserve">Cumulative outbound volume to one external destination above baseline across many windows</w:t>
            </w:r>
          </w:p>
        </w:tc>
        <w:tc>
          <w:tcPr>
            <w:tcW w:w="1872" w:type="dxa"/>
          </w:tcPr>
          <w:p>
            <w:pPr/>
            <w:r>
              <w:t xml:space="preserve">Cloud backups, large uploads</w:t>
            </w:r>
          </w:p>
        </w:tc>
        <w:tc>
          <w:tcPr>
            <w:tcW w:w="1431" w:type="dxa"/>
          </w:tcPr>
          <w:p>
            <w:pPr/>
            <w:r>
              <w:t xml:space="preserve">Slow transfer over several days</w:t>
            </w:r>
          </w:p>
        </w:tc>
      </w:tr>
      <w:tr>
        <w:tc>
          <w:tcPr>
            <w:tcW w:w="1834" w:type="dxa"/>
          </w:tcPr>
          <w:p>
            <w:pPr/>
            <w:r>
              <w:t xml:space="preserve">Lateral movement</w:t>
            </w:r>
          </w:p>
        </w:tc>
        <w:tc>
          <w:tcPr>
            <w:tcW w:w="1622" w:type="dxa"/>
          </w:tcPr>
          <w:p>
            <w:pPr/>
            <w:r>
              <w:t xml:space="preserve">Flows, graph</w:t>
            </w:r>
          </w:p>
        </w:tc>
        <w:tc>
          <w:tcPr>
            <w:tcW w:w="2601" w:type="dxa"/>
          </w:tcPr>
          <w:p>
            <w:pPr/>
            <w:r>
              <w:t xml:space="preserve">New internal communication edges on admin ports between hosts that never talked</w:t>
            </w:r>
          </w:p>
        </w:tc>
        <w:tc>
          <w:tcPr>
            <w:tcW w:w="1872" w:type="dxa"/>
          </w:tcPr>
          <w:p>
            <w:pPr/>
            <w:r>
              <w:t xml:space="preserve">Admin tooling, jump hosts</w:t>
            </w:r>
          </w:p>
        </w:tc>
        <w:tc>
          <w:tcPr>
            <w:tcW w:w="1431" w:type="dxa"/>
          </w:tcPr>
          <w:p>
            <w:pPr/>
            <w:r>
              <w:t xml:space="preserve">Connect between lab hosts on SMB or RDP</w:t>
            </w:r>
          </w:p>
        </w:tc>
      </w:tr>
      <w:tr>
        <w:tc>
          <w:tcPr>
            <w:tcW w:w="1834" w:type="dxa"/>
          </w:tcPr>
          <w:p>
            <w:pPr/>
            <w:r>
              <w:t xml:space="preserve">Unknown or novel pattern</w:t>
            </w:r>
          </w:p>
        </w:tc>
        <w:tc>
          <w:tcPr>
            <w:tcW w:w="1622" w:type="dxa"/>
          </w:tcPr>
          <w:p>
            <w:pPr/>
            <w:r>
              <w:t xml:space="preserve">Flow features</w:t>
            </w:r>
          </w:p>
        </w:tc>
        <w:tc>
          <w:tcPr>
            <w:tcW w:w="2601" w:type="dxa"/>
          </w:tcPr>
          <w:p>
            <w:pPr/>
            <w:r>
              <w:t xml:space="preserve">Multivariate anomaly score above threshold</w:t>
            </w:r>
          </w:p>
        </w:tc>
        <w:tc>
          <w:tcPr>
            <w:tcW w:w="1872" w:type="dxa"/>
          </w:tcPr>
          <w:p>
            <w:pPr/>
            <w:r>
              <w:t xml:space="preserve">Real but rare business activity</w:t>
            </w:r>
          </w:p>
        </w:tc>
        <w:tc>
          <w:tcPr>
            <w:tcW w:w="1431" w:type="dxa"/>
          </w:tcPr>
          <w:p>
            <w:pPr/>
            <w:r>
              <w:t xml:space="preserve">Inject synthetic outliers</w:t>
            </w:r>
          </w:p>
        </w:tc>
      </w:tr>
    </w:tbl>
    <w:p>
      <w:pPr/>
      <w:r>
        <w:t xml:space="preserve">Malware, botnet, APT and Trojan activity are detected indirectly through these behaviours plus threat-intelligence matches and sandbox verdicts. The system does not unpack or detonate files on the network by itself. Say that clearly in any compliance answer.</w:t>
      </w:r>
    </w:p>
    <w:p>
      <w:pPr>
        <w:pStyle w:val="Heading2"/>
      </w:pPr>
      <w:r>
        <w:t xml:space="preserve">4. Baselines</w:t>
      </w:r>
    </w:p>
    <w:tbl>
      <w:tblPr>
        <w:tblStyle w:val="TableGrid"/>
        <w:tblW w:w="0" w:type="auto"/>
        <w:tblLayout w:type="fixed"/>
        <w:tblLook w:val="04A0" w:firstRow="1" w:lastRow="0" w:firstColumn="0" w:lastColumn="0" w:noHBand="0" w:noVBand="1"/>
      </w:tblPr>
      <w:tblGrid>
        <w:gridCol w:w="3230"/>
        <w:gridCol w:w="6129"/>
      </w:tblGrid>
      <w:tr>
        <w:trPr>
          <w:tblHeader/>
        </w:trPr>
        <w:tc>
          <w:tcPr>
            <w:tcW w:w="3230" w:type="dxa"/>
            <w:shd w:val="clear" w:color="auto" w:fill="F2F2F2"/>
          </w:tcPr>
          <w:p>
            <w:pPr/>
            <w:r>
              <w:t xml:space="preserve">Aspect</w:t>
            </w:r>
          </w:p>
        </w:tc>
        <w:tc>
          <w:tcPr>
            <w:tcW w:w="6129" w:type="dxa"/>
            <w:shd w:val="clear" w:color="auto" w:fill="F2F2F2"/>
          </w:tcPr>
          <w:p>
            <w:pPr/>
            <w:r>
              <w:t xml:space="preserve">Approach</w:t>
            </w:r>
          </w:p>
        </w:tc>
      </w:tr>
      <w:tr>
        <w:tc>
          <w:tcPr>
            <w:tcW w:w="3230" w:type="dxa"/>
          </w:tcPr>
          <w:p>
            <w:pPr/>
            <w:r>
              <w:t xml:space="preserve">Entities</w:t>
            </w:r>
          </w:p>
        </w:tc>
        <w:tc>
          <w:tcPr>
            <w:tcW w:w="6129" w:type="dxa"/>
          </w:tcPr>
          <w:p>
            <w:pPr/>
            <w:r>
              <w:t xml:space="preserve">Host, subnet, zone, service, and external destination</w:t>
            </w:r>
          </w:p>
        </w:tc>
      </w:tr>
      <w:tr>
        <w:tc>
          <w:tcPr>
            <w:tcW w:w="3230" w:type="dxa"/>
          </w:tcPr>
          <w:p>
            <w:pPr/>
            <w:r>
              <w:t xml:space="preserve">Metrics</w:t>
            </w:r>
          </w:p>
        </w:tc>
        <w:tc>
          <w:tcPr>
            <w:tcW w:w="6129" w:type="dxa"/>
          </w:tcPr>
          <w:p>
            <w:pPr/>
            <w:r>
              <w:t xml:space="preserve">Bytes, packets, flow count, distinct peers, distinct ports, protocol mix, connection duration</w:t>
            </w:r>
          </w:p>
        </w:tc>
      </w:tr>
      <w:tr>
        <w:tc>
          <w:tcPr>
            <w:tcW w:w="3230" w:type="dxa"/>
          </w:tcPr>
          <w:p>
            <w:pPr/>
            <w:r>
              <w:t xml:space="preserve">Windows</w:t>
            </w:r>
          </w:p>
        </w:tc>
        <w:tc>
          <w:tcPr>
            <w:tcW w:w="6129" w:type="dxa"/>
          </w:tcPr>
          <w:p>
            <w:pPr/>
            <w:r>
              <w:t xml:space="preserve">Hourly, daily and weekly profiles, using hour-of-week buckets so weekday and weekend differ</w:t>
            </w:r>
          </w:p>
        </w:tc>
      </w:tr>
      <w:tr>
        <w:tc>
          <w:tcPr>
            <w:tcW w:w="3230" w:type="dxa"/>
          </w:tcPr>
          <w:p>
            <w:pPr/>
            <w:r>
              <w:t xml:space="preserve">Statistics</w:t>
            </w:r>
          </w:p>
        </w:tc>
        <w:tc>
          <w:tcPr>
            <w:tcW w:w="6129" w:type="dxa"/>
          </w:tcPr>
          <w:p>
            <w:pPr/>
            <w:r>
              <w:t xml:space="preserve">Median and percentiles for robustness, mean and standard deviation where the distribution allows, exponentially weighted averages for drift</w:t>
            </w:r>
          </w:p>
        </w:tc>
      </w:tr>
      <w:tr>
        <w:tc>
          <w:tcPr>
            <w:tcW w:w="3230" w:type="dxa"/>
          </w:tcPr>
          <w:p>
            <w:pPr/>
            <w:r>
              <w:t xml:space="preserve">Cold start</w:t>
            </w:r>
          </w:p>
        </w:tc>
        <w:tc>
          <w:tcPr>
            <w:tcW w:w="6129" w:type="dxa"/>
          </w:tcPr>
          <w:p>
            <w:pPr/>
            <w:r>
              <w:t xml:space="preserve">New entities start in a learning state. Alerts use only static thresholds until a minimum sample count is reached</w:t>
            </w:r>
          </w:p>
        </w:tc>
      </w:tr>
      <w:tr>
        <w:tc>
          <w:tcPr>
            <w:tcW w:w="3230" w:type="dxa"/>
          </w:tcPr>
          <w:p>
            <w:pPr/>
            <w:r>
              <w:t xml:space="preserve">Maintenance windows</w:t>
            </w:r>
          </w:p>
        </w:tc>
        <w:tc>
          <w:tcPr>
            <w:tcW w:w="6129" w:type="dxa"/>
          </w:tcPr>
          <w:p>
            <w:pPr/>
            <w:r>
              <w:t xml:space="preserve">Analysts can tag windows (patching, migrations, month-end) so they are excluded from learning or from alerting</w:t>
            </w:r>
          </w:p>
        </w:tc>
      </w:tr>
      <w:tr>
        <w:tc>
          <w:tcPr>
            <w:tcW w:w="3230" w:type="dxa"/>
          </w:tcPr>
          <w:p>
            <w:pPr/>
            <w:r>
              <w:t xml:space="preserve">Baseline poisoning</w:t>
            </w:r>
          </w:p>
        </w:tc>
        <w:tc>
          <w:tcPr>
            <w:tcW w:w="6129" w:type="dxa"/>
          </w:tcPr>
          <w:p>
            <w:pPr/>
            <w:r>
              <w:t xml:space="preserve">Cap how fast a baseline can move, require sustained change before accepting it, and allow analysts to freeze a profile during an incident</w:t>
            </w:r>
          </w:p>
        </w:tc>
      </w:tr>
      <w:tr>
        <w:tc>
          <w:tcPr>
            <w:tcW w:w="3230" w:type="dxa"/>
          </w:tcPr>
          <w:p>
            <w:pPr/>
            <w:r>
              <w:t xml:space="preserve">Versioning</w:t>
            </w:r>
          </w:p>
        </w:tc>
        <w:tc>
          <w:tcPr>
            <w:tcW w:w="6129" w:type="dxa"/>
          </w:tcPr>
          <w:p>
            <w:pPr/>
            <w:r>
              <w:t xml:space="preserve">Every profile update records the model version. Allow rollback to a previous snapshot</w:t>
            </w:r>
          </w:p>
        </w:tc>
      </w:tr>
    </w:tbl>
    <w:p>
      <w:pPr/>
      <w:r>
        <w:t xml:space="preserve">The tender asks for hourly, daily and weekly profiles. The hour-of-week approach covers all three from one structure, with roll-ups for the dashboards.</w:t>
      </w:r>
    </w:p>
    <w:p>
      <w:pPr>
        <w:pStyle w:val="Heading2"/>
      </w:pPr>
      <w:r>
        <w:t xml:space="preserve">5. Machine-learning approach</w:t>
      </w:r>
    </w:p>
    <w:p>
      <w:pPr/>
      <w:r>
        <w:t xml:space="preserve">Machine learning is a supporting scorer, not the foundation.</w:t>
      </w:r>
    </w:p>
    <w:p>
      <w:pPr>
        <w:pStyle w:val="ListParagraph"/>
        <w:numPr>
          <w:ilvl w:val="0"/>
          <w:numId w:val="3"/>
        </w:numPr>
      </w:pPr>
      <w:r>
        <w:rPr>
          <w:b/>
        </w:rPr>
        <w:t xml:space="preserve">Features.</w:t>
      </w:r>
      <w:r>
        <w:t xml:space="preserve"> Per entity per window: volume, flow counts, distinct destinations and ports, ratio of inbound to outbound, protocol mix, time-of-day, and change from baseline.</w:t>
      </w:r>
    </w:p>
    <w:p>
      <w:pPr>
        <w:pStyle w:val="ListParagraph"/>
        <w:numPr>
          <w:ilvl w:val="0"/>
          <w:numId w:val="3"/>
        </w:numPr>
      </w:pPr>
      <w:r>
        <w:rPr>
          <w:b/>
        </w:rPr>
        <w:t xml:space="preserve">Candidate methods.</w:t>
      </w:r>
      <w:r>
        <w:t xml:space="preserve"> Isolation forest or similar unsupervised outlier scoring per entity group, clustering of hosts by behaviour to compare against peers, and simple time-series forecasting for volume.</w:t>
      </w:r>
    </w:p>
    <w:p>
      <w:pPr>
        <w:pStyle w:val="ListParagraph"/>
        <w:numPr>
          <w:ilvl w:val="0"/>
          <w:numId w:val="3"/>
        </w:numPr>
      </w:pPr>
      <w:r>
        <w:rPr>
          <w:b/>
        </w:rPr>
        <w:t xml:space="preserve">Training.</w:t>
      </w:r>
      <w:r>
        <w:t xml:space="preserve"> Learn from OPTCL’s own traffic after the learning period. Public datasets are useful for pipeline testing, not for final tuning.</w:t>
      </w:r>
    </w:p>
    <w:p>
      <w:pPr>
        <w:pStyle w:val="ListParagraph"/>
        <w:numPr>
          <w:ilvl w:val="0"/>
          <w:numId w:val="3"/>
        </w:numPr>
      </w:pPr>
      <w:r>
        <w:rPr>
          <w:b/>
        </w:rPr>
        <w:t xml:space="preserve">Explainability.</w:t>
      </w:r>
      <w:r>
        <w:t xml:space="preserve"> Store the top contributing features with every ML alert, expressed as observed against expected.</w:t>
      </w:r>
    </w:p>
    <w:p>
      <w:pPr>
        <w:pStyle w:val="ListParagraph"/>
        <w:numPr>
          <w:ilvl w:val="0"/>
          <w:numId w:val="3"/>
        </w:numPr>
      </w:pPr>
      <w:r>
        <w:rPr>
          <w:b/>
        </w:rPr>
        <w:t xml:space="preserve">Drift.</w:t>
      </w:r>
      <w:r>
        <w:t xml:space="preserve"> Track score distributions over time. A sudden shift triggers a review instead of silent retraining.</w:t>
      </w:r>
    </w:p>
    <w:p>
      <w:pPr>
        <w:pStyle w:val="ListParagraph"/>
        <w:numPr>
          <w:ilvl w:val="0"/>
          <w:numId w:val="3"/>
        </w:numPr>
      </w:pPr>
      <w:r>
        <w:rPr>
          <w:b/>
        </w:rPr>
        <w:t xml:space="preserve">Model lifecycle.</w:t>
      </w:r>
      <w:r>
        <w:t xml:space="preserve"> Models are versioned artifacts. Promotion needs a test run on held-out traffic and a recorded approval.</w:t>
      </w:r>
    </w:p>
    <w:p>
      <w:pPr>
        <w:pStyle w:val="ListParagraph"/>
        <w:numPr>
          <w:ilvl w:val="0"/>
          <w:numId w:val="3"/>
        </w:numPr>
      </w:pPr>
      <w:r>
        <w:rPr>
          <w:b/>
        </w:rPr>
        <w:t xml:space="preserve">Licensing.</w:t>
      </w:r>
      <w:r>
        <w:t xml:space="preserve"> The tender asks for ML on unlimited hosts without extra licence. Make sure the commercial owner has a written position before the bid.</w:t>
      </w:r>
    </w:p>
    <w:p>
      <w:pPr>
        <w:pStyle w:val="Heading2"/>
      </w:pPr>
      <w:r>
        <w:t xml:space="preserve">6. Scoring and severity</w:t>
      </w:r>
    </w:p>
    <w:p>
      <w:pPr/>
      <w:r>
        <w:t xml:space="preserve">The blueprint gives an illustrative composite score: R = 100 × (0.30V + 0.25B + 0.20C + 0.15T + 0.10P). Implementation notes:</w:t>
      </w:r>
    </w:p>
    <w:p>
      <w:pPr>
        <w:pStyle w:val="ListParagraph"/>
        <w:numPr>
          <w:ilvl w:val="0"/>
          <w:numId w:val="4"/>
        </w:numPr>
      </w:pPr>
      <w:r>
        <w:t xml:space="preserve">Normalize each input to a 0 to 1 range using documented functions (for example a clipped percentile rank against baseline).</w:t>
      </w:r>
    </w:p>
    <w:p>
      <w:pPr>
        <w:pStyle w:val="ListParagraph"/>
        <w:numPr>
          <w:ilvl w:val="0"/>
          <w:numId w:val="4"/>
        </w:numPr>
      </w:pPr>
      <w:r>
        <w:t xml:space="preserve">Weight by asset criticality as a separate multiplier, not hidden inside the five terms.</w:t>
      </w:r>
    </w:p>
    <w:p>
      <w:pPr>
        <w:pStyle w:val="ListParagraph"/>
        <w:numPr>
          <w:ilvl w:val="0"/>
          <w:numId w:val="4"/>
        </w:numPr>
      </w:pPr>
      <w:r>
        <w:t xml:space="preserve">Allow overrides. A confirmed threat-intelligence hit on a critical asset or a policy rule marked as critical raises severity regardless of the composite.</w:t>
      </w:r>
    </w:p>
    <w:p>
      <w:pPr>
        <w:pStyle w:val="ListParagraph"/>
        <w:numPr>
          <w:ilvl w:val="0"/>
          <w:numId w:val="4"/>
        </w:numPr>
      </w:pPr>
      <w:r>
        <w:t xml:space="preserve">Keep the weights in configuration, version them, and record the version on each alert.</w:t>
      </w:r>
    </w:p>
    <w:p>
      <w:pPr/>
      <w:r>
        <w:t xml:space="preserve">Proposed severity mapping, to tune with OPTCL’s SOC:</w:t>
      </w:r>
    </w:p>
    <w:tbl>
      <w:tblPr>
        <w:tblStyle w:val="TableGrid"/>
        <w:tblW w:w="0" w:type="auto"/>
        <w:tblLayout w:type="fixed"/>
        <w:tblLook w:val="04A0" w:firstRow="1" w:lastRow="0" w:firstColumn="0" w:lastColumn="0" w:noHBand="0" w:noVBand="1"/>
      </w:tblPr>
      <w:tblGrid>
        <w:gridCol w:w="1600"/>
        <w:gridCol w:w="1940"/>
        <w:gridCol w:w="5819"/>
      </w:tblGrid>
      <w:tr>
        <w:trPr>
          <w:tblHeader/>
        </w:trPr>
        <w:tc>
          <w:tcPr>
            <w:tcW w:w="1600" w:type="dxa"/>
            <w:shd w:val="clear" w:color="auto" w:fill="F2F2F2"/>
          </w:tcPr>
          <w:p>
            <w:pPr/>
            <w:r>
              <w:t xml:space="preserve">Risk score</w:t>
            </w:r>
          </w:p>
        </w:tc>
        <w:tc>
          <w:tcPr>
            <w:tcW w:w="1940" w:type="dxa"/>
            <w:shd w:val="clear" w:color="auto" w:fill="F2F2F2"/>
          </w:tcPr>
          <w:p>
            <w:pPr/>
            <w:r>
              <w:t xml:space="preserve">Severity</w:t>
            </w:r>
          </w:p>
        </w:tc>
        <w:tc>
          <w:tcPr>
            <w:tcW w:w="5819" w:type="dxa"/>
            <w:shd w:val="clear" w:color="auto" w:fill="F2F2F2"/>
          </w:tcPr>
          <w:p>
            <w:pPr/>
            <w:r>
              <w:t xml:space="preserve">Suggested handling</w:t>
            </w:r>
          </w:p>
        </w:tc>
      </w:tr>
      <w:tr>
        <w:tc>
          <w:tcPr>
            <w:tcW w:w="1600" w:type="dxa"/>
          </w:tcPr>
          <w:p>
            <w:pPr/>
            <w:r>
              <w:t xml:space="preserve">0 to 24</w:t>
            </w:r>
          </w:p>
        </w:tc>
        <w:tc>
          <w:tcPr>
            <w:tcW w:w="1940" w:type="dxa"/>
          </w:tcPr>
          <w:p>
            <w:pPr/>
            <w:r>
              <w:t xml:space="preserve">Informational</w:t>
            </w:r>
          </w:p>
        </w:tc>
        <w:tc>
          <w:tcPr>
            <w:tcW w:w="5819" w:type="dxa"/>
          </w:tcPr>
          <w:p>
            <w:pPr/>
            <w:r>
              <w:t xml:space="preserve">Log only, available in search</w:t>
            </w:r>
          </w:p>
        </w:tc>
      </w:tr>
      <w:tr>
        <w:tc>
          <w:tcPr>
            <w:tcW w:w="1600" w:type="dxa"/>
          </w:tcPr>
          <w:p>
            <w:pPr/>
            <w:r>
              <w:t xml:space="preserve">25 to 49</w:t>
            </w:r>
          </w:p>
        </w:tc>
        <w:tc>
          <w:tcPr>
            <w:tcW w:w="1940" w:type="dxa"/>
          </w:tcPr>
          <w:p>
            <w:pPr/>
            <w:r>
              <w:t xml:space="preserve">Low</w:t>
            </w:r>
          </w:p>
        </w:tc>
        <w:tc>
          <w:tcPr>
            <w:tcW w:w="5819" w:type="dxa"/>
          </w:tcPr>
          <w:p>
            <w:pPr/>
            <w:r>
              <w:t xml:space="preserve">Dashboard, no ticket</w:t>
            </w:r>
          </w:p>
        </w:tc>
      </w:tr>
      <w:tr>
        <w:tc>
          <w:tcPr>
            <w:tcW w:w="1600" w:type="dxa"/>
          </w:tcPr>
          <w:p>
            <w:pPr/>
            <w:r>
              <w:t xml:space="preserve">50 to 74</w:t>
            </w:r>
          </w:p>
        </w:tc>
        <w:tc>
          <w:tcPr>
            <w:tcW w:w="1940" w:type="dxa"/>
          </w:tcPr>
          <w:p>
            <w:pPr/>
            <w:r>
              <w:t xml:space="preserve">Medium</w:t>
            </w:r>
          </w:p>
        </w:tc>
        <w:tc>
          <w:tcPr>
            <w:tcW w:w="5819" w:type="dxa"/>
          </w:tcPr>
          <w:p>
            <w:pPr/>
            <w:r>
              <w:t xml:space="preserve">Alert queue, triage in working hours</w:t>
            </w:r>
          </w:p>
        </w:tc>
      </w:tr>
      <w:tr>
        <w:tc>
          <w:tcPr>
            <w:tcW w:w="1600" w:type="dxa"/>
          </w:tcPr>
          <w:p>
            <w:pPr/>
            <w:r>
              <w:t xml:space="preserve">75 to 89</w:t>
            </w:r>
          </w:p>
        </w:tc>
        <w:tc>
          <w:tcPr>
            <w:tcW w:w="1940" w:type="dxa"/>
          </w:tcPr>
          <w:p>
            <w:pPr/>
            <w:r>
              <w:t xml:space="preserve">High</w:t>
            </w:r>
          </w:p>
        </w:tc>
        <w:tc>
          <w:tcPr>
            <w:tcW w:w="5819" w:type="dxa"/>
          </w:tcPr>
          <w:p>
            <w:pPr/>
            <w:r>
              <w:t xml:space="preserve">Alert queue, prompt triage, forward to SIEM</w:t>
            </w:r>
          </w:p>
        </w:tc>
      </w:tr>
      <w:tr>
        <w:tc>
          <w:tcPr>
            <w:tcW w:w="1600" w:type="dxa"/>
          </w:tcPr>
          <w:p>
            <w:pPr/>
            <w:r>
              <w:t xml:space="preserve">90 to 100</w:t>
            </w:r>
          </w:p>
        </w:tc>
        <w:tc>
          <w:tcPr>
            <w:tcW w:w="1940" w:type="dxa"/>
          </w:tcPr>
          <w:p>
            <w:pPr/>
            <w:r>
              <w:t xml:space="preserve">Critical</w:t>
            </w:r>
          </w:p>
        </w:tc>
        <w:tc>
          <w:tcPr>
            <w:tcW w:w="5819" w:type="dxa"/>
          </w:tcPr>
          <w:p>
            <w:pPr/>
            <w:r>
              <w:t xml:space="preserve">Immediate escalation path</w:t>
            </w:r>
          </w:p>
        </w:tc>
      </w:tr>
    </w:tbl>
    <w:p>
      <w:pPr>
        <w:pStyle w:val="Heading2"/>
      </w:pPr>
      <w:r>
        <w:t xml:space="preserve">7. Correlation and incident grouping</w:t>
      </w:r>
    </w:p>
    <w:p>
      <w:pPr>
        <w:pStyle w:val="ListParagraph"/>
        <w:numPr>
          <w:ilvl w:val="0"/>
          <w:numId w:val="5"/>
        </w:numPr>
      </w:pPr>
      <w:r>
        <w:t xml:space="preserve">Group alerts that share an entity (source host, destination host, or user) within a time window.</w:t>
      </w:r>
    </w:p>
    <w:p>
      <w:pPr>
        <w:pStyle w:val="ListParagraph"/>
        <w:numPr>
          <w:ilvl w:val="0"/>
          <w:numId w:val="5"/>
        </w:numPr>
      </w:pPr>
      <w:r>
        <w:t xml:space="preserve">Group by behaviour chain, for example scan, then exploit-like traffic, then outbound beaconing from the same host.</w:t>
      </w:r>
    </w:p>
    <w:p>
      <w:pPr>
        <w:pStyle w:val="ListParagraph"/>
        <w:numPr>
          <w:ilvl w:val="0"/>
          <w:numId w:val="5"/>
        </w:numPr>
      </w:pPr>
      <w:r>
        <w:t xml:space="preserve">Deduplicate repeats of the same detection on the same entities into one alert with a counter.</w:t>
      </w:r>
    </w:p>
    <w:p>
      <w:pPr>
        <w:pStyle w:val="ListParagraph"/>
        <w:numPr>
          <w:ilvl w:val="0"/>
          <w:numId w:val="5"/>
        </w:numPr>
      </w:pPr>
      <w:r>
        <w:t xml:space="preserve">Keep the incident timeline ordered, with links to evidence.</w:t>
      </w:r>
    </w:p>
    <w:p>
      <w:pPr>
        <w:pStyle w:val="ListParagraph"/>
        <w:numPr>
          <w:ilvl w:val="0"/>
          <w:numId w:val="5"/>
        </w:numPr>
      </w:pPr>
      <w:r>
        <w:t xml:space="preserve">Allow analysts to merge and split incidents, and record every change in the audit log.</w:t>
      </w:r>
    </w:p>
    <w:p>
      <w:pPr>
        <w:pStyle w:val="Heading2"/>
      </w:pPr>
      <w:r>
        <w:t xml:space="preserve">8. Rule management</w:t>
      </w:r>
    </w:p>
    <w:tbl>
      <w:tblPr>
        <w:tblStyle w:val="TableGrid"/>
        <w:tblW w:w="0" w:type="auto"/>
        <w:tblLayout w:type="fixed"/>
        <w:tblLook w:val="04A0" w:firstRow="1" w:lastRow="0" w:firstColumn="0" w:lastColumn="0" w:noHBand="0" w:noVBand="1"/>
      </w:tblPr>
      <w:tblGrid>
        <w:gridCol w:w="3459"/>
        <w:gridCol w:w="5900"/>
      </w:tblGrid>
      <w:tr>
        <w:trPr>
          <w:tblHeader/>
        </w:trPr>
        <w:tc>
          <w:tcPr>
            <w:tcW w:w="3459" w:type="dxa"/>
            <w:shd w:val="clear" w:color="auto" w:fill="F2F2F2"/>
          </w:tcPr>
          <w:p>
            <w:pPr/>
            <w:r>
              <w:t xml:space="preserve">Capability</w:t>
            </w:r>
          </w:p>
        </w:tc>
        <w:tc>
          <w:tcPr>
            <w:tcW w:w="5900" w:type="dxa"/>
            <w:shd w:val="clear" w:color="auto" w:fill="F2F2F2"/>
          </w:tcPr>
          <w:p>
            <w:pPr/>
            <w:r>
              <w:t xml:space="preserve">Detail</w:t>
            </w:r>
          </w:p>
        </w:tc>
      </w:tr>
      <w:tr>
        <w:tc>
          <w:tcPr>
            <w:tcW w:w="3459" w:type="dxa"/>
          </w:tcPr>
          <w:p>
            <w:pPr/>
            <w:r>
              <w:t xml:space="preserve">Custom rules</w:t>
            </w:r>
          </w:p>
        </w:tc>
        <w:tc>
          <w:tcPr>
            <w:tcW w:w="5900" w:type="dxa"/>
          </w:tcPr>
          <w:p>
            <w:pPr/>
            <w:r>
              <w:t xml:space="preserve">Create rules on flow fields (addresses, ports, protocol, bytes, packets, duration, zone, country) with thresholds, windows and group-by</w:t>
            </w:r>
          </w:p>
        </w:tc>
      </w:tr>
      <w:tr>
        <w:tc>
          <w:tcPr>
            <w:tcW w:w="3459" w:type="dxa"/>
          </w:tcPr>
          <w:p>
            <w:pPr/>
            <w:r>
              <w:t xml:space="preserve">Subnet and CIDR profiles</w:t>
            </w:r>
          </w:p>
        </w:tc>
        <w:tc>
          <w:tcPr>
            <w:tcW w:w="5900" w:type="dxa"/>
          </w:tcPr>
          <w:p>
            <w:pPr/>
            <w:r>
              <w:t xml:space="preserve">Apply rules and thresholds to named CIDR groups</w:t>
            </w:r>
          </w:p>
        </w:tc>
      </w:tr>
      <w:tr>
        <w:tc>
          <w:tcPr>
            <w:tcW w:w="3459" w:type="dxa"/>
          </w:tcPr>
          <w:p>
            <w:pPr/>
            <w:r>
              <w:t xml:space="preserve">Testing</w:t>
            </w:r>
          </w:p>
        </w:tc>
        <w:tc>
          <w:tcPr>
            <w:tcW w:w="5900" w:type="dxa"/>
          </w:tcPr>
          <w:p>
            <w:pPr/>
            <w:r>
              <w:t xml:space="preserve">Run a rule against stored historical data before enabling it, and show how many alerts it would have produced</w:t>
            </w:r>
          </w:p>
        </w:tc>
      </w:tr>
      <w:tr>
        <w:tc>
          <w:tcPr>
            <w:tcW w:w="3459" w:type="dxa"/>
          </w:tcPr>
          <w:p>
            <w:pPr/>
            <w:r>
              <w:t xml:space="preserve">Versioning</w:t>
            </w:r>
          </w:p>
        </w:tc>
        <w:tc>
          <w:tcPr>
            <w:tcW w:w="5900" w:type="dxa"/>
          </w:tcPr>
          <w:p>
            <w:pPr/>
            <w:r>
              <w:t xml:space="preserve">Every change creates a version with author, time and reason</w:t>
            </w:r>
          </w:p>
        </w:tc>
      </w:tr>
      <w:tr>
        <w:tc>
          <w:tcPr>
            <w:tcW w:w="3459" w:type="dxa"/>
          </w:tcPr>
          <w:p>
            <w:pPr/>
            <w:r>
              <w:t xml:space="preserve">Suppression</w:t>
            </w:r>
          </w:p>
        </w:tc>
        <w:tc>
          <w:tcPr>
            <w:tcW w:w="5900" w:type="dxa"/>
          </w:tcPr>
          <w:p>
            <w:pPr/>
            <w:r>
              <w:t xml:space="preserve">Time-bound suppressions with an owner and an expiry date</w:t>
            </w:r>
          </w:p>
        </w:tc>
      </w:tr>
      <w:tr>
        <w:tc>
          <w:tcPr>
            <w:tcW w:w="3459" w:type="dxa"/>
          </w:tcPr>
          <w:p>
            <w:pPr/>
            <w:r>
              <w:t xml:space="preserve">Import and export</w:t>
            </w:r>
          </w:p>
        </w:tc>
        <w:tc>
          <w:tcPr>
            <w:tcW w:w="5900" w:type="dxa"/>
          </w:tcPr>
          <w:p>
            <w:pPr/>
            <w:r>
              <w:t xml:space="preserve">Rules exported as files for review and offline transfer</w:t>
            </w:r>
          </w:p>
        </w:tc>
      </w:tr>
    </w:tbl>
    <w:p>
      <w:pPr>
        <w:pStyle w:val="Heading2"/>
      </w:pPr>
      <w:r>
        <w:t xml:space="preserve">9. Visibility limits (state these openly)</w:t>
      </w:r>
    </w:p>
    <w:p>
      <w:pPr>
        <w:pStyle w:val="ListParagraph"/>
        <w:numPr>
          <w:ilvl w:val="0"/>
          <w:numId w:val="6"/>
        </w:numPr>
      </w:pPr>
      <w:r>
        <w:rPr>
          <w:b/>
        </w:rPr>
        <w:t xml:space="preserve">Encrypted traffic.</w:t>
      </w:r>
      <w:r>
        <w:t xml:space="preserve"> Payload is not visible. We can use handshake metadata, sizes, timing, destinations and fingerprints.</w:t>
      </w:r>
    </w:p>
    <w:p>
      <w:pPr>
        <w:pStyle w:val="ListParagraph"/>
        <w:numPr>
          <w:ilvl w:val="0"/>
          <w:numId w:val="6"/>
        </w:numPr>
      </w:pPr>
      <w:r>
        <w:rPr>
          <w:b/>
        </w:rPr>
        <w:t xml:space="preserve">HTTP data-type visibility.</w:t>
      </w:r>
      <w:r>
        <w:t xml:space="preserve"> Available for cleartext HTTP only, plus proxy logs if the proxy integration provides them.</w:t>
      </w:r>
    </w:p>
    <w:p>
      <w:pPr>
        <w:pStyle w:val="ListParagraph"/>
        <w:numPr>
          <w:ilvl w:val="0"/>
          <w:numId w:val="6"/>
        </w:numPr>
      </w:pPr>
      <w:r>
        <w:rPr>
          <w:b/>
        </w:rPr>
        <w:t xml:space="preserve">NAT.</w:t>
      </w:r>
      <w:r>
        <w:t xml:space="preserve"> Without capture inside the NAT boundary or NAT logs, internal hosts cannot be identified from outside-facing traffic.</w:t>
      </w:r>
    </w:p>
    <w:p>
      <w:pPr>
        <w:pStyle w:val="ListParagraph"/>
        <w:numPr>
          <w:ilvl w:val="0"/>
          <w:numId w:val="6"/>
        </w:numPr>
      </w:pPr>
      <w:r>
        <w:rPr>
          <w:b/>
        </w:rPr>
        <w:t xml:space="preserve">Sampling.</w:t>
      </w:r>
      <w:r>
        <w:t xml:space="preserve"> Sampled flows cannot prove absence of a small event.</w:t>
      </w:r>
    </w:p>
    <w:p>
      <w:pPr>
        <w:pStyle w:val="ListParagraph"/>
        <w:numPr>
          <w:ilvl w:val="0"/>
          <w:numId w:val="6"/>
        </w:numPr>
      </w:pPr>
      <w:r>
        <w:rPr>
          <w:b/>
        </w:rPr>
        <w:t xml:space="preserve">SPAN loss.</w:t>
      </w:r>
      <w:r>
        <w:t xml:space="preserve"> Mirrored traffic can be dropped under load. The system tracks capture loss and flags affected intervals.</w:t>
      </w:r>
    </w:p>
    <w:p>
      <w:pPr>
        <w:pStyle w:val="ListParagraph"/>
        <w:numPr>
          <w:ilvl w:val="0"/>
          <w:numId w:val="6"/>
        </w:numPr>
      </w:pPr>
      <w:r>
        <w:rPr>
          <w:b/>
        </w:rPr>
        <w:t xml:space="preserve">Tunnels and VPNs.</w:t>
      </w:r>
      <w:r>
        <w:t xml:space="preserve"> Inner traffic is hidden unless captured before encapsulation.</w:t>
      </w:r>
    </w:p>
    <w:p>
      <w:pPr>
        <w:pStyle w:val="ListParagraph"/>
        <w:numPr>
          <w:ilvl w:val="0"/>
          <w:numId w:val="6"/>
        </w:numPr>
      </w:pPr>
      <w:r>
        <w:rPr>
          <w:b/>
        </w:rPr>
        <w:t xml:space="preserve">Endpoint activity.</w:t>
      </w:r>
      <w:r>
        <w:t xml:space="preserve"> NBAD sees the network, not processes or files on a host.</w:t>
      </w:r>
    </w:p>
    <w:p>
      <w:pPr>
        <w:pStyle w:val="Heading2"/>
      </w:pPr>
      <w:r>
        <w:t xml:space="preserve">10. Tuning lifecycle</w:t>
      </w:r>
    </w:p>
    <w:p>
      <w:pPr>
        <w:pStyle w:val="ListParagraph"/>
        <w:numPr>
          <w:ilvl w:val="0"/>
          <w:numId w:val="7"/>
        </w:numPr>
      </w:pPr>
      <w:r>
        <w:rPr>
          <w:b/>
        </w:rPr>
        <w:t xml:space="preserve">Observe.</w:t>
      </w:r>
      <w:r>
        <w:t xml:space="preserve"> New rule runs in monitor-only mode for a defined period.</w:t>
      </w:r>
    </w:p>
    <w:p>
      <w:pPr>
        <w:pStyle w:val="ListParagraph"/>
        <w:numPr>
          <w:ilvl w:val="0"/>
          <w:numId w:val="7"/>
        </w:numPr>
      </w:pPr>
      <w:r>
        <w:rPr>
          <w:b/>
        </w:rPr>
        <w:t xml:space="preserve">Measure.</w:t>
      </w:r>
      <w:r>
        <w:t xml:space="preserve"> Count alerts, analyst verdicts and top noisy sources.</w:t>
      </w:r>
    </w:p>
    <w:p>
      <w:pPr>
        <w:pStyle w:val="ListParagraph"/>
        <w:numPr>
          <w:ilvl w:val="0"/>
          <w:numId w:val="7"/>
        </w:numPr>
      </w:pPr>
      <w:r>
        <w:rPr>
          <w:b/>
        </w:rPr>
        <w:t xml:space="preserve">Adjust.</w:t>
      </w:r>
      <w:r>
        <w:t xml:space="preserve"> Tune thresholds, add suppressions, add asset exceptions with owners and expiry dates.</w:t>
      </w:r>
    </w:p>
    <w:p>
      <w:pPr>
        <w:pStyle w:val="ListParagraph"/>
        <w:numPr>
          <w:ilvl w:val="0"/>
          <w:numId w:val="7"/>
        </w:numPr>
      </w:pPr>
      <w:r>
        <w:rPr>
          <w:b/>
        </w:rPr>
        <w:t xml:space="preserve">Enable.</w:t>
      </w:r>
      <w:r>
        <w:t xml:space="preserve"> Promote to active alerting with a recorded approval.</w:t>
      </w:r>
    </w:p>
    <w:p>
      <w:pPr>
        <w:pStyle w:val="ListParagraph"/>
        <w:numPr>
          <w:ilvl w:val="0"/>
          <w:numId w:val="7"/>
        </w:numPr>
      </w:pPr>
      <w:r>
        <w:rPr>
          <w:b/>
        </w:rPr>
        <w:t xml:space="preserve">Review.</w:t>
      </w:r>
      <w:r>
        <w:t xml:space="preserve"> Monthly review of the noisiest and the quietest rules.</w:t>
      </w:r>
    </w:p>
    <w:p>
      <w:pPr/>
      <w:r>
        <w:t xml:space="preserve">Track these numbers per rule: alerts per day, percentage marked false positive, time to triage, and detections confirmed in tests.</w:t>
      </w:r>
    </w:p>
    <w:p>
      <w:pPr>
        <w:pStyle w:val="Heading2"/>
      </w:pPr>
      <w:r>
        <w:t xml:space="preserve">11. Test corpus</w:t>
      </w:r>
    </w:p>
    <w:p>
      <w:pPr/>
      <w:r>
        <w:t xml:space="preserve">Build one repeatable test set, kept offline and versioned.</w:t>
      </w:r>
    </w:p>
    <w:p>
      <w:pPr>
        <w:pStyle w:val="ListParagraph"/>
        <w:numPr>
          <w:ilvl w:val="0"/>
          <w:numId w:val="8"/>
        </w:numPr>
      </w:pPr>
      <w:r>
        <w:t xml:space="preserve">Clean traffic samples from OPTCL, approved for use, as the benign baseline.</w:t>
      </w:r>
    </w:p>
    <w:p>
      <w:pPr>
        <w:pStyle w:val="ListParagraph"/>
        <w:numPr>
          <w:ilvl w:val="0"/>
          <w:numId w:val="8"/>
        </w:numPr>
      </w:pPr>
      <w:r>
        <w:t xml:space="preserve">Generated attack traffic from an isolated lab for each use case in section 3.</w:t>
      </w:r>
    </w:p>
    <w:p>
      <w:pPr>
        <w:pStyle w:val="ListParagraph"/>
        <w:numPr>
          <w:ilvl w:val="0"/>
          <w:numId w:val="8"/>
        </w:numPr>
      </w:pPr>
      <w:r>
        <w:t xml:space="preserve">Synthetic data for stress tests of detection rate and latency.</w:t>
      </w:r>
    </w:p>
    <w:p>
      <w:pPr>
        <w:pStyle w:val="ListParagraph"/>
        <w:numPr>
          <w:ilvl w:val="0"/>
          <w:numId w:val="8"/>
        </w:numPr>
      </w:pPr>
      <w:r>
        <w:t xml:space="preserve">Expected results written down for each case (alert name, entity, time window, evidence).</w:t>
      </w:r>
    </w:p>
    <w:p>
      <w:pPr>
        <w:pStyle w:val="ListParagraph"/>
        <w:numPr>
          <w:ilvl w:val="0"/>
          <w:numId w:val="8"/>
        </w:numPr>
      </w:pPr>
      <w:r>
        <w:t xml:space="preserve">A scoring sheet: detected, missed, false alarms, time to detect.</w:t>
      </w:r>
    </w:p>
    <w:p>
      <w:pPr>
        <w:pStyle w:val="Heading2"/>
      </w:pPr>
      <w:r>
        <w:t xml:space="preserve">12. Open items</w:t>
      </w:r>
    </w:p>
    <w:p>
      <w:pPr>
        <w:pStyle w:val="ListParagraph"/>
        <w:numPr>
          <w:ilvl w:val="0"/>
          <w:numId w:val="9"/>
        </w:numPr>
      </w:pPr>
      <w:r>
        <w:t xml:space="preserve">Priority order of use cases for the first release.</w:t>
      </w:r>
    </w:p>
    <w:p>
      <w:pPr>
        <w:pStyle w:val="ListParagraph"/>
        <w:numPr>
          <w:ilvl w:val="0"/>
          <w:numId w:val="9"/>
        </w:numPr>
      </w:pPr>
      <w:r>
        <w:t xml:space="preserve">OPTCL policy rules that must be enforceable (forbidden services, directions, countries).</w:t>
      </w:r>
    </w:p>
    <w:p>
      <w:pPr>
        <w:pStyle w:val="ListParagraph"/>
        <w:numPr>
          <w:ilvl w:val="0"/>
          <w:numId w:val="9"/>
        </w:numPr>
      </w:pPr>
      <w:r>
        <w:t xml:space="preserve">Access to benign traffic samples and approval to use them.</w:t>
      </w:r>
    </w:p>
    <w:p>
      <w:pPr>
        <w:pStyle w:val="ListParagraph"/>
        <w:numPr>
          <w:ilvl w:val="0"/>
          <w:numId w:val="9"/>
        </w:numPr>
      </w:pPr>
      <w:r>
        <w:t xml:space="preserve">SOC working hours and escalation expectations for the severity mapping.</w:t>
      </w:r>
    </w:p>
    <w:p>
      <w:pPr>
        <w:pStyle w:val="ListParagraph"/>
        <w:numPr>
          <w:ilvl w:val="0"/>
          <w:numId w:val="9"/>
        </w:numPr>
      </w:pPr>
      <w:r>
        <w:t xml:space="preserve">Sandbox product and how files will be passed to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NBAD Detection Engineering Playbook</dc:title>
  <dc:description>Claude Docs node/0c23fe12-00fa@1 docx-w7</dc:description>
  <cp:revision>1</cp:revision>
</cp:coreProperties>
</file>