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NBAD Integration Specification</w:t>
      </w:r>
    </w:p>
    <w:p>
      <w:pPr/>
      <w:r>
        <w:rPr>
          <w:b/>
        </w:rPr>
        <w:t xml:space="preserve">OPTCL Next Generation SOC &amp; NOC: Network Behaviour Anomaly Detection</w:t>
      </w:r>
    </w:p>
    <w:p>
      <w:pPr/>
      <w:r>
        <w:t xml:space="preserve">Version 0.1 | Companion to the NBAD Project Blueprint | Draft for engineering review</w:t>
      </w:r>
    </w:p>
    <w:p>
      <w:pPr/>
      <w:r>
        <w:rPr>
          <w:i/>
        </w:rPr>
        <w:t xml:space="preserve">Status: Proposed integration patterns. The products, versions and APIs in OPTCL’s environment are unknown, so each pattern below is a design to confirm against the real systems, not a promise of compatibility.</w:t>
      </w:r>
    </w:p>
    <w:p>
      <w:pPr>
        <w:pStyle w:val="Heading2"/>
      </w:pPr>
      <w:r>
        <w:t xml:space="preserve">1. Purpose</w:t>
      </w:r>
    </w:p>
    <w:p>
      <w:pPr/>
      <w:r>
        <w:t xml:space="preserve">The tender lists many systems NBAD must work with: SIEM, vulnerability management, AD, LDAP, firewalls, IPS, VPN, routers, switches, Internet proxy, threat-intelligence feeds and a sandbox. This document defines, for each, what flows in which direction, how it connects, what can go wrong, and what we need from OPTCL. It also sets common rules for message format, retries and response actions.</w:t>
      </w:r>
    </w:p>
    <w:p>
      <w:pPr>
        <w:pStyle w:val="Heading2"/>
      </w:pPr>
      <w:r>
        <w:t xml:space="preserve">2. Integration overview</w:t>
      </w:r>
    </w:p>
    <w:tbl>
      <w:tblPr>
        <w:tblStyle w:val="TableGrid"/>
        <w:tblW w:w="0" w:type="auto"/>
        <w:tblLayout w:type="fixed"/>
        <w:tblLook w:val="04A0" w:firstRow="1" w:lastRow="0" w:firstColumn="0" w:lastColumn="0" w:noHBand="0" w:noVBand="1"/>
      </w:tblPr>
      <w:tblGrid>
        <w:gridCol w:w="1622"/>
        <w:gridCol w:w="2249"/>
        <w:gridCol w:w="2688"/>
        <w:gridCol w:w="2801"/>
      </w:tblGrid>
      <w:tr>
        <w:trPr>
          <w:tblHeader/>
        </w:trPr>
        <w:tc>
          <w:tcPr>
            <w:tcW w:w="1622" w:type="dxa"/>
            <w:shd w:val="clear" w:color="auto" w:fill="F2F2F2"/>
          </w:tcPr>
          <w:p>
            <w:pPr/>
            <w:r>
              <w:t xml:space="preserve">System</w:t>
            </w:r>
          </w:p>
        </w:tc>
        <w:tc>
          <w:tcPr>
            <w:tcW w:w="2249" w:type="dxa"/>
            <w:shd w:val="clear" w:color="auto" w:fill="F2F2F2"/>
          </w:tcPr>
          <w:p>
            <w:pPr/>
            <w:r>
              <w:t xml:space="preserve">Direction</w:t>
            </w:r>
          </w:p>
        </w:tc>
        <w:tc>
          <w:tcPr>
            <w:tcW w:w="2688" w:type="dxa"/>
            <w:shd w:val="clear" w:color="auto" w:fill="F2F2F2"/>
          </w:tcPr>
          <w:p>
            <w:pPr/>
            <w:r>
              <w:t xml:space="preserve">Purpose</w:t>
            </w:r>
          </w:p>
        </w:tc>
        <w:tc>
          <w:tcPr>
            <w:tcW w:w="2801" w:type="dxa"/>
            <w:shd w:val="clear" w:color="auto" w:fill="F2F2F2"/>
          </w:tcPr>
          <w:p>
            <w:pPr/>
            <w:r>
              <w:t xml:space="preserve">Likely method</w:t>
            </w:r>
          </w:p>
        </w:tc>
      </w:tr>
      <w:tr>
        <w:tc>
          <w:tcPr>
            <w:tcW w:w="1622" w:type="dxa"/>
          </w:tcPr>
          <w:p>
            <w:pPr/>
            <w:r>
              <w:t xml:space="preserve">SIEM</w:t>
            </w:r>
          </w:p>
        </w:tc>
        <w:tc>
          <w:tcPr>
            <w:tcW w:w="2249" w:type="dxa"/>
          </w:tcPr>
          <w:p>
            <w:pPr/>
            <w:r>
              <w:t xml:space="preserve">NBAD to SIEM (and optional lookups back)</w:t>
            </w:r>
          </w:p>
        </w:tc>
        <w:tc>
          <w:tcPr>
            <w:tcW w:w="2688" w:type="dxa"/>
          </w:tcPr>
          <w:p>
            <w:pPr/>
            <w:r>
              <w:t xml:space="preserve">Forward alerts and incidents for correlation</w:t>
            </w:r>
          </w:p>
        </w:tc>
        <w:tc>
          <w:tcPr>
            <w:tcW w:w="2801" w:type="dxa"/>
          </w:tcPr>
          <w:p>
            <w:pPr/>
            <w:r>
              <w:t xml:space="preserve">Syslog over TLS (CEF or JSON), or REST API</w:t>
            </w:r>
          </w:p>
        </w:tc>
      </w:tr>
      <w:tr>
        <w:tc>
          <w:tcPr>
            <w:tcW w:w="1622" w:type="dxa"/>
          </w:tcPr>
          <w:p>
            <w:pPr/>
            <w:r>
              <w:t xml:space="preserve">Active Directory / LDAP</w:t>
            </w:r>
          </w:p>
        </w:tc>
        <w:tc>
          <w:tcPr>
            <w:tcW w:w="2249" w:type="dxa"/>
          </w:tcPr>
          <w:p>
            <w:pPr/>
            <w:r>
              <w:t xml:space="preserve">Platform pulls from directory</w:t>
            </w:r>
          </w:p>
        </w:tc>
        <w:tc>
          <w:tcPr>
            <w:tcW w:w="2688" w:type="dxa"/>
          </w:tcPr>
          <w:p>
            <w:pPr/>
            <w:r>
              <w:t xml:space="preserve">Login, role mapping, user and host context</w:t>
            </w:r>
          </w:p>
        </w:tc>
        <w:tc>
          <w:tcPr>
            <w:tcW w:w="2801" w:type="dxa"/>
          </w:tcPr>
          <w:p>
            <w:pPr/>
            <w:r>
              <w:t xml:space="preserve">LDAPS with a read-only service account</w:t>
            </w:r>
          </w:p>
        </w:tc>
      </w:tr>
      <w:tr>
        <w:tc>
          <w:tcPr>
            <w:tcW w:w="1622" w:type="dxa"/>
          </w:tcPr>
          <w:p>
            <w:pPr/>
            <w:r>
              <w:t xml:space="preserve">Vulnerability management</w:t>
            </w:r>
          </w:p>
        </w:tc>
        <w:tc>
          <w:tcPr>
            <w:tcW w:w="2249" w:type="dxa"/>
          </w:tcPr>
          <w:p>
            <w:pPr/>
            <w:r>
              <w:t xml:space="preserve">Scanner results into NBAD</w:t>
            </w:r>
          </w:p>
        </w:tc>
        <w:tc>
          <w:tcPr>
            <w:tcW w:w="2688" w:type="dxa"/>
          </w:tcPr>
          <w:p>
            <w:pPr/>
            <w:r>
              <w:t xml:space="preserve">Flag new vulnerable hosts, enrich assets</w:t>
            </w:r>
          </w:p>
        </w:tc>
        <w:tc>
          <w:tcPr>
            <w:tcW w:w="2801" w:type="dxa"/>
          </w:tcPr>
          <w:p>
            <w:pPr/>
            <w:r>
              <w:t xml:space="preserve">API pull, or scheduled file import (CSV, XML, JSON)</w:t>
            </w:r>
          </w:p>
        </w:tc>
      </w:tr>
      <w:tr>
        <w:tc>
          <w:tcPr>
            <w:tcW w:w="1622" w:type="dxa"/>
          </w:tcPr>
          <w:p>
            <w:pPr/>
            <w:r>
              <w:t xml:space="preserve">Firewalls</w:t>
            </w:r>
          </w:p>
        </w:tc>
        <w:tc>
          <w:tcPr>
            <w:tcW w:w="2249" w:type="dxa"/>
          </w:tcPr>
          <w:p>
            <w:pPr/>
            <w:r>
              <w:t xml:space="preserve">Logs and flows into NBAD, optional actions out</w:t>
            </w:r>
          </w:p>
        </w:tc>
        <w:tc>
          <w:tcPr>
            <w:tcW w:w="2688" w:type="dxa"/>
          </w:tcPr>
          <w:p>
            <w:pPr/>
            <w:r>
              <w:t xml:space="preserve">Context, flow data, response actions</w:t>
            </w:r>
          </w:p>
        </w:tc>
        <w:tc>
          <w:tcPr>
            <w:tcW w:w="2801" w:type="dxa"/>
          </w:tcPr>
          <w:p>
            <w:pPr/>
            <w:r>
              <w:t xml:space="preserve">Syslog, NetFlow/IPFIX, vendor API</w:t>
            </w:r>
          </w:p>
        </w:tc>
      </w:tr>
      <w:tr>
        <w:tc>
          <w:tcPr>
            <w:tcW w:w="1622" w:type="dxa"/>
          </w:tcPr>
          <w:p>
            <w:pPr/>
            <w:r>
              <w:t xml:space="preserve">IPS</w:t>
            </w:r>
          </w:p>
        </w:tc>
        <w:tc>
          <w:tcPr>
            <w:tcW w:w="2249" w:type="dxa"/>
          </w:tcPr>
          <w:p>
            <w:pPr/>
            <w:r>
              <w:t xml:space="preserve">Alerts into NBAD</w:t>
            </w:r>
          </w:p>
        </w:tc>
        <w:tc>
          <w:tcPr>
            <w:tcW w:w="2688" w:type="dxa"/>
          </w:tcPr>
          <w:p>
            <w:pPr/>
            <w:r>
              <w:t xml:space="preserve">Correlate signature hits with behaviour</w:t>
            </w:r>
          </w:p>
        </w:tc>
        <w:tc>
          <w:tcPr>
            <w:tcW w:w="2801" w:type="dxa"/>
          </w:tcPr>
          <w:p>
            <w:pPr/>
            <w:r>
              <w:t xml:space="preserve">Syslog or vendor API</w:t>
            </w:r>
          </w:p>
        </w:tc>
      </w:tr>
      <w:tr>
        <w:tc>
          <w:tcPr>
            <w:tcW w:w="1622" w:type="dxa"/>
          </w:tcPr>
          <w:p>
            <w:pPr/>
            <w:r>
              <w:t xml:space="preserve">VPN concentrators</w:t>
            </w:r>
          </w:p>
        </w:tc>
        <w:tc>
          <w:tcPr>
            <w:tcW w:w="2249" w:type="dxa"/>
          </w:tcPr>
          <w:p>
            <w:pPr/>
            <w:r>
              <w:t xml:space="preserve">Logs into NBAD</w:t>
            </w:r>
          </w:p>
        </w:tc>
        <w:tc>
          <w:tcPr>
            <w:tcW w:w="2688" w:type="dxa"/>
          </w:tcPr>
          <w:p>
            <w:pPr/>
            <w:r>
              <w:t xml:space="preserve">Map remote users to addresses</w:t>
            </w:r>
          </w:p>
        </w:tc>
        <w:tc>
          <w:tcPr>
            <w:tcW w:w="2801" w:type="dxa"/>
          </w:tcPr>
          <w:p>
            <w:pPr/>
            <w:r>
              <w:t xml:space="preserve">Syslog, RADIUS accounting logs</w:t>
            </w:r>
          </w:p>
        </w:tc>
      </w:tr>
      <w:tr>
        <w:tc>
          <w:tcPr>
            <w:tcW w:w="1622" w:type="dxa"/>
          </w:tcPr>
          <w:p>
            <w:pPr/>
            <w:r>
              <w:t xml:space="preserve">Routers and switches</w:t>
            </w:r>
          </w:p>
        </w:tc>
        <w:tc>
          <w:tcPr>
            <w:tcW w:w="2249" w:type="dxa"/>
          </w:tcPr>
          <w:p>
            <w:pPr/>
            <w:r>
              <w:t xml:space="preserve">Flows and inventory into NBAD</w:t>
            </w:r>
          </w:p>
        </w:tc>
        <w:tc>
          <w:tcPr>
            <w:tcW w:w="2688" w:type="dxa"/>
          </w:tcPr>
          <w:p>
            <w:pPr/>
            <w:r>
              <w:t xml:space="preserve">Flow data, interface names, topology hints</w:t>
            </w:r>
          </w:p>
        </w:tc>
        <w:tc>
          <w:tcPr>
            <w:tcW w:w="2801" w:type="dxa"/>
          </w:tcPr>
          <w:p>
            <w:pPr/>
            <w:r>
              <w:t xml:space="preserve">NetFlow/IPFIX/sFlow, SNMP</w:t>
            </w:r>
          </w:p>
        </w:tc>
      </w:tr>
      <w:tr>
        <w:tc>
          <w:tcPr>
            <w:tcW w:w="1622" w:type="dxa"/>
          </w:tcPr>
          <w:p>
            <w:pPr/>
            <w:r>
              <w:t xml:space="preserve">Internet proxy</w:t>
            </w:r>
          </w:p>
        </w:tc>
        <w:tc>
          <w:tcPr>
            <w:tcW w:w="2249" w:type="dxa"/>
          </w:tcPr>
          <w:p>
            <w:pPr/>
            <w:r>
              <w:t xml:space="preserve">Logs into NBAD</w:t>
            </w:r>
          </w:p>
        </w:tc>
        <w:tc>
          <w:tcPr>
            <w:tcW w:w="2688" w:type="dxa"/>
          </w:tcPr>
          <w:p>
            <w:pPr/>
            <w:r>
              <w:t xml:space="preserve">URL, user and category context</w:t>
            </w:r>
          </w:p>
        </w:tc>
        <w:tc>
          <w:tcPr>
            <w:tcW w:w="2801" w:type="dxa"/>
          </w:tcPr>
          <w:p>
            <w:pPr/>
            <w:r>
              <w:t xml:space="preserve">Syslog or log file forwarding</w:t>
            </w:r>
          </w:p>
        </w:tc>
      </w:tr>
      <w:tr>
        <w:tc>
          <w:tcPr>
            <w:tcW w:w="1622" w:type="dxa"/>
          </w:tcPr>
          <w:p>
            <w:pPr/>
            <w:r>
              <w:t xml:space="preserve">Threat-intelligence feeds</w:t>
            </w:r>
          </w:p>
        </w:tc>
        <w:tc>
          <w:tcPr>
            <w:tcW w:w="2249" w:type="dxa"/>
          </w:tcPr>
          <w:p>
            <w:pPr/>
            <w:r>
              <w:t xml:space="preserve">Offline import into NBAD</w:t>
            </w:r>
          </w:p>
        </w:tc>
        <w:tc>
          <w:tcPr>
            <w:tcW w:w="2688" w:type="dxa"/>
          </w:tcPr>
          <w:p>
            <w:pPr/>
            <w:r>
              <w:t xml:space="preserve">Indicators for matching</w:t>
            </w:r>
          </w:p>
        </w:tc>
        <w:tc>
          <w:tcPr>
            <w:tcW w:w="2801" w:type="dxa"/>
          </w:tcPr>
          <w:p>
            <w:pPr/>
            <w:r>
              <w:t xml:space="preserve">Signed file import (STIX or CSV)</w:t>
            </w:r>
          </w:p>
        </w:tc>
      </w:tr>
      <w:tr>
        <w:tc>
          <w:tcPr>
            <w:tcW w:w="1622" w:type="dxa"/>
          </w:tcPr>
          <w:p>
            <w:pPr/>
            <w:r>
              <w:t xml:space="preserve">Sandbox</w:t>
            </w:r>
          </w:p>
        </w:tc>
        <w:tc>
          <w:tcPr>
            <w:tcW w:w="2249" w:type="dxa"/>
          </w:tcPr>
          <w:p>
            <w:pPr/>
            <w:r>
              <w:t xml:space="preserve">NBAD to sandbox and verdict back</w:t>
            </w:r>
          </w:p>
        </w:tc>
        <w:tc>
          <w:tcPr>
            <w:tcW w:w="2688" w:type="dxa"/>
          </w:tcPr>
          <w:p>
            <w:pPr/>
            <w:r>
              <w:t xml:space="preserve">Analyze suspicious files</w:t>
            </w:r>
          </w:p>
        </w:tc>
        <w:tc>
          <w:tcPr>
            <w:tcW w:w="2801" w:type="dxa"/>
          </w:tcPr>
          <w:p>
            <w:pPr/>
            <w:r>
              <w:t xml:space="preserve">Vendor API inside the premises</w:t>
            </w:r>
          </w:p>
        </w:tc>
      </w:tr>
      <w:tr>
        <w:tc>
          <w:tcPr>
            <w:tcW w:w="1622" w:type="dxa"/>
          </w:tcPr>
          <w:p>
            <w:pPr/>
            <w:r>
              <w:t xml:space="preserve">Time service</w:t>
            </w:r>
          </w:p>
        </w:tc>
        <w:tc>
          <w:tcPr>
            <w:tcW w:w="2249" w:type="dxa"/>
          </w:tcPr>
          <w:p>
            <w:pPr/>
            <w:r>
              <w:t xml:space="preserve">Platform consumes</w:t>
            </w:r>
          </w:p>
        </w:tc>
        <w:tc>
          <w:tcPr>
            <w:tcW w:w="2688" w:type="dxa"/>
          </w:tcPr>
          <w:p>
            <w:pPr/>
            <w:r>
              <w:t xml:space="preserve">Accurate timestamps</w:t>
            </w:r>
          </w:p>
        </w:tc>
        <w:tc>
          <w:tcPr>
            <w:tcW w:w="2801" w:type="dxa"/>
          </w:tcPr>
          <w:p>
            <w:pPr/>
            <w:r>
              <w:t xml:space="preserve">NTP or PTP from local servers</w:t>
            </w:r>
          </w:p>
        </w:tc>
      </w:tr>
    </w:tbl>
    <w:p>
      <w:pPr>
        <w:pStyle w:val="Heading2"/>
      </w:pPr>
      <w:r>
        <w:t xml:space="preserve">3. Common integration rules</w:t>
      </w:r>
    </w:p>
    <w:p>
      <w:pPr>
        <w:pStyle w:val="ListParagraph"/>
        <w:numPr>
          <w:ilvl w:val="0"/>
          <w:numId w:val="2"/>
        </w:numPr>
      </w:pPr>
      <w:r>
        <w:rPr>
          <w:b/>
        </w:rPr>
        <w:t xml:space="preserve">Versioned contracts.</w:t>
      </w:r>
      <w:r>
        <w:t xml:space="preserve"> Every message and API states a schema version. Breaking changes get a new version, and the old one keeps working during migration.</w:t>
      </w:r>
    </w:p>
    <w:p>
      <w:pPr>
        <w:pStyle w:val="ListParagraph"/>
        <w:numPr>
          <w:ilvl w:val="0"/>
          <w:numId w:val="2"/>
        </w:numPr>
      </w:pPr>
      <w:r>
        <w:rPr>
          <w:b/>
        </w:rPr>
        <w:t xml:space="preserve">Idempotent delivery.</w:t>
      </w:r>
      <w:r>
        <w:t xml:space="preserve"> Every event has a stable ID. Receivers can see the same event twice without creating duplicates.</w:t>
      </w:r>
    </w:p>
    <w:p>
      <w:pPr>
        <w:pStyle w:val="ListParagraph"/>
        <w:numPr>
          <w:ilvl w:val="0"/>
          <w:numId w:val="2"/>
        </w:numPr>
      </w:pPr>
      <w:r>
        <w:rPr>
          <w:b/>
        </w:rPr>
        <w:t xml:space="preserve">At-least-once with acknowledgement.</w:t>
      </w:r>
      <w:r>
        <w:t xml:space="preserve"> Outbound delivery retries with backoff until acknowledged. A local queue holds undelivered events during an outage.</w:t>
      </w:r>
    </w:p>
    <w:p>
      <w:pPr>
        <w:pStyle w:val="ListParagraph"/>
        <w:numPr>
          <w:ilvl w:val="0"/>
          <w:numId w:val="2"/>
        </w:numPr>
      </w:pPr>
      <w:r>
        <w:rPr>
          <w:b/>
        </w:rPr>
        <w:t xml:space="preserve">Back-pressure.</w:t>
      </w:r>
      <w:r>
        <w:t xml:space="preserve"> If a downstream system is slow, NBAD buffers up to a limit, raises a health alert, and never drops detection or storage to keep delivery going.</w:t>
      </w:r>
    </w:p>
    <w:p>
      <w:pPr>
        <w:pStyle w:val="ListParagraph"/>
        <w:numPr>
          <w:ilvl w:val="0"/>
          <w:numId w:val="2"/>
        </w:numPr>
      </w:pPr>
      <w:r>
        <w:rPr>
          <w:b/>
        </w:rPr>
        <w:t xml:space="preserve">Least privilege.</w:t>
      </w:r>
      <w:r>
        <w:t xml:space="preserve"> Each connector uses its own account with only the rights it needs. Credentials live in the secrets store.</w:t>
      </w:r>
    </w:p>
    <w:p>
      <w:pPr>
        <w:pStyle w:val="ListParagraph"/>
        <w:numPr>
          <w:ilvl w:val="0"/>
          <w:numId w:val="2"/>
        </w:numPr>
      </w:pPr>
      <w:r>
        <w:rPr>
          <w:b/>
        </w:rPr>
        <w:t xml:space="preserve">Read before write.</w:t>
      </w:r>
      <w:r>
        <w:t xml:space="preserve"> Inbound integrations are read-only by default. Anything that changes another system is a response action (section 11) and needs explicit approval.</w:t>
      </w:r>
    </w:p>
    <w:p>
      <w:pPr>
        <w:pStyle w:val="ListParagraph"/>
        <w:numPr>
          <w:ilvl w:val="0"/>
          <w:numId w:val="2"/>
        </w:numPr>
      </w:pPr>
      <w:r>
        <w:rPr>
          <w:b/>
        </w:rPr>
        <w:t xml:space="preserve">Health and metrics.</w:t>
      </w:r>
      <w:r>
        <w:t xml:space="preserve"> Each connector reports last success, last error, lag and volume. A silent connector is a defect.</w:t>
      </w:r>
    </w:p>
    <w:p>
      <w:pPr>
        <w:pStyle w:val="ListParagraph"/>
        <w:numPr>
          <w:ilvl w:val="0"/>
          <w:numId w:val="2"/>
        </w:numPr>
      </w:pPr>
      <w:r>
        <w:rPr>
          <w:b/>
        </w:rPr>
        <w:t xml:space="preserve">No external paths.</w:t>
      </w:r>
      <w:r>
        <w:t xml:space="preserve"> All connections stay inside the approved network zones. Cloud-based APIs are out of scope for an air-gapped site.</w:t>
      </w:r>
    </w:p>
    <w:p>
      <w:pPr>
        <w:pStyle w:val="Heading2"/>
      </w:pPr>
      <w:r>
        <w:t xml:space="preserve">4. SIEM</w:t>
      </w:r>
    </w:p>
    <w:tbl>
      <w:tblPr>
        <w:tblStyle w:val="TableGrid"/>
        <w:tblW w:w="0" w:type="auto"/>
        <w:tblLayout w:type="fixed"/>
        <w:tblLook w:val="04A0" w:firstRow="1" w:lastRow="0" w:firstColumn="0" w:lastColumn="0" w:noHBand="0" w:noVBand="1"/>
      </w:tblPr>
      <w:tblGrid>
        <w:gridCol w:w="2766"/>
        <w:gridCol w:w="6593"/>
      </w:tblGrid>
      <w:tr>
        <w:trPr>
          <w:tblHeader/>
        </w:trPr>
        <w:tc>
          <w:tcPr>
            <w:tcW w:w="2766" w:type="dxa"/>
            <w:shd w:val="clear" w:color="auto" w:fill="F2F2F2"/>
          </w:tcPr>
          <w:p>
            <w:pPr/>
            <w:r>
              <w:t xml:space="preserve">Aspect</w:t>
            </w:r>
          </w:p>
        </w:tc>
        <w:tc>
          <w:tcPr>
            <w:tcW w:w="6593" w:type="dxa"/>
            <w:shd w:val="clear" w:color="auto" w:fill="F2F2F2"/>
          </w:tcPr>
          <w:p>
            <w:pPr/>
            <w:r>
              <w:t xml:space="preserve">Design</w:t>
            </w:r>
          </w:p>
        </w:tc>
      </w:tr>
      <w:tr>
        <w:tc>
          <w:tcPr>
            <w:tcW w:w="2766" w:type="dxa"/>
          </w:tcPr>
          <w:p>
            <w:pPr/>
            <w:r>
              <w:t xml:space="preserve">What is sent</w:t>
            </w:r>
          </w:p>
        </w:tc>
        <w:tc>
          <w:tcPr>
            <w:tcW w:w="6593" w:type="dxa"/>
          </w:tcPr>
          <w:p>
            <w:pPr/>
            <w:r>
              <w:t xml:space="preserve">Alerts and incident updates using the common alert schema, plus optional health events</w:t>
            </w:r>
          </w:p>
        </w:tc>
      </w:tr>
      <w:tr>
        <w:tc>
          <w:tcPr>
            <w:tcW w:w="2766" w:type="dxa"/>
          </w:tcPr>
          <w:p>
            <w:pPr/>
            <w:r>
              <w:t xml:space="preserve">Format</w:t>
            </w:r>
          </w:p>
        </w:tc>
        <w:tc>
          <w:tcPr>
            <w:tcW w:w="6593" w:type="dxa"/>
          </w:tcPr>
          <w:p>
            <w:pPr/>
            <w:r>
              <w:t xml:space="preserve">CEF or JSON over TLS syslog, or REST. Pick the format the SIEM parses natively</w:t>
            </w:r>
          </w:p>
        </w:tc>
      </w:tr>
      <w:tr>
        <w:tc>
          <w:tcPr>
            <w:tcW w:w="2766" w:type="dxa"/>
          </w:tcPr>
          <w:p>
            <w:pPr/>
            <w:r>
              <w:t xml:space="preserve">Identifiers</w:t>
            </w:r>
          </w:p>
        </w:tc>
        <w:tc>
          <w:tcPr>
            <w:tcW w:w="6593" w:type="dxa"/>
          </w:tcPr>
          <w:p>
            <w:pPr/>
            <w:r>
              <w:t xml:space="preserve">event_id and incident_id on every message. Incident updates reuse the incident_id</w:t>
            </w:r>
          </w:p>
        </w:tc>
      </w:tr>
      <w:tr>
        <w:tc>
          <w:tcPr>
            <w:tcW w:w="2766" w:type="dxa"/>
          </w:tcPr>
          <w:p>
            <w:pPr/>
            <w:r>
              <w:t xml:space="preserve">Deduplication</w:t>
            </w:r>
          </w:p>
        </w:tc>
        <w:tc>
          <w:tcPr>
            <w:tcW w:w="6593" w:type="dxa"/>
          </w:tcPr>
          <w:p>
            <w:pPr/>
            <w:r>
              <w:t xml:space="preserve">SIEM-side by event_id. NBAD-side by suppressing repeats of the same alert within a window</w:t>
            </w:r>
          </w:p>
        </w:tc>
      </w:tr>
      <w:tr>
        <w:tc>
          <w:tcPr>
            <w:tcW w:w="2766" w:type="dxa"/>
          </w:tcPr>
          <w:p>
            <w:pPr/>
            <w:r>
              <w:t xml:space="preserve">Severity mapping</w:t>
            </w:r>
          </w:p>
        </w:tc>
        <w:tc>
          <w:tcPr>
            <w:tcW w:w="6593" w:type="dxa"/>
          </w:tcPr>
          <w:p>
            <w:pPr/>
            <w:r>
              <w:t xml:space="preserve">NBAD severity mapped to the SIEM’s scale, with the mapping table kept in configuration</w:t>
            </w:r>
          </w:p>
        </w:tc>
      </w:tr>
      <w:tr>
        <w:tc>
          <w:tcPr>
            <w:tcW w:w="2766" w:type="dxa"/>
          </w:tcPr>
          <w:p>
            <w:pPr/>
            <w:r>
              <w:t xml:space="preserve">Timestamps</w:t>
            </w:r>
          </w:p>
        </w:tc>
        <w:tc>
          <w:tcPr>
            <w:tcW w:w="6593" w:type="dxa"/>
          </w:tcPr>
          <w:p>
            <w:pPr/>
            <w:r>
              <w:t xml:space="preserve">UTC with offset information preserved</w:t>
            </w:r>
          </w:p>
        </w:tc>
      </w:tr>
      <w:tr>
        <w:tc>
          <w:tcPr>
            <w:tcW w:w="2766" w:type="dxa"/>
          </w:tcPr>
          <w:p>
            <w:pPr/>
            <w:r>
              <w:t xml:space="preserve">Back-links</w:t>
            </w:r>
          </w:p>
        </w:tc>
        <w:tc>
          <w:tcPr>
            <w:tcW w:w="6593" w:type="dxa"/>
          </w:tcPr>
          <w:p>
            <w:pPr/>
            <w:r>
              <w:t xml:space="preserve">Each event carries a URL or reference so an analyst can open the evidence in the NBAD console</w:t>
            </w:r>
          </w:p>
        </w:tc>
      </w:tr>
      <w:tr>
        <w:tc>
          <w:tcPr>
            <w:tcW w:w="2766" w:type="dxa"/>
          </w:tcPr>
          <w:p>
            <w:pPr/>
            <w:r>
              <w:t xml:space="preserve">Failure handling</w:t>
            </w:r>
          </w:p>
        </w:tc>
        <w:tc>
          <w:tcPr>
            <w:tcW w:w="6593" w:type="dxa"/>
          </w:tcPr>
          <w:p>
            <w:pPr/>
            <w:r>
              <w:t xml:space="preserve">Local queue, retry with backoff, alert after a configurable backlog</w:t>
            </w:r>
          </w:p>
        </w:tc>
      </w:tr>
    </w:tbl>
    <w:p>
      <w:pPr/>
      <w:r>
        <w:t xml:space="preserve">Open questions: SIEM product and version, accepted format, parsing rules, available ports, and who writes the SIEM-side parser.</w:t>
      </w:r>
    </w:p>
    <w:p>
      <w:pPr>
        <w:pStyle w:val="Heading2"/>
      </w:pPr>
      <w:r>
        <w:t xml:space="preserve">5. Active Directory and LDAP</w:t>
      </w:r>
    </w:p>
    <w:p>
      <w:pPr>
        <w:pStyle w:val="ListParagraph"/>
        <w:numPr>
          <w:ilvl w:val="0"/>
          <w:numId w:val="3"/>
        </w:numPr>
      </w:pPr>
      <w:r>
        <w:t xml:space="preserve">Use LDAPS (or StartTLS) with a read-only service account for user authentication and group lookup.</w:t>
      </w:r>
    </w:p>
    <w:p>
      <w:pPr>
        <w:pStyle w:val="ListParagraph"/>
        <w:numPr>
          <w:ilvl w:val="0"/>
          <w:numId w:val="3"/>
        </w:numPr>
      </w:pPr>
      <w:r>
        <w:t xml:space="preserve">Map directory groups to NBAD roles. Keep one local break-glass account.</w:t>
      </w:r>
    </w:p>
    <w:p>
      <w:pPr>
        <w:pStyle w:val="ListParagraph"/>
        <w:numPr>
          <w:ilvl w:val="0"/>
          <w:numId w:val="3"/>
        </w:numPr>
      </w:pPr>
      <w:r>
        <w:t xml:space="preserve">For host and user context, use computer account data from the directory. Mapping users to IP addresses needs a log source such as domain controller logon events, DHCP leases or VPN logs. Without one of these, NBAD can show hosts but not reliably show who was using them.</w:t>
      </w:r>
    </w:p>
    <w:p>
      <w:pPr>
        <w:pStyle w:val="ListParagraph"/>
        <w:numPr>
          <w:ilvl w:val="0"/>
          <w:numId w:val="3"/>
        </w:numPr>
      </w:pPr>
      <w:r>
        <w:t xml:space="preserve">Cache directory data locally with a refresh interval so a directory outage does not block logins to the console beyond the cache policy.</w:t>
      </w:r>
    </w:p>
    <w:p>
      <w:pPr>
        <w:pStyle w:val="Heading2"/>
      </w:pPr>
      <w:r>
        <w:t xml:space="preserve">6. Vulnerability management</w:t>
      </w:r>
    </w:p>
    <w:tbl>
      <w:tblPr>
        <w:tblStyle w:val="TableGrid"/>
        <w:tblW w:w="0" w:type="auto"/>
        <w:tblLayout w:type="fixed"/>
        <w:tblLook w:val="04A0" w:firstRow="1" w:lastRow="0" w:firstColumn="0" w:lastColumn="0" w:noHBand="0" w:noVBand="1"/>
      </w:tblPr>
      <w:tblGrid>
        <w:gridCol w:w="1914"/>
        <w:gridCol w:w="7445"/>
      </w:tblGrid>
      <w:tr>
        <w:trPr>
          <w:tblHeader/>
        </w:trPr>
        <w:tc>
          <w:tcPr>
            <w:tcW w:w="1914" w:type="dxa"/>
            <w:shd w:val="clear" w:color="auto" w:fill="F2F2F2"/>
          </w:tcPr>
          <w:p>
            <w:pPr/>
            <w:r>
              <w:t xml:space="preserve">Aspect</w:t>
            </w:r>
          </w:p>
        </w:tc>
        <w:tc>
          <w:tcPr>
            <w:tcW w:w="7445" w:type="dxa"/>
            <w:shd w:val="clear" w:color="auto" w:fill="F2F2F2"/>
          </w:tcPr>
          <w:p>
            <w:pPr/>
            <w:r>
              <w:t xml:space="preserve">Design</w:t>
            </w:r>
          </w:p>
        </w:tc>
      </w:tr>
      <w:tr>
        <w:tc>
          <w:tcPr>
            <w:tcW w:w="1914" w:type="dxa"/>
          </w:tcPr>
          <w:p>
            <w:pPr/>
            <w:r>
              <w:t xml:space="preserve">Input</w:t>
            </w:r>
          </w:p>
        </w:tc>
        <w:tc>
          <w:tcPr>
            <w:tcW w:w="7445" w:type="dxa"/>
          </w:tcPr>
          <w:p>
            <w:pPr/>
            <w:r>
              <w:t xml:space="preserve">Scan results per host: address, hostname, vulnerabilities with severity and date</w:t>
            </w:r>
          </w:p>
        </w:tc>
      </w:tr>
      <w:tr>
        <w:tc>
          <w:tcPr>
            <w:tcW w:w="1914" w:type="dxa"/>
          </w:tcPr>
          <w:p>
            <w:pPr/>
            <w:r>
              <w:t xml:space="preserve">Method</w:t>
            </w:r>
          </w:p>
        </w:tc>
        <w:tc>
          <w:tcPr>
            <w:tcW w:w="7445" w:type="dxa"/>
          </w:tcPr>
          <w:p>
            <w:pPr/>
            <w:r>
              <w:t xml:space="preserve">API pull on a schedule if the product exposes one, otherwise controlled file import</w:t>
            </w:r>
          </w:p>
        </w:tc>
      </w:tr>
      <w:tr>
        <w:tc>
          <w:tcPr>
            <w:tcW w:w="1914" w:type="dxa"/>
          </w:tcPr>
          <w:p>
            <w:pPr/>
            <w:r>
              <w:t xml:space="preserve">Matching</w:t>
            </w:r>
          </w:p>
        </w:tc>
        <w:tc>
          <w:tcPr>
            <w:tcW w:w="7445" w:type="dxa"/>
          </w:tcPr>
          <w:p>
            <w:pPr/>
            <w:r>
              <w:t xml:space="preserve">Match to NBAD assets by IP, hostname and MAC, with time awareness because addresses change</w:t>
            </w:r>
          </w:p>
        </w:tc>
      </w:tr>
      <w:tr>
        <w:tc>
          <w:tcPr>
            <w:tcW w:w="1914" w:type="dxa"/>
          </w:tcPr>
          <w:p>
            <w:pPr/>
            <w:r>
              <w:t xml:space="preserve">Use</w:t>
            </w:r>
          </w:p>
        </w:tc>
        <w:tc>
          <w:tcPr>
            <w:tcW w:w="7445" w:type="dxa"/>
          </w:tcPr>
          <w:p>
            <w:pPr/>
            <w:r>
              <w:t xml:space="preserve">Populate the asset vulnerability summary and trigger the new-vulnerable-host detection</w:t>
            </w:r>
          </w:p>
        </w:tc>
      </w:tr>
      <w:tr>
        <w:tc>
          <w:tcPr>
            <w:tcW w:w="1914" w:type="dxa"/>
          </w:tcPr>
          <w:p>
            <w:pPr/>
            <w:r>
              <w:t xml:space="preserve">Staleness</w:t>
            </w:r>
          </w:p>
        </w:tc>
        <w:tc>
          <w:tcPr>
            <w:tcW w:w="7445" w:type="dxa"/>
          </w:tcPr>
          <w:p>
            <w:pPr/>
            <w:r>
              <w:t xml:space="preserve">Show the scan date next to every finding. Old scan data is flagged</w:t>
            </w:r>
          </w:p>
        </w:tc>
      </w:tr>
      <w:tr>
        <w:tc>
          <w:tcPr>
            <w:tcW w:w="1914" w:type="dxa"/>
          </w:tcPr>
          <w:p>
            <w:pPr/>
            <w:r>
              <w:t xml:space="preserve">Limit</w:t>
            </w:r>
          </w:p>
        </w:tc>
        <w:tc>
          <w:tcPr>
            <w:tcW w:w="7445" w:type="dxa"/>
          </w:tcPr>
          <w:p>
            <w:pPr/>
            <w:r>
              <w:t xml:space="preserve">NBAD flags hosts that appear after the last scan or match known findings. It does not scan hosts itself</w:t>
            </w:r>
          </w:p>
        </w:tc>
      </w:tr>
    </w:tbl>
    <w:p>
      <w:pPr>
        <w:pStyle w:val="Heading2"/>
      </w:pPr>
      <w:r>
        <w:t xml:space="preserve">7. Network and security appliances</w:t>
      </w:r>
    </w:p>
    <w:tbl>
      <w:tblPr>
        <w:tblStyle w:val="TableGrid"/>
        <w:tblW w:w="0" w:type="auto"/>
        <w:tblLayout w:type="fixed"/>
        <w:tblLook w:val="04A0" w:firstRow="1" w:lastRow="0" w:firstColumn="0" w:lastColumn="0" w:noHBand="0" w:noVBand="1"/>
      </w:tblPr>
      <w:tblGrid>
        <w:gridCol w:w="2499"/>
        <w:gridCol w:w="2777"/>
        <w:gridCol w:w="4084"/>
      </w:tblGrid>
      <w:tr>
        <w:trPr>
          <w:tblHeader/>
        </w:trPr>
        <w:tc>
          <w:tcPr>
            <w:tcW w:w="2499" w:type="dxa"/>
            <w:shd w:val="clear" w:color="auto" w:fill="F2F2F2"/>
          </w:tcPr>
          <w:p>
            <w:pPr/>
            <w:r>
              <w:t xml:space="preserve">Appliance</w:t>
            </w:r>
          </w:p>
        </w:tc>
        <w:tc>
          <w:tcPr>
            <w:tcW w:w="2777" w:type="dxa"/>
            <w:shd w:val="clear" w:color="auto" w:fill="F2F2F2"/>
          </w:tcPr>
          <w:p>
            <w:pPr/>
            <w:r>
              <w:t xml:space="preserve">What we take</w:t>
            </w:r>
          </w:p>
        </w:tc>
        <w:tc>
          <w:tcPr>
            <w:tcW w:w="4084" w:type="dxa"/>
            <w:shd w:val="clear" w:color="auto" w:fill="F2F2F2"/>
          </w:tcPr>
          <w:p>
            <w:pPr/>
            <w:r>
              <w:t xml:space="preserve">Notes</w:t>
            </w:r>
          </w:p>
        </w:tc>
      </w:tr>
      <w:tr>
        <w:tc>
          <w:tcPr>
            <w:tcW w:w="2499" w:type="dxa"/>
          </w:tcPr>
          <w:p>
            <w:pPr/>
            <w:r>
              <w:t xml:space="preserve">Routers and switches</w:t>
            </w:r>
          </w:p>
        </w:tc>
        <w:tc>
          <w:tcPr>
            <w:tcW w:w="2777" w:type="dxa"/>
          </w:tcPr>
          <w:p>
            <w:pPr/>
            <w:r>
              <w:t xml:space="preserve">NetFlow/IPFIX/sFlow, interface names through SNMP</w:t>
            </w:r>
          </w:p>
        </w:tc>
        <w:tc>
          <w:tcPr>
            <w:tcW w:w="4084" w:type="dxa"/>
          </w:tcPr>
          <w:p>
            <w:pPr/>
            <w:r>
              <w:t xml:space="preserve">Confirm export versions, active and inactive timers, and sampling</w:t>
            </w:r>
          </w:p>
        </w:tc>
      </w:tr>
      <w:tr>
        <w:tc>
          <w:tcPr>
            <w:tcW w:w="2499" w:type="dxa"/>
          </w:tcPr>
          <w:p>
            <w:pPr/>
            <w:r>
              <w:t xml:space="preserve">Firewalls</w:t>
            </w:r>
          </w:p>
        </w:tc>
        <w:tc>
          <w:tcPr>
            <w:tcW w:w="2777" w:type="dxa"/>
          </w:tcPr>
          <w:p>
            <w:pPr/>
            <w:r>
              <w:t xml:space="preserve">Flow or session logs, NAT logs, policy hit logs</w:t>
            </w:r>
          </w:p>
        </w:tc>
        <w:tc>
          <w:tcPr>
            <w:tcW w:w="4084" w:type="dxa"/>
          </w:tcPr>
          <w:p>
            <w:pPr/>
            <w:r>
              <w:t xml:space="preserve">NAT logs are needed to see real internal addresses behind translated traffic</w:t>
            </w:r>
          </w:p>
        </w:tc>
      </w:tr>
      <w:tr>
        <w:tc>
          <w:tcPr>
            <w:tcW w:w="2499" w:type="dxa"/>
          </w:tcPr>
          <w:p>
            <w:pPr/>
            <w:r>
              <w:t xml:space="preserve">IPS</w:t>
            </w:r>
          </w:p>
        </w:tc>
        <w:tc>
          <w:tcPr>
            <w:tcW w:w="2777" w:type="dxa"/>
          </w:tcPr>
          <w:p>
            <w:pPr/>
            <w:r>
              <w:t xml:space="preserve">Alert logs</w:t>
            </w:r>
          </w:p>
        </w:tc>
        <w:tc>
          <w:tcPr>
            <w:tcW w:w="4084" w:type="dxa"/>
          </w:tcPr>
          <w:p>
            <w:pPr/>
            <w:r>
              <w:t xml:space="preserve">Normalize to the alert schema and link to matching flows by address and time</w:t>
            </w:r>
          </w:p>
        </w:tc>
      </w:tr>
      <w:tr>
        <w:tc>
          <w:tcPr>
            <w:tcW w:w="2499" w:type="dxa"/>
          </w:tcPr>
          <w:p>
            <w:pPr/>
            <w:r>
              <w:t xml:space="preserve">VPN</w:t>
            </w:r>
          </w:p>
        </w:tc>
        <w:tc>
          <w:tcPr>
            <w:tcW w:w="2777" w:type="dxa"/>
          </w:tcPr>
          <w:p>
            <w:pPr/>
            <w:r>
              <w:t xml:space="preserve">Session and authentication logs</w:t>
            </w:r>
          </w:p>
        </w:tc>
        <w:tc>
          <w:tcPr>
            <w:tcW w:w="4084" w:type="dxa"/>
          </w:tcPr>
          <w:p>
            <w:pPr/>
            <w:r>
              <w:t xml:space="preserve">Give user to address mapping for remote access</w:t>
            </w:r>
          </w:p>
        </w:tc>
      </w:tr>
      <w:tr>
        <w:tc>
          <w:tcPr>
            <w:tcW w:w="2499" w:type="dxa"/>
          </w:tcPr>
          <w:p>
            <w:pPr/>
            <w:r>
              <w:t xml:space="preserve">Proxy</w:t>
            </w:r>
          </w:p>
        </w:tc>
        <w:tc>
          <w:tcPr>
            <w:tcW w:w="2777" w:type="dxa"/>
          </w:tcPr>
          <w:p>
            <w:pPr/>
            <w:r>
              <w:t xml:space="preserve">Web access logs</w:t>
            </w:r>
          </w:p>
        </w:tc>
        <w:tc>
          <w:tcPr>
            <w:tcW w:w="4084" w:type="dxa"/>
          </w:tcPr>
          <w:p>
            <w:pPr/>
            <w:r>
              <w:t xml:space="preserve">Adds URL, category, user and bytes, and partly covers HTTP data-type visibility for proxied traffic</w:t>
            </w:r>
          </w:p>
        </w:tc>
      </w:tr>
    </w:tbl>
    <w:p>
      <w:pPr/>
      <w:r>
        <w:t xml:space="preserve">Build an exporter compatibility matrix early: vendor, model, firmware, formats supported, templates, sampling, and a test result for each.</w:t>
      </w:r>
    </w:p>
    <w:p>
      <w:pPr>
        <w:pStyle w:val="Heading2"/>
      </w:pPr>
      <w:r>
        <w:t xml:space="preserve">8. Threat-intelligence feeds</w:t>
      </w:r>
    </w:p>
    <w:p>
      <w:pPr/>
      <w:r>
        <w:t xml:space="preserve">Inbound only, by offline import (see the air-gap document for the workflow).</w:t>
      </w:r>
    </w:p>
    <w:p>
      <w:pPr>
        <w:pStyle w:val="ListParagraph"/>
        <w:numPr>
          <w:ilvl w:val="0"/>
          <w:numId w:val="4"/>
        </w:numPr>
      </w:pPr>
      <w:r>
        <w:t xml:space="preserve">Accept STIX 2.x bundles and flat CSV with columns for type, value, source, confidence and valid-until.</w:t>
      </w:r>
    </w:p>
    <w:p>
      <w:pPr>
        <w:pStyle w:val="ListParagraph"/>
        <w:numPr>
          <w:ilvl w:val="0"/>
          <w:numId w:val="4"/>
        </w:numPr>
      </w:pPr>
      <w:r>
        <w:t xml:space="preserve">Validate format and signature on import. Reject entries without an expiry.</w:t>
      </w:r>
    </w:p>
    <w:p>
      <w:pPr>
        <w:pStyle w:val="ListParagraph"/>
        <w:numPr>
          <w:ilvl w:val="0"/>
          <w:numId w:val="4"/>
        </w:numPr>
      </w:pPr>
      <w:r>
        <w:t xml:space="preserve">Match against flow addresses, DNS names, TLS metadata and extracted file hashes where the data exists.</w:t>
      </w:r>
    </w:p>
    <w:p>
      <w:pPr>
        <w:pStyle w:val="ListParagraph"/>
        <w:numPr>
          <w:ilvl w:val="0"/>
          <w:numId w:val="4"/>
        </w:numPr>
      </w:pPr>
      <w:r>
        <w:t xml:space="preserve">Tag each match with feed name, import batch and confidence, and show it in the alert evidence.</w:t>
      </w:r>
    </w:p>
    <w:p>
      <w:pPr>
        <w:pStyle w:val="ListParagraph"/>
        <w:numPr>
          <w:ilvl w:val="0"/>
          <w:numId w:val="4"/>
        </w:numPr>
      </w:pPr>
      <w:r>
        <w:t xml:space="preserve">Support disabling a feed or rolling back a batch without a restart.</w:t>
      </w:r>
    </w:p>
    <w:p>
      <w:pPr>
        <w:pStyle w:val="Heading2"/>
      </w:pPr>
      <w:r>
        <w:t xml:space="preserve">9. Sandbox</w:t>
      </w:r>
    </w:p>
    <w:tbl>
      <w:tblPr>
        <w:tblStyle w:val="TableGrid"/>
        <w:tblW w:w="0" w:type="auto"/>
        <w:tblLayout w:type="fixed"/>
        <w:tblLook w:val="04A0" w:firstRow="1" w:lastRow="0" w:firstColumn="0" w:lastColumn="0" w:noHBand="0" w:noVBand="1"/>
      </w:tblPr>
      <w:tblGrid>
        <w:gridCol w:w="2153"/>
        <w:gridCol w:w="7206"/>
      </w:tblGrid>
      <w:tr>
        <w:trPr>
          <w:tblHeader/>
        </w:trPr>
        <w:tc>
          <w:tcPr>
            <w:tcW w:w="2153" w:type="dxa"/>
            <w:shd w:val="clear" w:color="auto" w:fill="F2F2F2"/>
          </w:tcPr>
          <w:p>
            <w:pPr/>
            <w:r>
              <w:t xml:space="preserve">Step</w:t>
            </w:r>
          </w:p>
        </w:tc>
        <w:tc>
          <w:tcPr>
            <w:tcW w:w="7206" w:type="dxa"/>
            <w:shd w:val="clear" w:color="auto" w:fill="F2F2F2"/>
          </w:tcPr>
          <w:p>
            <w:pPr/>
            <w:r>
              <w:t xml:space="preserve">Detail</w:t>
            </w:r>
          </w:p>
        </w:tc>
      </w:tr>
      <w:tr>
        <w:tc>
          <w:tcPr>
            <w:tcW w:w="2153" w:type="dxa"/>
          </w:tcPr>
          <w:p>
            <w:pPr/>
            <w:r>
              <w:t xml:space="preserve">Extraction</w:t>
            </w:r>
          </w:p>
        </w:tc>
        <w:tc>
          <w:tcPr>
            <w:tcW w:w="7206" w:type="dxa"/>
          </w:tcPr>
          <w:p>
            <w:pPr/>
            <w:r>
              <w:t xml:space="preserve">Extract files from cleartext protocols that the sensors can decode. Encrypted transfers cannot be extracted without decryption, which is out of scope here</w:t>
            </w:r>
          </w:p>
        </w:tc>
      </w:tr>
      <w:tr>
        <w:tc>
          <w:tcPr>
            <w:tcW w:w="2153" w:type="dxa"/>
          </w:tcPr>
          <w:p>
            <w:pPr/>
            <w:r>
              <w:t xml:space="preserve">Pre-filter</w:t>
            </w:r>
          </w:p>
        </w:tc>
        <w:tc>
          <w:tcPr>
            <w:tcW w:w="7206" w:type="dxa"/>
          </w:tcPr>
          <w:p>
            <w:pPr/>
            <w:r>
              <w:t xml:space="preserve">Hash first. Skip files already known as clean or already analyzed</w:t>
            </w:r>
          </w:p>
        </w:tc>
      </w:tr>
      <w:tr>
        <w:tc>
          <w:tcPr>
            <w:tcW w:w="2153" w:type="dxa"/>
          </w:tcPr>
          <w:p>
            <w:pPr/>
            <w:r>
              <w:t xml:space="preserve">Submission</w:t>
            </w:r>
          </w:p>
        </w:tc>
        <w:tc>
          <w:tcPr>
            <w:tcW w:w="7206" w:type="dxa"/>
          </w:tcPr>
          <w:p>
            <w:pPr/>
            <w:r>
              <w:t xml:space="preserve">Send to the on-premises sandbox through its API, over an allow-listed connection</w:t>
            </w:r>
          </w:p>
        </w:tc>
      </w:tr>
      <w:tr>
        <w:tc>
          <w:tcPr>
            <w:tcW w:w="2153" w:type="dxa"/>
          </w:tcPr>
          <w:p>
            <w:pPr/>
            <w:r>
              <w:t xml:space="preserve">Verdict</w:t>
            </w:r>
          </w:p>
        </w:tc>
        <w:tc>
          <w:tcPr>
            <w:tcW w:w="7206" w:type="dxa"/>
          </w:tcPr>
          <w:p>
            <w:pPr/>
            <w:r>
              <w:t xml:space="preserve">Poll or receive callback. Store verdict, score and report link on the session and any alert</w:t>
            </w:r>
          </w:p>
        </w:tc>
      </w:tr>
      <w:tr>
        <w:tc>
          <w:tcPr>
            <w:tcW w:w="2153" w:type="dxa"/>
          </w:tcPr>
          <w:p>
            <w:pPr/>
            <w:r>
              <w:t xml:space="preserve">Handling</w:t>
            </w:r>
          </w:p>
        </w:tc>
        <w:tc>
          <w:tcPr>
            <w:tcW w:w="7206" w:type="dxa"/>
          </w:tcPr>
          <w:p>
            <w:pPr/>
            <w:r>
              <w:t xml:space="preserve">A malicious verdict raises an alert with the host, file hash and evidence</w:t>
            </w:r>
          </w:p>
        </w:tc>
      </w:tr>
      <w:tr>
        <w:tc>
          <w:tcPr>
            <w:tcW w:w="2153" w:type="dxa"/>
          </w:tcPr>
          <w:p>
            <w:pPr/>
            <w:r>
              <w:t xml:space="preserve">Limits</w:t>
            </w:r>
          </w:p>
        </w:tc>
        <w:tc>
          <w:tcPr>
            <w:tcW w:w="7206" w:type="dxa"/>
          </w:tcPr>
          <w:p>
            <w:pPr/>
            <w:r>
              <w:t xml:space="preserve">Size limits, queue depth and analysis time depend on the sandbox product. Document them</w:t>
            </w:r>
          </w:p>
        </w:tc>
      </w:tr>
    </w:tbl>
    <w:p>
      <w:pPr/>
      <w:r>
        <w:t xml:space="preserve">The tender calls for sandbox integration for malware analysis. The product is not named, so confirm it before committing to a design.</w:t>
      </w:r>
    </w:p>
    <w:p>
      <w:pPr>
        <w:pStyle w:val="Heading2"/>
      </w:pPr>
      <w:r>
        <w:t xml:space="preserve">10. Common alert message (summary)</w:t>
      </w:r>
    </w:p>
    <w:p>
      <w:pPr/>
      <w:r>
        <w:t xml:space="preserve">The full schema is in the data model document. At minimum each outbound message carries: event_id, incident_id, schema_version, detection name and category, severity, confidence, first_seen, last_seen, source and destination address, ports, protocol, zone, sensor, asset identity, observed and expected values, rule or model version, evidence references, recommended action, and approval and execution state.</w:t>
      </w:r>
    </w:p>
    <w:p>
      <w:pPr>
        <w:pStyle w:val="Heading2"/>
      </w:pPr>
      <w:r>
        <w:t xml:space="preserve">11. Response actions</w:t>
      </w:r>
    </w:p>
    <w:p>
      <w:pPr/>
      <w:r>
        <w:t xml:space="preserve">The tender asks for real-time mitigation suggestions. Suggesting is different from doing, and the design keeps them apart.</w:t>
      </w:r>
    </w:p>
    <w:tbl>
      <w:tblPr>
        <w:tblStyle w:val="TableGrid"/>
        <w:tblW w:w="0" w:type="auto"/>
        <w:tblLayout w:type="fixed"/>
        <w:tblLook w:val="04A0" w:firstRow="1" w:lastRow="0" w:firstColumn="0" w:lastColumn="0" w:noHBand="0" w:noVBand="1"/>
      </w:tblPr>
      <w:tblGrid>
        <w:gridCol w:w="2578"/>
        <w:gridCol w:w="4300"/>
        <w:gridCol w:w="2482"/>
      </w:tblGrid>
      <w:tr>
        <w:trPr>
          <w:tblHeader/>
        </w:trPr>
        <w:tc>
          <w:tcPr>
            <w:tcW w:w="2578" w:type="dxa"/>
            <w:shd w:val="clear" w:color="auto" w:fill="F2F2F2"/>
          </w:tcPr>
          <w:p>
            <w:pPr/>
            <w:r>
              <w:t xml:space="preserve">Level</w:t>
            </w:r>
          </w:p>
        </w:tc>
        <w:tc>
          <w:tcPr>
            <w:tcW w:w="4300" w:type="dxa"/>
            <w:shd w:val="clear" w:color="auto" w:fill="F2F2F2"/>
          </w:tcPr>
          <w:p>
            <w:pPr/>
            <w:r>
              <w:t xml:space="preserve">Behaviour</w:t>
            </w:r>
          </w:p>
        </w:tc>
        <w:tc>
          <w:tcPr>
            <w:tcW w:w="2482" w:type="dxa"/>
            <w:shd w:val="clear" w:color="auto" w:fill="F2F2F2"/>
          </w:tcPr>
          <w:p>
            <w:pPr/>
            <w:r>
              <w:t xml:space="preserve">Control</w:t>
            </w:r>
          </w:p>
        </w:tc>
      </w:tr>
      <w:tr>
        <w:tc>
          <w:tcPr>
            <w:tcW w:w="2578" w:type="dxa"/>
          </w:tcPr>
          <w:p>
            <w:pPr/>
            <w:r>
              <w:t xml:space="preserve">Suggest</w:t>
            </w:r>
          </w:p>
        </w:tc>
        <w:tc>
          <w:tcPr>
            <w:tcW w:w="4300" w:type="dxa"/>
          </w:tcPr>
          <w:p>
            <w:pPr/>
            <w:r>
              <w:t xml:space="preserve">Alert includes recommended actions in text</w:t>
            </w:r>
          </w:p>
        </w:tc>
        <w:tc>
          <w:tcPr>
            <w:tcW w:w="2482" w:type="dxa"/>
          </w:tcPr>
          <w:p>
            <w:pPr/>
            <w:r>
              <w:t xml:space="preserve">None needed</w:t>
            </w:r>
          </w:p>
        </w:tc>
      </w:tr>
      <w:tr>
        <w:tc>
          <w:tcPr>
            <w:tcW w:w="2578" w:type="dxa"/>
          </w:tcPr>
          <w:p>
            <w:pPr/>
            <w:r>
              <w:t xml:space="preserve">Prepare</w:t>
            </w:r>
          </w:p>
        </w:tc>
        <w:tc>
          <w:tcPr>
            <w:tcW w:w="4300" w:type="dxa"/>
          </w:tcPr>
          <w:p>
            <w:pPr/>
            <w:r>
              <w:t xml:space="preserve">Platform builds the exact change (for example a firewall block rule) but does not send it</w:t>
            </w:r>
          </w:p>
        </w:tc>
        <w:tc>
          <w:tcPr>
            <w:tcW w:w="2482" w:type="dxa"/>
          </w:tcPr>
          <w:p>
            <w:pPr/>
            <w:r>
              <w:t xml:space="preserve">Visible to analyst</w:t>
            </w:r>
          </w:p>
        </w:tc>
      </w:tr>
      <w:tr>
        <w:tc>
          <w:tcPr>
            <w:tcW w:w="2578" w:type="dxa"/>
          </w:tcPr>
          <w:p>
            <w:pPr/>
            <w:r>
              <w:t xml:space="preserve">Execute with approval</w:t>
            </w:r>
          </w:p>
        </w:tc>
        <w:tc>
          <w:tcPr>
            <w:tcW w:w="4300" w:type="dxa"/>
          </w:tcPr>
          <w:p>
            <w:pPr/>
            <w:r>
              <w:t xml:space="preserve">Analyst approves, then a connector applies the change</w:t>
            </w:r>
          </w:p>
        </w:tc>
        <w:tc>
          <w:tcPr>
            <w:tcW w:w="2482" w:type="dxa"/>
          </w:tcPr>
          <w:p>
            <w:pPr/>
            <w:r>
              <w:t xml:space="preserve">Role check, reason recorded, audit entry</w:t>
            </w:r>
          </w:p>
        </w:tc>
      </w:tr>
      <w:tr>
        <w:tc>
          <w:tcPr>
            <w:tcW w:w="2578" w:type="dxa"/>
          </w:tcPr>
          <w:p>
            <w:pPr/>
            <w:r>
              <w:t xml:space="preserve">Automatic</w:t>
            </w:r>
          </w:p>
        </w:tc>
        <w:tc>
          <w:tcPr>
            <w:tcW w:w="4300" w:type="dxa"/>
          </w:tcPr>
          <w:p>
            <w:pPr/>
            <w:r>
              <w:t xml:space="preserve">Pre-approved low-risk response for narrow cases</w:t>
            </w:r>
          </w:p>
        </w:tc>
        <w:tc>
          <w:tcPr>
            <w:tcW w:w="2482" w:type="dxa"/>
          </w:tcPr>
          <w:p>
            <w:pPr/>
            <w:r>
              <w:t xml:space="preserve">Needs written OPTCL policy, kill switch, and rate limits</w:t>
            </w:r>
          </w:p>
        </w:tc>
      </w:tr>
    </w:tbl>
    <w:p>
      <w:pPr>
        <w:pStyle w:val="ListParagraph"/>
        <w:numPr>
          <w:ilvl w:val="0"/>
          <w:numId w:val="5"/>
        </w:numPr>
      </w:pPr>
      <w:r>
        <w:t xml:space="preserve">Event creation and action execution are separate services with separate permissions.</w:t>
      </w:r>
    </w:p>
    <w:p>
      <w:pPr>
        <w:pStyle w:val="ListParagraph"/>
        <w:numPr>
          <w:ilvl w:val="0"/>
          <w:numId w:val="5"/>
        </w:numPr>
      </w:pPr>
      <w:r>
        <w:t xml:space="preserve">Every action has an expiry or rollback plan (for example a block that lifts after a set time).</w:t>
      </w:r>
    </w:p>
    <w:p>
      <w:pPr>
        <w:pStyle w:val="ListParagraph"/>
        <w:numPr>
          <w:ilvl w:val="0"/>
          <w:numId w:val="5"/>
        </w:numPr>
      </w:pPr>
      <w:r>
        <w:t xml:space="preserve">Protect critical assets and infrastructure addresses with a never-block list.</w:t>
      </w:r>
    </w:p>
    <w:p>
      <w:pPr>
        <w:pStyle w:val="ListParagraph"/>
        <w:numPr>
          <w:ilvl w:val="0"/>
          <w:numId w:val="5"/>
        </w:numPr>
      </w:pPr>
      <w:r>
        <w:t xml:space="preserve">Record the request, approval, execution result and rollback in the incident timeline.</w:t>
      </w:r>
    </w:p>
    <w:p>
      <w:pPr>
        <w:pStyle w:val="Heading2"/>
      </w:pPr>
      <w:r>
        <w:t xml:space="preserve">12. Integration test checklist</w:t>
      </w:r>
    </w:p>
    <w:tbl>
      <w:tblPr>
        <w:tblStyle w:val="TableGrid"/>
        <w:tblW w:w="0" w:type="auto"/>
        <w:tblLayout w:type="fixed"/>
        <w:tblLook w:val="04A0" w:firstRow="1" w:lastRow="0" w:firstColumn="0" w:lastColumn="0" w:noHBand="0" w:noVBand="1"/>
      </w:tblPr>
      <w:tblGrid>
        <w:gridCol w:w="3913"/>
        <w:gridCol w:w="5446"/>
      </w:tblGrid>
      <w:tr>
        <w:trPr>
          <w:tblHeader/>
        </w:trPr>
        <w:tc>
          <w:tcPr>
            <w:tcW w:w="3913" w:type="dxa"/>
            <w:shd w:val="clear" w:color="auto" w:fill="F2F2F2"/>
          </w:tcPr>
          <w:p>
            <w:pPr/>
            <w:r>
              <w:t xml:space="preserve">Test</w:t>
            </w:r>
          </w:p>
        </w:tc>
        <w:tc>
          <w:tcPr>
            <w:tcW w:w="5446" w:type="dxa"/>
            <w:shd w:val="clear" w:color="auto" w:fill="F2F2F2"/>
          </w:tcPr>
          <w:p>
            <w:pPr/>
            <w:r>
              <w:t xml:space="preserve">Pass condition</w:t>
            </w:r>
          </w:p>
        </w:tc>
      </w:tr>
      <w:tr>
        <w:tc>
          <w:tcPr>
            <w:tcW w:w="3913" w:type="dxa"/>
          </w:tcPr>
          <w:p>
            <w:pPr/>
            <w:r>
              <w:t xml:space="preserve">Alert delivery to SIEM</w:t>
            </w:r>
          </w:p>
        </w:tc>
        <w:tc>
          <w:tcPr>
            <w:tcW w:w="5446" w:type="dxa"/>
          </w:tcPr>
          <w:p>
            <w:pPr/>
            <w:r>
              <w:t xml:space="preserve">Event appears with correct fields and severity</w:t>
            </w:r>
          </w:p>
        </w:tc>
      </w:tr>
      <w:tr>
        <w:tc>
          <w:tcPr>
            <w:tcW w:w="3913" w:type="dxa"/>
          </w:tcPr>
          <w:p>
            <w:pPr/>
            <w:r>
              <w:t xml:space="preserve">Duplicate delivery</w:t>
            </w:r>
          </w:p>
        </w:tc>
        <w:tc>
          <w:tcPr>
            <w:tcW w:w="5446" w:type="dxa"/>
          </w:tcPr>
          <w:p>
            <w:pPr/>
            <w:r>
              <w:t xml:space="preserve">Repeat send creates no duplicate in the SIEM</w:t>
            </w:r>
          </w:p>
        </w:tc>
      </w:tr>
      <w:tr>
        <w:tc>
          <w:tcPr>
            <w:tcW w:w="3913" w:type="dxa"/>
          </w:tcPr>
          <w:p>
            <w:pPr/>
            <w:r>
              <w:t xml:space="preserve">SIEM outage</w:t>
            </w:r>
          </w:p>
        </w:tc>
        <w:tc>
          <w:tcPr>
            <w:tcW w:w="5446" w:type="dxa"/>
          </w:tcPr>
          <w:p>
            <w:pPr/>
            <w:r>
              <w:t xml:space="preserve">Events queue locally and arrive in order after recovery</w:t>
            </w:r>
          </w:p>
        </w:tc>
      </w:tr>
      <w:tr>
        <w:tc>
          <w:tcPr>
            <w:tcW w:w="3913" w:type="dxa"/>
          </w:tcPr>
          <w:p>
            <w:pPr/>
            <w:r>
              <w:t xml:space="preserve">Directory login</w:t>
            </w:r>
          </w:p>
        </w:tc>
        <w:tc>
          <w:tcPr>
            <w:tcW w:w="5446" w:type="dxa"/>
          </w:tcPr>
          <w:p>
            <w:pPr/>
            <w:r>
              <w:t xml:space="preserve">User signs in, receives the correct role, loses access when removed from the group</w:t>
            </w:r>
          </w:p>
        </w:tc>
      </w:tr>
      <w:tr>
        <w:tc>
          <w:tcPr>
            <w:tcW w:w="3913" w:type="dxa"/>
          </w:tcPr>
          <w:p>
            <w:pPr/>
            <w:r>
              <w:t xml:space="preserve">Directory outage</w:t>
            </w:r>
          </w:p>
        </w:tc>
        <w:tc>
          <w:tcPr>
            <w:tcW w:w="5446" w:type="dxa"/>
          </w:tcPr>
          <w:p>
            <w:pPr/>
            <w:r>
              <w:t xml:space="preserve">Console behaves according to the cache policy</w:t>
            </w:r>
          </w:p>
        </w:tc>
      </w:tr>
      <w:tr>
        <w:tc>
          <w:tcPr>
            <w:tcW w:w="3913" w:type="dxa"/>
          </w:tcPr>
          <w:p>
            <w:pPr/>
            <w:r>
              <w:t xml:space="preserve">Flow ingest per exporter model</w:t>
            </w:r>
          </w:p>
        </w:tc>
        <w:tc>
          <w:tcPr>
            <w:tcW w:w="5446" w:type="dxa"/>
          </w:tcPr>
          <w:p>
            <w:pPr/>
            <w:r>
              <w:t xml:space="preserve">Records parse correctly, counters match the exporter</w:t>
            </w:r>
          </w:p>
        </w:tc>
      </w:tr>
      <w:tr>
        <w:tc>
          <w:tcPr>
            <w:tcW w:w="3913" w:type="dxa"/>
          </w:tcPr>
          <w:p>
            <w:pPr/>
            <w:r>
              <w:t xml:space="preserve">Vulnerability import</w:t>
            </w:r>
          </w:p>
        </w:tc>
        <w:tc>
          <w:tcPr>
            <w:tcW w:w="5446" w:type="dxa"/>
          </w:tcPr>
          <w:p>
            <w:pPr/>
            <w:r>
              <w:t xml:space="preserve">New vulnerable host detected with correct scan date</w:t>
            </w:r>
          </w:p>
        </w:tc>
      </w:tr>
      <w:tr>
        <w:tc>
          <w:tcPr>
            <w:tcW w:w="3913" w:type="dxa"/>
          </w:tcPr>
          <w:p>
            <w:pPr/>
            <w:r>
              <w:t xml:space="preserve">Feed import</w:t>
            </w:r>
          </w:p>
        </w:tc>
        <w:tc>
          <w:tcPr>
            <w:tcW w:w="5446" w:type="dxa"/>
          </w:tcPr>
          <w:p>
            <w:pPr/>
            <w:r>
              <w:t xml:space="preserve">Valid batch imports, tampered batch is rejected, rollback works</w:t>
            </w:r>
          </w:p>
        </w:tc>
      </w:tr>
      <w:tr>
        <w:tc>
          <w:tcPr>
            <w:tcW w:w="3913" w:type="dxa"/>
          </w:tcPr>
          <w:p>
            <w:pPr/>
            <w:r>
              <w:t xml:space="preserve">Sandbox round trip</w:t>
            </w:r>
          </w:p>
        </w:tc>
        <w:tc>
          <w:tcPr>
            <w:tcW w:w="5446" w:type="dxa"/>
          </w:tcPr>
          <w:p>
            <w:pPr/>
            <w:r>
              <w:t xml:space="preserve">Test file submitted, verdict stored and linked to the alert</w:t>
            </w:r>
          </w:p>
        </w:tc>
      </w:tr>
      <w:tr>
        <w:tc>
          <w:tcPr>
            <w:tcW w:w="3913" w:type="dxa"/>
          </w:tcPr>
          <w:p>
            <w:pPr/>
            <w:r>
              <w:t xml:space="preserve">Response action</w:t>
            </w:r>
          </w:p>
        </w:tc>
        <w:tc>
          <w:tcPr>
            <w:tcW w:w="5446" w:type="dxa"/>
          </w:tcPr>
          <w:p>
            <w:pPr/>
            <w:r>
              <w:t xml:space="preserve">Approval required, action applied, rollback tested</w:t>
            </w:r>
          </w:p>
        </w:tc>
      </w:tr>
    </w:tbl>
    <w:p>
      <w:pPr>
        <w:pStyle w:val="Heading2"/>
      </w:pPr>
      <w:r>
        <w:t xml:space="preserve">13. Information to collect from OPTCL</w:t>
      </w:r>
    </w:p>
    <w:p>
      <w:pPr>
        <w:pStyle w:val="ListParagraph"/>
        <w:numPr>
          <w:ilvl w:val="0"/>
          <w:numId w:val="6"/>
        </w:numPr>
      </w:pPr>
      <w:r>
        <w:t xml:space="preserve">Product, version and API details for the SIEM, vulnerability scanner, sandbox, proxy, firewalls, IPS and VPN.</w:t>
      </w:r>
    </w:p>
    <w:p>
      <w:pPr>
        <w:pStyle w:val="ListParagraph"/>
        <w:numPr>
          <w:ilvl w:val="0"/>
          <w:numId w:val="6"/>
        </w:numPr>
      </w:pPr>
      <w:r>
        <w:t xml:space="preserve">Router and switch models and the flow formats they can export.</w:t>
      </w:r>
    </w:p>
    <w:p>
      <w:pPr>
        <w:pStyle w:val="ListParagraph"/>
        <w:numPr>
          <w:ilvl w:val="0"/>
          <w:numId w:val="6"/>
        </w:numPr>
      </w:pPr>
      <w:r>
        <w:t xml:space="preserve">Directory structure, groups for role mapping, and the service account process.</w:t>
      </w:r>
    </w:p>
    <w:p>
      <w:pPr>
        <w:pStyle w:val="ListParagraph"/>
        <w:numPr>
          <w:ilvl w:val="0"/>
          <w:numId w:val="6"/>
        </w:numPr>
      </w:pPr>
      <w:r>
        <w:t xml:space="preserve">Available log sources for user-to-address mapping.</w:t>
      </w:r>
    </w:p>
    <w:p>
      <w:pPr>
        <w:pStyle w:val="ListParagraph"/>
        <w:numPr>
          <w:ilvl w:val="0"/>
          <w:numId w:val="6"/>
        </w:numPr>
      </w:pPr>
      <w:r>
        <w:t xml:space="preserve">Network paths and firewall rules needed for each connector.</w:t>
      </w:r>
    </w:p>
    <w:p>
      <w:pPr>
        <w:pStyle w:val="ListParagraph"/>
        <w:numPr>
          <w:ilvl w:val="0"/>
          <w:numId w:val="6"/>
        </w:numPr>
      </w:pPr>
      <w:r>
        <w:t xml:space="preserve">Owners and change processes for each system that NBAD will touch.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NBAD Integration Specification</dc:title>
  <dc:description>Claude Docs node/3494da93-d6c3@1 docx-w7</dc:description>
  <cp:revision>1</cp:revision>
</cp:coreProperties>
</file>