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System Architecture Specification</w:t>
      </w:r>
    </w:p>
    <w:p>
      <w:pPr/>
      <w:r>
        <w:rPr>
          <w:b/>
        </w:rPr>
        <w:t xml:space="preserve">OPTCL Next Generation SOC &amp; NOC: Network Behaviour Anomaly Detection</w:t>
      </w:r>
    </w:p>
    <w:p>
      <w:pPr/>
      <w:r>
        <w:t xml:space="preserve">Version 0.1 | Companion to the NBAD Project Blueprint | Draft for engineering review</w:t>
      </w:r>
    </w:p>
    <w:p>
      <w:pPr/>
      <w:r>
        <w:rPr>
          <w:i/>
        </w:rPr>
        <w:t xml:space="preserve">Status: Proposed design. Interface choices, latency targets and component counts are starting points to be validated by benchmark. They are not tender figures.</w:t>
      </w:r>
    </w:p>
    <w:p>
      <w:pPr>
        <w:pStyle w:val="Heading2"/>
      </w:pPr>
      <w:r>
        <w:t xml:space="preserve">1. Purpose and scope</w:t>
      </w:r>
    </w:p>
    <w:p>
      <w:pPr/>
      <w:r>
        <w:t xml:space="preserve">This document turns the blueprint’s logical flow into a design the engineering team can build against. It covers the planes of the system, where sensors sit in the network, how components talk to each other, how the platform scales, and the design decisions we have already made. Detailed treatment of schemas, detection logic, sizing, security, integrations and operations lives in the companion documents.</w:t>
      </w:r>
    </w:p>
    <w:p>
      <w:pPr>
        <w:pStyle w:val="Heading2"/>
      </w:pPr>
      <w:r>
        <w:t xml:space="preserve">2. Design principles</w:t>
      </w:r>
    </w:p>
    <w:p>
      <w:pPr>
        <w:pStyle w:val="ListParagraph"/>
        <w:numPr>
          <w:ilvl w:val="0"/>
          <w:numId w:val="2"/>
        </w:numPr>
      </w:pPr>
      <w:r>
        <w:rPr>
          <w:b/>
        </w:rPr>
        <w:t xml:space="preserve">Passive first.</w:t>
      </w:r>
      <w:r>
        <w:t xml:space="preserve"> Collection never sits in the traffic path. A sensor failure must not break production traffic.</w:t>
      </w:r>
    </w:p>
    <w:p>
      <w:pPr>
        <w:pStyle w:val="ListParagraph"/>
        <w:numPr>
          <w:ilvl w:val="0"/>
          <w:numId w:val="2"/>
        </w:numPr>
      </w:pPr>
      <w:r>
        <w:rPr>
          <w:b/>
        </w:rPr>
        <w:t xml:space="preserve">Decouple with durable buffers.</w:t>
      </w:r>
      <w:r>
        <w:t xml:space="preserve"> Collection, processing and storage are separated by a replayable queue so a slow consumer cannot cause capture loss.</w:t>
      </w:r>
    </w:p>
    <w:p>
      <w:pPr>
        <w:pStyle w:val="ListParagraph"/>
        <w:numPr>
          <w:ilvl w:val="0"/>
          <w:numId w:val="2"/>
        </w:numPr>
      </w:pPr>
      <w:r>
        <w:rPr>
          <w:b/>
        </w:rPr>
        <w:t xml:space="preserve">Separate data classes.</w:t>
      </w:r>
      <w:r>
        <w:t xml:space="preserve"> Raw packets, searchable flow/event data, and model state have different write patterns and live in different stores.</w:t>
      </w:r>
    </w:p>
    <w:p>
      <w:pPr>
        <w:pStyle w:val="ListParagraph"/>
        <w:numPr>
          <w:ilvl w:val="0"/>
          <w:numId w:val="2"/>
        </w:numPr>
      </w:pPr>
      <w:r>
        <w:rPr>
          <w:b/>
        </w:rPr>
        <w:t xml:space="preserve">Explainable detection.</w:t>
      </w:r>
      <w:r>
        <w:t xml:space="preserve"> Every alert carries the evidence and the rule or model version that produced it.</w:t>
      </w:r>
    </w:p>
    <w:p>
      <w:pPr>
        <w:pStyle w:val="ListParagraph"/>
        <w:numPr>
          <w:ilvl w:val="0"/>
          <w:numId w:val="2"/>
        </w:numPr>
      </w:pPr>
      <w:r>
        <w:rPr>
          <w:b/>
        </w:rPr>
        <w:t xml:space="preserve">Control plane apart from data plane.</w:t>
      </w:r>
      <w:r>
        <w:t xml:space="preserve"> Configuration and user access must keep working while the data path is under load, and the reverse.</w:t>
      </w:r>
    </w:p>
    <w:p>
      <w:pPr>
        <w:pStyle w:val="ListParagraph"/>
        <w:numPr>
          <w:ilvl w:val="0"/>
          <w:numId w:val="2"/>
        </w:numPr>
      </w:pPr>
      <w:r>
        <w:rPr>
          <w:b/>
        </w:rPr>
        <w:t xml:space="preserve">Nothing leaves the premises by default.</w:t>
      </w:r>
      <w:r>
        <w:t xml:space="preserve"> Every external dependency is treated as a defect until approved.</w:t>
      </w:r>
    </w:p>
    <w:p>
      <w:pPr>
        <w:pStyle w:val="ListParagraph"/>
        <w:numPr>
          <w:ilvl w:val="0"/>
          <w:numId w:val="2"/>
        </w:numPr>
      </w:pPr>
      <w:r>
        <w:rPr>
          <w:b/>
        </w:rPr>
        <w:t xml:space="preserve">Measure, then size.</w:t>
      </w:r>
      <w:r>
        <w:t xml:space="preserve"> No hardware or cluster size is final until traffic is measured and a benchmark has passed.</w:t>
      </w:r>
    </w:p>
    <w:p>
      <w:pPr>
        <w:pStyle w:val="Heading2"/>
      </w:pPr>
      <w:r>
        <w:t xml:space="preserve">3. Logical view: four planes</w:t>
      </w:r>
    </w:p>
    <w:tbl>
      <w:tblPr>
        <w:tblStyle w:val="TableGrid"/>
        <w:tblW w:w="0" w:type="auto"/>
        <w:tblLayout w:type="fixed"/>
        <w:tblLook w:val="04A0" w:firstRow="1" w:lastRow="0" w:firstColumn="0" w:lastColumn="0" w:noHBand="0" w:noVBand="1"/>
      </w:tblPr>
      <w:tblGrid>
        <w:gridCol w:w="2190"/>
        <w:gridCol w:w="4913"/>
        <w:gridCol w:w="2257"/>
      </w:tblGrid>
      <w:tr>
        <w:trPr>
          <w:tblHeader/>
        </w:trPr>
        <w:tc>
          <w:tcPr>
            <w:tcW w:w="2190" w:type="dxa"/>
            <w:shd w:val="clear" w:color="auto" w:fill="F2F2F2"/>
          </w:tcPr>
          <w:p>
            <w:pPr/>
            <w:r>
              <w:t xml:space="preserve">Plane</w:t>
            </w:r>
          </w:p>
        </w:tc>
        <w:tc>
          <w:tcPr>
            <w:tcW w:w="4913" w:type="dxa"/>
            <w:shd w:val="clear" w:color="auto" w:fill="F2F2F2"/>
          </w:tcPr>
          <w:p>
            <w:pPr/>
            <w:r>
              <w:t xml:space="preserve">Contents</w:t>
            </w:r>
          </w:p>
        </w:tc>
        <w:tc>
          <w:tcPr>
            <w:tcW w:w="2257" w:type="dxa"/>
            <w:shd w:val="clear" w:color="auto" w:fill="F2F2F2"/>
          </w:tcPr>
          <w:p>
            <w:pPr/>
            <w:r>
              <w:t xml:space="preserve">Main concern</w:t>
            </w:r>
          </w:p>
        </w:tc>
      </w:tr>
      <w:tr>
        <w:tc>
          <w:tcPr>
            <w:tcW w:w="2190" w:type="dxa"/>
          </w:tcPr>
          <w:p>
            <w:pPr/>
            <w:r>
              <w:t xml:space="preserve">Data plane</w:t>
            </w:r>
          </w:p>
        </w:tc>
        <w:tc>
          <w:tcPr>
            <w:tcW w:w="4913" w:type="dxa"/>
          </w:tcPr>
          <w:p>
            <w:pPr/>
            <w:r>
              <w:t xml:space="preserve">Packet sensors, flow collectors, ingest queue, normalization, enrichment, detection workers</w:t>
            </w:r>
          </w:p>
        </w:tc>
        <w:tc>
          <w:tcPr>
            <w:tcW w:w="2257" w:type="dxa"/>
          </w:tcPr>
          <w:p>
            <w:pPr/>
            <w:r>
              <w:t xml:space="preserve">Throughput, loss, latency</w:t>
            </w:r>
          </w:p>
        </w:tc>
      </w:tr>
      <w:tr>
        <w:tc>
          <w:tcPr>
            <w:tcW w:w="2190" w:type="dxa"/>
          </w:tcPr>
          <w:p>
            <w:pPr/>
            <w:r>
              <w:t xml:space="preserve">Storage plane</w:t>
            </w:r>
          </w:p>
        </w:tc>
        <w:tc>
          <w:tcPr>
            <w:tcW w:w="4913" w:type="dxa"/>
          </w:tcPr>
          <w:p>
            <w:pPr/>
            <w:r>
              <w:t xml:space="preserve">Flow/event index, packet archive, packet/session metadata, baseline and model store</w:t>
            </w:r>
          </w:p>
        </w:tc>
        <w:tc>
          <w:tcPr>
            <w:tcW w:w="2257" w:type="dxa"/>
          </w:tcPr>
          <w:p>
            <w:pPr/>
            <w:r>
              <w:t xml:space="preserve">Write rate, retention, retrieval speed</w:t>
            </w:r>
          </w:p>
        </w:tc>
      </w:tr>
      <w:tr>
        <w:tc>
          <w:tcPr>
            <w:tcW w:w="2190" w:type="dxa"/>
          </w:tcPr>
          <w:p>
            <w:pPr/>
            <w:r>
              <w:t xml:space="preserve">Application plane</w:t>
            </w:r>
          </w:p>
        </w:tc>
        <w:tc>
          <w:tcPr>
            <w:tcW w:w="4913" w:type="dxa"/>
          </w:tcPr>
          <w:p>
            <w:pPr/>
            <w:r>
              <w:t xml:space="preserve">Analyst console, API, incident service, reporting, rule and policy management</w:t>
            </w:r>
          </w:p>
        </w:tc>
        <w:tc>
          <w:tcPr>
            <w:tcW w:w="2257" w:type="dxa"/>
          </w:tcPr>
          <w:p>
            <w:pPr/>
            <w:r>
              <w:t xml:space="preserve">Responsiveness, RBAC, evidence linking</w:t>
            </w:r>
          </w:p>
        </w:tc>
      </w:tr>
      <w:tr>
        <w:tc>
          <w:tcPr>
            <w:tcW w:w="2190" w:type="dxa"/>
          </w:tcPr>
          <w:p>
            <w:pPr/>
            <w:r>
              <w:t xml:space="preserve">Management plane</w:t>
            </w:r>
          </w:p>
        </w:tc>
        <w:tc>
          <w:tcPr>
            <w:tcW w:w="4913" w:type="dxa"/>
          </w:tcPr>
          <w:p>
            <w:pPr/>
            <w:r>
              <w:t xml:space="preserve">Monitoring, logging, audit, backup, patching, offline package repository, time service, secrets</w:t>
            </w:r>
          </w:p>
        </w:tc>
        <w:tc>
          <w:tcPr>
            <w:tcW w:w="2257" w:type="dxa"/>
          </w:tcPr>
          <w:p>
            <w:pPr/>
            <w:r>
              <w:t xml:space="preserve">Availability, recoverability, auditability</w:t>
            </w:r>
          </w:p>
        </w:tc>
      </w:tr>
    </w:tbl>
    <w:p>
      <w:pPr>
        <w:pStyle w:val="Heading2"/>
      </w:pPr>
      <w:r>
        <w:t xml:space="preserve">4. Deployment view</w:t>
      </w:r>
    </w:p>
    <w:p>
      <w:pPr>
        <w:pStyle w:val="Heading3"/>
      </w:pPr>
      <w:r>
        <w:t xml:space="preserve">4.1 Observation points</w:t>
      </w:r>
    </w:p>
    <w:p>
      <w:pPr/>
      <w:r>
        <w:t xml:space="preserve">The table below is a starting model. The real list depends on the network map we have not received yet.</w:t>
      </w:r>
    </w:p>
    <w:tbl>
      <w:tblPr>
        <w:tblStyle w:val="TableGrid"/>
        <w:tblW w:w="0" w:type="auto"/>
        <w:tblLayout w:type="fixed"/>
        <w:tblLook w:val="04A0" w:firstRow="1" w:lastRow="0" w:firstColumn="0" w:lastColumn="0" w:noHBand="0" w:noVBand="1"/>
      </w:tblPr>
      <w:tblGrid>
        <w:gridCol w:w="1629"/>
        <w:gridCol w:w="2093"/>
        <w:gridCol w:w="2671"/>
        <w:gridCol w:w="2967"/>
      </w:tblGrid>
      <w:tr>
        <w:trPr>
          <w:tblHeader/>
        </w:trPr>
        <w:tc>
          <w:tcPr>
            <w:tcW w:w="1629" w:type="dxa"/>
            <w:shd w:val="clear" w:color="auto" w:fill="F2F2F2"/>
          </w:tcPr>
          <w:p>
            <w:pPr/>
            <w:r>
              <w:t xml:space="preserve">Observation point</w:t>
            </w:r>
          </w:p>
        </w:tc>
        <w:tc>
          <w:tcPr>
            <w:tcW w:w="2093" w:type="dxa"/>
            <w:shd w:val="clear" w:color="auto" w:fill="F2F2F2"/>
          </w:tcPr>
          <w:p>
            <w:pPr/>
            <w:r>
              <w:t xml:space="preserve">Traffic of interest</w:t>
            </w:r>
          </w:p>
        </w:tc>
        <w:tc>
          <w:tcPr>
            <w:tcW w:w="2671" w:type="dxa"/>
            <w:shd w:val="clear" w:color="auto" w:fill="F2F2F2"/>
          </w:tcPr>
          <w:p>
            <w:pPr/>
            <w:r>
              <w:t xml:space="preserve">Collection method</w:t>
            </w:r>
          </w:p>
        </w:tc>
        <w:tc>
          <w:tcPr>
            <w:tcW w:w="2967" w:type="dxa"/>
            <w:shd w:val="clear" w:color="auto" w:fill="F2F2F2"/>
          </w:tcPr>
          <w:p>
            <w:pPr/>
            <w:r>
              <w:t xml:space="preserve">Notes</w:t>
            </w:r>
          </w:p>
        </w:tc>
      </w:tr>
      <w:tr>
        <w:tc>
          <w:tcPr>
            <w:tcW w:w="1629" w:type="dxa"/>
          </w:tcPr>
          <w:p>
            <w:pPr/>
            <w:r>
              <w:t xml:space="preserve">Internet edge at the DC</w:t>
            </w:r>
          </w:p>
        </w:tc>
        <w:tc>
          <w:tcPr>
            <w:tcW w:w="2093" w:type="dxa"/>
          </w:tcPr>
          <w:p>
            <w:pPr/>
            <w:r>
              <w:t xml:space="preserve">North-south Internet traffic (the 512 Mbps requirement)</w:t>
            </w:r>
          </w:p>
        </w:tc>
        <w:tc>
          <w:tcPr>
            <w:tcW w:w="2671" w:type="dxa"/>
          </w:tcPr>
          <w:p>
            <w:pPr/>
            <w:r>
              <w:t xml:space="preserve">TAP preferred, SPAN as fallback, plus flow export from edge router or firewall</w:t>
            </w:r>
          </w:p>
        </w:tc>
        <w:tc>
          <w:tcPr>
            <w:tcW w:w="2967" w:type="dxa"/>
          </w:tcPr>
          <w:p>
            <w:pPr/>
            <w:r>
              <w:t xml:space="preserve">Capture on the inside of NAT if possible, otherwise collect NAT logs, or internal hosts cannot be identified.</w:t>
            </w:r>
          </w:p>
        </w:tc>
      </w:tr>
      <w:tr>
        <w:tc>
          <w:tcPr>
            <w:tcW w:w="1629" w:type="dxa"/>
          </w:tcPr>
          <w:p>
            <w:pPr/>
            <w:r>
              <w:t xml:space="preserve">DC core / distribution</w:t>
            </w:r>
          </w:p>
        </w:tc>
        <w:tc>
          <w:tcPr>
            <w:tcW w:w="2093" w:type="dxa"/>
          </w:tcPr>
          <w:p>
            <w:pPr/>
            <w:r>
              <w:t xml:space="preserve">East-west traffic between server segments</w:t>
            </w:r>
          </w:p>
        </w:tc>
        <w:tc>
          <w:tcPr>
            <w:tcW w:w="2671" w:type="dxa"/>
          </w:tcPr>
          <w:p>
            <w:pPr/>
            <w:r>
              <w:t xml:space="preserve">TAP or SPAN on core uplinks, plus flow export</w:t>
            </w:r>
          </w:p>
        </w:tc>
        <w:tc>
          <w:tcPr>
            <w:tcW w:w="2967" w:type="dxa"/>
          </w:tcPr>
          <w:p>
            <w:pPr/>
            <w:r>
              <w:t xml:space="preserve">Watch SPAN oversubscription on busy links.</w:t>
            </w:r>
          </w:p>
        </w:tc>
      </w:tr>
      <w:tr>
        <w:tc>
          <w:tcPr>
            <w:tcW w:w="1629" w:type="dxa"/>
          </w:tcPr>
          <w:p>
            <w:pPr/>
            <w:r>
              <w:t xml:space="preserve">DMZ and server farms</w:t>
            </w:r>
          </w:p>
        </w:tc>
        <w:tc>
          <w:tcPr>
            <w:tcW w:w="2093" w:type="dxa"/>
          </w:tcPr>
          <w:p>
            <w:pPr/>
            <w:r>
              <w:t xml:space="preserve">Traffic to and from published services</w:t>
            </w:r>
          </w:p>
        </w:tc>
        <w:tc>
          <w:tcPr>
            <w:tcW w:w="2671" w:type="dxa"/>
          </w:tcPr>
          <w:p>
            <w:pPr/>
            <w:r>
              <w:t xml:space="preserve">SPAN/TAP, flow export</w:t>
            </w:r>
          </w:p>
        </w:tc>
        <w:tc>
          <w:tcPr>
            <w:tcW w:w="2967" w:type="dxa"/>
          </w:tcPr>
          <w:p>
            <w:pPr/>
            <w:r>
              <w:t xml:space="preserve">Useful for scanning, unexpected services and worm spread.</w:t>
            </w:r>
          </w:p>
        </w:tc>
      </w:tr>
      <w:tr>
        <w:tc>
          <w:tcPr>
            <w:tcW w:w="1629" w:type="dxa"/>
          </w:tcPr>
          <w:p>
            <w:pPr/>
            <w:r>
              <w:t xml:space="preserve">Main LDC</w:t>
            </w:r>
          </w:p>
        </w:tc>
        <w:tc>
          <w:tcPr>
            <w:tcW w:w="2093" w:type="dxa"/>
          </w:tcPr>
          <w:p>
            <w:pPr/>
            <w:r>
              <w:t xml:space="preserve">Local user and server traffic</w:t>
            </w:r>
          </w:p>
        </w:tc>
        <w:tc>
          <w:tcPr>
            <w:tcW w:w="2671" w:type="dxa"/>
          </w:tcPr>
          <w:p>
            <w:pPr/>
            <w:r>
              <w:t xml:space="preserve">Flow export, sensor where link rate justifies it</w:t>
            </w:r>
          </w:p>
        </w:tc>
        <w:tc>
          <w:tcPr>
            <w:tcW w:w="2967" w:type="dxa"/>
          </w:tcPr>
          <w:p>
            <w:pPr/>
            <w:r>
              <w:t xml:space="preserve">Decide packet vs flow-only per link.</w:t>
            </w:r>
          </w:p>
        </w:tc>
      </w:tr>
      <w:tr>
        <w:tc>
          <w:tcPr>
            <w:tcW w:w="1629" w:type="dxa"/>
          </w:tcPr>
          <w:p>
            <w:pPr/>
            <w:r>
              <w:t xml:space="preserve">SLDC sites</w:t>
            </w:r>
          </w:p>
        </w:tc>
        <w:tc>
          <w:tcPr>
            <w:tcW w:w="2093" w:type="dxa"/>
          </w:tcPr>
          <w:p>
            <w:pPr/>
            <w:r>
              <w:t xml:space="preserve">WAN uplinks and local segments</w:t>
            </w:r>
          </w:p>
        </w:tc>
        <w:tc>
          <w:tcPr>
            <w:tcW w:w="2671" w:type="dxa"/>
          </w:tcPr>
          <w:p>
            <w:pPr/>
            <w:r>
              <w:t xml:space="preserve">Flow export from site routers, sensor only where needed</w:t>
            </w:r>
          </w:p>
        </w:tc>
        <w:tc>
          <w:tcPr>
            <w:tcW w:w="2967" w:type="dxa"/>
          </w:tcPr>
          <w:p>
            <w:pPr/>
            <w:r>
              <w:t xml:space="preserve">Raw packet capture at every small site is rarely worth the cost. Confirm with OPTCL.</w:t>
            </w:r>
          </w:p>
        </w:tc>
      </w:tr>
      <w:tr>
        <w:tc>
          <w:tcPr>
            <w:tcW w:w="1629" w:type="dxa"/>
          </w:tcPr>
          <w:p>
            <w:pPr/>
            <w:r>
              <w:t xml:space="preserve">Virtual environments</w:t>
            </w:r>
          </w:p>
        </w:tc>
        <w:tc>
          <w:tcPr>
            <w:tcW w:w="2093" w:type="dxa"/>
          </w:tcPr>
          <w:p>
            <w:pPr/>
            <w:r>
              <w:t xml:space="preserve">VM-to-VM traffic that never touches a physical switch</w:t>
            </w:r>
          </w:p>
        </w:tc>
        <w:tc>
          <w:tcPr>
            <w:tcW w:w="2671" w:type="dxa"/>
          </w:tcPr>
          <w:p>
            <w:pPr/>
            <w:r>
              <w:t xml:space="preserve">Virtual switch mirroring, ERSPAN or a sensor VM, plus hypervisor flow export</w:t>
            </w:r>
          </w:p>
        </w:tc>
        <w:tc>
          <w:tcPr>
            <w:tcW w:w="2967" w:type="dxa"/>
          </w:tcPr>
          <w:p>
            <w:pPr/>
            <w:r>
              <w:t xml:space="preserve">Depends on the hypervisor product, which is unknown.</w:t>
            </w:r>
          </w:p>
        </w:tc>
      </w:tr>
    </w:tbl>
    <w:p>
      <w:pPr>
        <w:pStyle w:val="Heading3"/>
      </w:pPr>
      <w:r>
        <w:t xml:space="preserve">4.2 Zone model</w:t>
      </w:r>
    </w:p>
    <w:p>
      <w:pPr/>
      <w:r>
        <w:t xml:space="preserve">The tender requires monitoring of at least three separate zones. As a working assumption we model them as (1) Internet edge and DMZ, (2) data center and server zones, (3) internal users and SLDC sites. OPTCL must confirm the real zone definition. Every sensor, exporter, subnet and asset record carries a zone tag so dashboards, thresholds and baselines can be scoped per zone.</w:t>
      </w:r>
    </w:p>
    <w:p>
      <w:pPr>
        <w:pStyle w:val="Heading3"/>
      </w:pPr>
      <w:r>
        <w:t xml:space="preserve">4.3 Network segments for the platform itself</w:t>
      </w:r>
    </w:p>
    <w:tbl>
      <w:tblPr>
        <w:tblStyle w:val="TableGrid"/>
        <w:tblW w:w="0" w:type="auto"/>
        <w:tblLayout w:type="fixed"/>
        <w:tblLook w:val="04A0" w:firstRow="1" w:lastRow="0" w:firstColumn="0" w:lastColumn="0" w:noHBand="0" w:noVBand="1"/>
      </w:tblPr>
      <w:tblGrid>
        <w:gridCol w:w="2147"/>
        <w:gridCol w:w="4005"/>
        <w:gridCol w:w="3208"/>
      </w:tblGrid>
      <w:tr>
        <w:trPr>
          <w:tblHeader/>
        </w:trPr>
        <w:tc>
          <w:tcPr>
            <w:tcW w:w="2147" w:type="dxa"/>
            <w:shd w:val="clear" w:color="auto" w:fill="F2F2F2"/>
          </w:tcPr>
          <w:p>
            <w:pPr/>
            <w:r>
              <w:t xml:space="preserve">Segment</w:t>
            </w:r>
          </w:p>
        </w:tc>
        <w:tc>
          <w:tcPr>
            <w:tcW w:w="4005" w:type="dxa"/>
            <w:shd w:val="clear" w:color="auto" w:fill="F2F2F2"/>
          </w:tcPr>
          <w:p>
            <w:pPr/>
            <w:r>
              <w:t xml:space="preserve">Purpose</w:t>
            </w:r>
          </w:p>
        </w:tc>
        <w:tc>
          <w:tcPr>
            <w:tcW w:w="3208" w:type="dxa"/>
            <w:shd w:val="clear" w:color="auto" w:fill="F2F2F2"/>
          </w:tcPr>
          <w:p>
            <w:pPr/>
            <w:r>
              <w:t xml:space="preserve">Rules</w:t>
            </w:r>
          </w:p>
        </w:tc>
      </w:tr>
      <w:tr>
        <w:tc>
          <w:tcPr>
            <w:tcW w:w="2147" w:type="dxa"/>
          </w:tcPr>
          <w:p>
            <w:pPr/>
            <w:r>
              <w:t xml:space="preserve">Capture</w:t>
            </w:r>
          </w:p>
        </w:tc>
        <w:tc>
          <w:tcPr>
            <w:tcW w:w="4005" w:type="dxa"/>
          </w:tcPr>
          <w:p>
            <w:pPr/>
            <w:r>
              <w:t xml:space="preserve">Receives mirrored traffic on sensor capture NICs</w:t>
            </w:r>
          </w:p>
        </w:tc>
        <w:tc>
          <w:tcPr>
            <w:tcW w:w="3208" w:type="dxa"/>
          </w:tcPr>
          <w:p>
            <w:pPr/>
            <w:r>
              <w:t xml:space="preserve">Receive-only, no IP address, no route out</w:t>
            </w:r>
          </w:p>
        </w:tc>
      </w:tr>
      <w:tr>
        <w:tc>
          <w:tcPr>
            <w:tcW w:w="2147" w:type="dxa"/>
          </w:tcPr>
          <w:p>
            <w:pPr/>
            <w:r>
              <w:t xml:space="preserve">Ingest/data</w:t>
            </w:r>
          </w:p>
        </w:tc>
        <w:tc>
          <w:tcPr>
            <w:tcW w:w="4005" w:type="dxa"/>
          </w:tcPr>
          <w:p>
            <w:pPr/>
            <w:r>
              <w:t xml:space="preserve">Sensor to queue to workers to storage</w:t>
            </w:r>
          </w:p>
        </w:tc>
        <w:tc>
          <w:tcPr>
            <w:tcW w:w="3208" w:type="dxa"/>
          </w:tcPr>
          <w:p>
            <w:pPr/>
            <w:r>
              <w:t xml:space="preserve">East-west only, mutually authenticated TLS</w:t>
            </w:r>
          </w:p>
        </w:tc>
      </w:tr>
      <w:tr>
        <w:tc>
          <w:tcPr>
            <w:tcW w:w="2147" w:type="dxa"/>
          </w:tcPr>
          <w:p>
            <w:pPr/>
            <w:r>
              <w:t xml:space="preserve">Storage</w:t>
            </w:r>
          </w:p>
        </w:tc>
        <w:tc>
          <w:tcPr>
            <w:tcW w:w="4005" w:type="dxa"/>
          </w:tcPr>
          <w:p>
            <w:pPr/>
            <w:r>
              <w:t xml:space="preserve">Replication and recovery traffic between storage nodes</w:t>
            </w:r>
          </w:p>
        </w:tc>
        <w:tc>
          <w:tcPr>
            <w:tcW w:w="3208" w:type="dxa"/>
          </w:tcPr>
          <w:p>
            <w:pPr/>
            <w:r>
              <w:t xml:space="preserve">Isolated, high bandwidth</w:t>
            </w:r>
          </w:p>
        </w:tc>
      </w:tr>
      <w:tr>
        <w:tc>
          <w:tcPr>
            <w:tcW w:w="2147" w:type="dxa"/>
          </w:tcPr>
          <w:p>
            <w:pPr/>
            <w:r>
              <w:t xml:space="preserve">Management/OOB</w:t>
            </w:r>
          </w:p>
        </w:tc>
        <w:tc>
          <w:tcPr>
            <w:tcW w:w="4005" w:type="dxa"/>
          </w:tcPr>
          <w:p>
            <w:pPr/>
            <w:r>
              <w:t xml:space="preserve">Admin access, monitoring, patching, backup</w:t>
            </w:r>
          </w:p>
        </w:tc>
        <w:tc>
          <w:tcPr>
            <w:tcW w:w="3208" w:type="dxa"/>
          </w:tcPr>
          <w:p>
            <w:pPr/>
            <w:r>
              <w:t xml:space="preserve">Jump host only, MFA where supported</w:t>
            </w:r>
          </w:p>
        </w:tc>
      </w:tr>
      <w:tr>
        <w:tc>
          <w:tcPr>
            <w:tcW w:w="2147" w:type="dxa"/>
          </w:tcPr>
          <w:p>
            <w:pPr/>
            <w:r>
              <w:t xml:space="preserve">Analyst access</w:t>
            </w:r>
          </w:p>
        </w:tc>
        <w:tc>
          <w:tcPr>
            <w:tcW w:w="4005" w:type="dxa"/>
          </w:tcPr>
          <w:p>
            <w:pPr/>
            <w:r>
              <w:t xml:space="preserve">Console and API for SOC users</w:t>
            </w:r>
          </w:p>
        </w:tc>
        <w:tc>
          <w:tcPr>
            <w:tcW w:w="3208" w:type="dxa"/>
          </w:tcPr>
          <w:p>
            <w:pPr/>
            <w:r>
              <w:t xml:space="preserve">Reverse-proxied, RBAC, audited</w:t>
            </w:r>
          </w:p>
        </w:tc>
      </w:tr>
      <w:tr>
        <w:tc>
          <w:tcPr>
            <w:tcW w:w="2147" w:type="dxa"/>
          </w:tcPr>
          <w:p>
            <w:pPr/>
            <w:r>
              <w:t xml:space="preserve">Integration</w:t>
            </w:r>
          </w:p>
        </w:tc>
        <w:tc>
          <w:tcPr>
            <w:tcW w:w="4005" w:type="dxa"/>
          </w:tcPr>
          <w:p>
            <w:pPr/>
            <w:r>
              <w:t xml:space="preserve">Links to SIEM, AD/LDAP, firewalls, sandbox</w:t>
            </w:r>
          </w:p>
        </w:tc>
        <w:tc>
          <w:tcPr>
            <w:tcW w:w="3208" w:type="dxa"/>
          </w:tcPr>
          <w:p>
            <w:pPr/>
            <w:r>
              <w:t xml:space="preserve">Allow-listed per integration</w:t>
            </w:r>
          </w:p>
        </w:tc>
      </w:tr>
    </w:tbl>
    <w:p>
      <w:pPr>
        <w:pStyle w:val="Heading2"/>
      </w:pPr>
      <w:r>
        <w:t xml:space="preserve">5. Interfaces between components</w:t>
      </w:r>
    </w:p>
    <w:tbl>
      <w:tblPr>
        <w:tblStyle w:val="TableGrid"/>
        <w:tblW w:w="0" w:type="auto"/>
        <w:tblLayout w:type="fixed"/>
        <w:tblLook w:val="04A0" w:firstRow="1" w:lastRow="0" w:firstColumn="0" w:lastColumn="0" w:noHBand="0" w:noVBand="1"/>
      </w:tblPr>
      <w:tblGrid>
        <w:gridCol w:w="1359"/>
        <w:gridCol w:w="1707"/>
        <w:gridCol w:w="2899"/>
        <w:gridCol w:w="3395"/>
      </w:tblGrid>
      <w:tr>
        <w:trPr>
          <w:tblHeader/>
        </w:trPr>
        <w:tc>
          <w:tcPr>
            <w:tcW w:w="1359" w:type="dxa"/>
            <w:shd w:val="clear" w:color="auto" w:fill="F2F2F2"/>
          </w:tcPr>
          <w:p>
            <w:pPr/>
            <w:r>
              <w:t xml:space="preserve">From</w:t>
            </w:r>
          </w:p>
        </w:tc>
        <w:tc>
          <w:tcPr>
            <w:tcW w:w="1707" w:type="dxa"/>
            <w:shd w:val="clear" w:color="auto" w:fill="F2F2F2"/>
          </w:tcPr>
          <w:p>
            <w:pPr/>
            <w:r>
              <w:t xml:space="preserve">To</w:t>
            </w:r>
          </w:p>
        </w:tc>
        <w:tc>
          <w:tcPr>
            <w:tcW w:w="2899" w:type="dxa"/>
            <w:shd w:val="clear" w:color="auto" w:fill="F2F2F2"/>
          </w:tcPr>
          <w:p>
            <w:pPr/>
            <w:r>
              <w:t xml:space="preserve">Method</w:t>
            </w:r>
          </w:p>
        </w:tc>
        <w:tc>
          <w:tcPr>
            <w:tcW w:w="3395" w:type="dxa"/>
            <w:shd w:val="clear" w:color="auto" w:fill="F2F2F2"/>
          </w:tcPr>
          <w:p>
            <w:pPr/>
            <w:r>
              <w:t xml:space="preserve">Notes</w:t>
            </w:r>
          </w:p>
        </w:tc>
      </w:tr>
      <w:tr>
        <w:tc>
          <w:tcPr>
            <w:tcW w:w="1359" w:type="dxa"/>
          </w:tcPr>
          <w:p>
            <w:pPr/>
            <w:r>
              <w:t xml:space="preserve">Routers, switches, firewalls</w:t>
            </w:r>
          </w:p>
        </w:tc>
        <w:tc>
          <w:tcPr>
            <w:tcW w:w="1707" w:type="dxa"/>
          </w:tcPr>
          <w:p>
            <w:pPr/>
            <w:r>
              <w:t xml:space="preserve">Flow collectors</w:t>
            </w:r>
          </w:p>
        </w:tc>
        <w:tc>
          <w:tcPr>
            <w:tcW w:w="2899" w:type="dxa"/>
          </w:tcPr>
          <w:p>
            <w:pPr/>
            <w:r>
              <w:t xml:space="preserve">NetFlow v5/v9, IPFIX, sFlow over UDP (common ports 2055, 4739, 6343)</w:t>
            </w:r>
          </w:p>
        </w:tc>
        <w:tc>
          <w:tcPr>
            <w:tcW w:w="3395" w:type="dxa"/>
          </w:tcPr>
          <w:p>
            <w:pPr/>
            <w:r>
              <w:t xml:space="preserve">Confirm which versions each exporter supports.</w:t>
            </w:r>
          </w:p>
        </w:tc>
      </w:tr>
      <w:tr>
        <w:tc>
          <w:tcPr>
            <w:tcW w:w="1359" w:type="dxa"/>
          </w:tcPr>
          <w:p>
            <w:pPr/>
            <w:r>
              <w:t xml:space="preserve">Packet sensor</w:t>
            </w:r>
          </w:p>
        </w:tc>
        <w:tc>
          <w:tcPr>
            <w:tcW w:w="1707" w:type="dxa"/>
          </w:tcPr>
          <w:p>
            <w:pPr/>
            <w:r>
              <w:t xml:space="preserve">Ingest queue</w:t>
            </w:r>
          </w:p>
        </w:tc>
        <w:tc>
          <w:tcPr>
            <w:tcW w:w="2899" w:type="dxa"/>
          </w:tcPr>
          <w:p>
            <w:pPr/>
            <w:r>
              <w:t xml:space="preserve">Queue client protocol or gRPC over TLS</w:t>
            </w:r>
          </w:p>
        </w:tc>
        <w:tc>
          <w:tcPr>
            <w:tcW w:w="3395" w:type="dxa"/>
          </w:tcPr>
          <w:p>
            <w:pPr/>
            <w:r>
              <w:t xml:space="preserve">Sensors buffer locally if the queue is unreachable.</w:t>
            </w:r>
          </w:p>
        </w:tc>
      </w:tr>
      <w:tr>
        <w:tc>
          <w:tcPr>
            <w:tcW w:w="1359" w:type="dxa"/>
          </w:tcPr>
          <w:p>
            <w:pPr/>
            <w:r>
              <w:t xml:space="preserve">Packet sensor</w:t>
            </w:r>
          </w:p>
        </w:tc>
        <w:tc>
          <w:tcPr>
            <w:tcW w:w="1707" w:type="dxa"/>
          </w:tcPr>
          <w:p>
            <w:pPr/>
            <w:r>
              <w:t xml:space="preserve">Packet archive</w:t>
            </w:r>
          </w:p>
        </w:tc>
        <w:tc>
          <w:tcPr>
            <w:tcW w:w="2899" w:type="dxa"/>
          </w:tcPr>
          <w:p>
            <w:pPr/>
            <w:r>
              <w:t xml:space="preserve">Local write, then controlled sync to archive nodes</w:t>
            </w:r>
          </w:p>
        </w:tc>
        <w:tc>
          <w:tcPr>
            <w:tcW w:w="3395" w:type="dxa"/>
          </w:tcPr>
          <w:p>
            <w:pPr/>
            <w:r>
              <w:t xml:space="preserve">Index entries point to file and offset.</w:t>
            </w:r>
          </w:p>
        </w:tc>
      </w:tr>
      <w:tr>
        <w:tc>
          <w:tcPr>
            <w:tcW w:w="1359" w:type="dxa"/>
          </w:tcPr>
          <w:p>
            <w:pPr/>
            <w:r>
              <w:t xml:space="preserve">Flow collector</w:t>
            </w:r>
          </w:p>
        </w:tc>
        <w:tc>
          <w:tcPr>
            <w:tcW w:w="1707" w:type="dxa"/>
          </w:tcPr>
          <w:p>
            <w:pPr/>
            <w:r>
              <w:t xml:space="preserve">Ingest queue</w:t>
            </w:r>
          </w:p>
        </w:tc>
        <w:tc>
          <w:tcPr>
            <w:tcW w:w="2899" w:type="dxa"/>
          </w:tcPr>
          <w:p>
            <w:pPr/>
            <w:r>
              <w:t xml:space="preserve">Queue client protocol over TLS</w:t>
            </w:r>
          </w:p>
        </w:tc>
        <w:tc>
          <w:tcPr>
            <w:tcW w:w="3395" w:type="dxa"/>
          </w:tcPr>
          <w:p>
            <w:pPr/>
            <w:r>
              <w:t xml:space="preserve">Sequence gaps reported as health metrics.</w:t>
            </w:r>
          </w:p>
        </w:tc>
      </w:tr>
      <w:tr>
        <w:tc>
          <w:tcPr>
            <w:tcW w:w="1359" w:type="dxa"/>
          </w:tcPr>
          <w:p>
            <w:pPr/>
            <w:r>
              <w:t xml:space="preserve">Ingest queue</w:t>
            </w:r>
          </w:p>
        </w:tc>
        <w:tc>
          <w:tcPr>
            <w:tcW w:w="1707" w:type="dxa"/>
          </w:tcPr>
          <w:p>
            <w:pPr/>
            <w:r>
              <w:t xml:space="preserve">Normalization and enrichment workers</w:t>
            </w:r>
          </w:p>
        </w:tc>
        <w:tc>
          <w:tcPr>
            <w:tcW w:w="2899" w:type="dxa"/>
          </w:tcPr>
          <w:p>
            <w:pPr/>
            <w:r>
              <w:t xml:space="preserve">Consumer groups</w:t>
            </w:r>
          </w:p>
        </w:tc>
        <w:tc>
          <w:tcPr>
            <w:tcW w:w="3395" w:type="dxa"/>
          </w:tcPr>
          <w:p>
            <w:pPr/>
            <w:r>
              <w:t xml:space="preserve">Idempotent processing so replays are safe.</w:t>
            </w:r>
          </w:p>
        </w:tc>
      </w:tr>
      <w:tr>
        <w:tc>
          <w:tcPr>
            <w:tcW w:w="1359" w:type="dxa"/>
          </w:tcPr>
          <w:p>
            <w:pPr/>
            <w:r>
              <w:t xml:space="preserve">Workers</w:t>
            </w:r>
          </w:p>
        </w:tc>
        <w:tc>
          <w:tcPr>
            <w:tcW w:w="1707" w:type="dxa"/>
          </w:tcPr>
          <w:p>
            <w:pPr/>
            <w:r>
              <w:t xml:space="preserve">Search/index and baseline store</w:t>
            </w:r>
          </w:p>
        </w:tc>
        <w:tc>
          <w:tcPr>
            <w:tcW w:w="2899" w:type="dxa"/>
          </w:tcPr>
          <w:p>
            <w:pPr/>
            <w:r>
              <w:t xml:space="preserve">Bulk write APIs</w:t>
            </w:r>
          </w:p>
        </w:tc>
        <w:tc>
          <w:tcPr>
            <w:tcW w:w="3395" w:type="dxa"/>
          </w:tcPr>
          <w:p>
            <w:pPr/>
            <w:r>
              <w:t xml:space="preserve">Batch size tuned by benchmark.</w:t>
            </w:r>
          </w:p>
        </w:tc>
      </w:tr>
      <w:tr>
        <w:tc>
          <w:tcPr>
            <w:tcW w:w="1359" w:type="dxa"/>
          </w:tcPr>
          <w:p>
            <w:pPr/>
            <w:r>
              <w:t xml:space="preserve">Detection workers</w:t>
            </w:r>
          </w:p>
        </w:tc>
        <w:tc>
          <w:tcPr>
            <w:tcW w:w="1707" w:type="dxa"/>
          </w:tcPr>
          <w:p>
            <w:pPr/>
            <w:r>
              <w:t xml:space="preserve">Incident service</w:t>
            </w:r>
          </w:p>
        </w:tc>
        <w:tc>
          <w:tcPr>
            <w:tcW w:w="2899" w:type="dxa"/>
          </w:tcPr>
          <w:p>
            <w:pPr/>
            <w:r>
              <w:t xml:space="preserve">Internal events with schema version</w:t>
            </w:r>
          </w:p>
        </w:tc>
        <w:tc>
          <w:tcPr>
            <w:tcW w:w="3395" w:type="dxa"/>
          </w:tcPr>
          <w:p>
            <w:pPr/>
            <w:r>
              <w:t xml:space="preserve">Incident service owns lifecycle.</w:t>
            </w:r>
          </w:p>
        </w:tc>
      </w:tr>
      <w:tr>
        <w:tc>
          <w:tcPr>
            <w:tcW w:w="1359" w:type="dxa"/>
          </w:tcPr>
          <w:p>
            <w:pPr/>
            <w:r>
              <w:t xml:space="preserve">Incident service</w:t>
            </w:r>
          </w:p>
        </w:tc>
        <w:tc>
          <w:tcPr>
            <w:tcW w:w="1707" w:type="dxa"/>
          </w:tcPr>
          <w:p>
            <w:pPr/>
            <w:r>
              <w:t xml:space="preserve">SIEM</w:t>
            </w:r>
          </w:p>
        </w:tc>
        <w:tc>
          <w:tcPr>
            <w:tcW w:w="2899" w:type="dxa"/>
          </w:tcPr>
          <w:p>
            <w:pPr/>
            <w:r>
              <w:t xml:space="preserve">Syslog over TLS (CEF/JSON) and/or REST</w:t>
            </w:r>
          </w:p>
        </w:tc>
        <w:tc>
          <w:tcPr>
            <w:tcW w:w="3395" w:type="dxa"/>
          </w:tcPr>
          <w:p>
            <w:pPr/>
            <w:r>
              <w:t xml:space="preserve">Retry-safe, event ID used for deduplication.</w:t>
            </w:r>
          </w:p>
        </w:tc>
      </w:tr>
      <w:tr>
        <w:tc>
          <w:tcPr>
            <w:tcW w:w="1359" w:type="dxa"/>
          </w:tcPr>
          <w:p>
            <w:pPr/>
            <w:r>
              <w:t xml:space="preserve">Console</w:t>
            </w:r>
          </w:p>
        </w:tc>
        <w:tc>
          <w:tcPr>
            <w:tcW w:w="1707" w:type="dxa"/>
          </w:tcPr>
          <w:p>
            <w:pPr/>
            <w:r>
              <w:t xml:space="preserve">API</w:t>
            </w:r>
          </w:p>
        </w:tc>
        <w:tc>
          <w:tcPr>
            <w:tcW w:w="2899" w:type="dxa"/>
          </w:tcPr>
          <w:p>
            <w:pPr/>
            <w:r>
              <w:t xml:space="preserve">HTTPS REST</w:t>
            </w:r>
          </w:p>
        </w:tc>
        <w:tc>
          <w:tcPr>
            <w:tcW w:w="3395" w:type="dxa"/>
          </w:tcPr>
          <w:p>
            <w:pPr/>
            <w:r>
              <w:t xml:space="preserve">RBAC enforced in the API, not only the UI.</w:t>
            </w:r>
          </w:p>
        </w:tc>
      </w:tr>
      <w:tr>
        <w:tc>
          <w:tcPr>
            <w:tcW w:w="1359" w:type="dxa"/>
          </w:tcPr>
          <w:p>
            <w:pPr/>
            <w:r>
              <w:t xml:space="preserve">API</w:t>
            </w:r>
          </w:p>
        </w:tc>
        <w:tc>
          <w:tcPr>
            <w:tcW w:w="1707" w:type="dxa"/>
          </w:tcPr>
          <w:p>
            <w:pPr/>
            <w:r>
              <w:t xml:space="preserve">AD/LDAP</w:t>
            </w:r>
          </w:p>
        </w:tc>
        <w:tc>
          <w:tcPr>
            <w:tcW w:w="2899" w:type="dxa"/>
          </w:tcPr>
          <w:p>
            <w:pPr/>
            <w:r>
              <w:t xml:space="preserve">LDAPS</w:t>
            </w:r>
          </w:p>
        </w:tc>
        <w:tc>
          <w:tcPr>
            <w:tcW w:w="3395" w:type="dxa"/>
          </w:tcPr>
          <w:p>
            <w:pPr/>
            <w:r>
              <w:t xml:space="preserve">Read-only service account.</w:t>
            </w:r>
          </w:p>
        </w:tc>
      </w:tr>
    </w:tbl>
    <w:p>
      <w:pPr>
        <w:pStyle w:val="Heading2"/>
      </w:pPr>
      <w:r>
        <w:t xml:space="preserve">6. Processing pipeline and proposed latency budgets</w:t>
      </w:r>
    </w:p>
    <w:tbl>
      <w:tblPr>
        <w:tblStyle w:val="TableGrid"/>
        <w:tblW w:w="0" w:type="auto"/>
        <w:tblLayout w:type="fixed"/>
        <w:tblLook w:val="04A0" w:firstRow="1" w:lastRow="0" w:firstColumn="0" w:lastColumn="0" w:noHBand="0" w:noVBand="1"/>
      </w:tblPr>
      <w:tblGrid>
        <w:gridCol w:w="2572"/>
        <w:gridCol w:w="3483"/>
        <w:gridCol w:w="3305"/>
      </w:tblGrid>
      <w:tr>
        <w:trPr>
          <w:tblHeader/>
        </w:trPr>
        <w:tc>
          <w:tcPr>
            <w:tcW w:w="2572" w:type="dxa"/>
            <w:shd w:val="clear" w:color="auto" w:fill="F2F2F2"/>
          </w:tcPr>
          <w:p>
            <w:pPr/>
            <w:r>
              <w:t xml:space="preserve">Stage</w:t>
            </w:r>
          </w:p>
        </w:tc>
        <w:tc>
          <w:tcPr>
            <w:tcW w:w="3483" w:type="dxa"/>
            <w:shd w:val="clear" w:color="auto" w:fill="F2F2F2"/>
          </w:tcPr>
          <w:p>
            <w:pPr/>
            <w:r>
              <w:t xml:space="preserve">What happens</w:t>
            </w:r>
          </w:p>
        </w:tc>
        <w:tc>
          <w:tcPr>
            <w:tcW w:w="3305" w:type="dxa"/>
            <w:shd w:val="clear" w:color="auto" w:fill="F2F2F2"/>
          </w:tcPr>
          <w:p>
            <w:pPr/>
            <w:r>
              <w:t xml:space="preserve">Proposed target</w:t>
            </w:r>
          </w:p>
        </w:tc>
      </w:tr>
      <w:tr>
        <w:tc>
          <w:tcPr>
            <w:tcW w:w="2572" w:type="dxa"/>
          </w:tcPr>
          <w:p>
            <w:pPr/>
            <w:r>
              <w:t xml:space="preserve">Capture to ingest</w:t>
            </w:r>
          </w:p>
        </w:tc>
        <w:tc>
          <w:tcPr>
            <w:tcW w:w="3483" w:type="dxa"/>
          </w:tcPr>
          <w:p>
            <w:pPr/>
            <w:r>
              <w:t xml:space="preserve">Packet metadata or flow record reaches the queue</w:t>
            </w:r>
          </w:p>
        </w:tc>
        <w:tc>
          <w:tcPr>
            <w:tcW w:w="3305" w:type="dxa"/>
          </w:tcPr>
          <w:p>
            <w:pPr/>
            <w:r>
              <w:t xml:space="preserve">Under 5 seconds typical</w:t>
            </w:r>
          </w:p>
        </w:tc>
      </w:tr>
      <w:tr>
        <w:tc>
          <w:tcPr>
            <w:tcW w:w="2572" w:type="dxa"/>
          </w:tcPr>
          <w:p>
            <w:pPr/>
            <w:r>
              <w:t xml:space="preserve">Normalize and enrich</w:t>
            </w:r>
          </w:p>
        </w:tc>
        <w:tc>
          <w:tcPr>
            <w:tcW w:w="3483" w:type="dxa"/>
          </w:tcPr>
          <w:p>
            <w:pPr/>
            <w:r>
              <w:t xml:space="preserve">Schema mapping, asset and zone tagging</w:t>
            </w:r>
          </w:p>
        </w:tc>
        <w:tc>
          <w:tcPr>
            <w:tcW w:w="3305" w:type="dxa"/>
          </w:tcPr>
          <w:p>
            <w:pPr/>
            <w:r>
              <w:t xml:space="preserve">Under 10 seconds typical</w:t>
            </w:r>
          </w:p>
        </w:tc>
      </w:tr>
      <w:tr>
        <w:tc>
          <w:tcPr>
            <w:tcW w:w="2572" w:type="dxa"/>
          </w:tcPr>
          <w:p>
            <w:pPr/>
            <w:r>
              <w:t xml:space="preserve">Real-time detection</w:t>
            </w:r>
          </w:p>
        </w:tc>
        <w:tc>
          <w:tcPr>
            <w:tcW w:w="3483" w:type="dxa"/>
          </w:tcPr>
          <w:p>
            <w:pPr/>
            <w:r>
              <w:t xml:space="preserve">Rules and thresholds on streaming windows</w:t>
            </w:r>
          </w:p>
        </w:tc>
        <w:tc>
          <w:tcPr>
            <w:tcW w:w="3305" w:type="dxa"/>
          </w:tcPr>
          <w:p>
            <w:pPr/>
            <w:r>
              <w:t xml:space="preserve">Alert within 30 to 60 seconds of the event</w:t>
            </w:r>
          </w:p>
        </w:tc>
      </w:tr>
      <w:tr>
        <w:tc>
          <w:tcPr>
            <w:tcW w:w="2572" w:type="dxa"/>
          </w:tcPr>
          <w:p>
            <w:pPr/>
            <w:r>
              <w:t xml:space="preserve">Baseline detection</w:t>
            </w:r>
          </w:p>
        </w:tc>
        <w:tc>
          <w:tcPr>
            <w:tcW w:w="3483" w:type="dxa"/>
          </w:tcPr>
          <w:p>
            <w:pPr/>
            <w:r>
              <w:t xml:space="preserve">Deviation from hourly, daily or weekly profile</w:t>
            </w:r>
          </w:p>
        </w:tc>
        <w:tc>
          <w:tcPr>
            <w:tcW w:w="3305" w:type="dxa"/>
          </w:tcPr>
          <w:p>
            <w:pPr/>
            <w:r>
              <w:t xml:space="preserve">Evaluated per window, result within one window</w:t>
            </w:r>
          </w:p>
        </w:tc>
      </w:tr>
      <w:tr>
        <w:tc>
          <w:tcPr>
            <w:tcW w:w="2572" w:type="dxa"/>
          </w:tcPr>
          <w:p>
            <w:pPr/>
            <w:r>
              <w:t xml:space="preserve">Longitudinal detection</w:t>
            </w:r>
          </w:p>
        </w:tc>
        <w:tc>
          <w:tcPr>
            <w:tcW w:w="3483" w:type="dxa"/>
          </w:tcPr>
          <w:p>
            <w:pPr/>
            <w:r>
              <w:t xml:space="preserve">Slow and periodic behaviour</w:t>
            </w:r>
          </w:p>
        </w:tc>
        <w:tc>
          <w:tcPr>
            <w:tcW w:w="3305" w:type="dxa"/>
          </w:tcPr>
          <w:p>
            <w:pPr/>
            <w:r>
              <w:t xml:space="preserve">Batch every few minutes to hours, by design</w:t>
            </w:r>
          </w:p>
        </w:tc>
      </w:tr>
      <w:tr>
        <w:tc>
          <w:tcPr>
            <w:tcW w:w="2572" w:type="dxa"/>
          </w:tcPr>
          <w:p>
            <w:pPr/>
            <w:r>
              <w:t xml:space="preserve">Alert to SIEM</w:t>
            </w:r>
          </w:p>
        </w:tc>
        <w:tc>
          <w:tcPr>
            <w:tcW w:w="3483" w:type="dxa"/>
          </w:tcPr>
          <w:p>
            <w:pPr/>
            <w:r>
              <w:t xml:space="preserve">Delivery and acknowledgement</w:t>
            </w:r>
          </w:p>
        </w:tc>
        <w:tc>
          <w:tcPr>
            <w:tcW w:w="3305" w:type="dxa"/>
          </w:tcPr>
          <w:p>
            <w:pPr/>
            <w:r>
              <w:t xml:space="preserve">Under 10 seconds after incident creation</w:t>
            </w:r>
          </w:p>
        </w:tc>
      </w:tr>
    </w:tbl>
    <w:p>
      <w:pPr/>
      <w:r>
        <w:t xml:space="preserve">These are engineering targets chosen so analysts see alerts in near real time. The tender sheet we have does not set them, so confirm with OPTCL and validate in the POC.</w:t>
      </w:r>
    </w:p>
    <w:p>
      <w:pPr>
        <w:pStyle w:val="Heading2"/>
      </w:pPr>
      <w:r>
        <w:t xml:space="preserve">7. Scaling model</w:t>
      </w:r>
    </w:p>
    <w:p>
      <w:pPr>
        <w:pStyle w:val="ListParagraph"/>
        <w:numPr>
          <w:ilvl w:val="0"/>
          <w:numId w:val="3"/>
        </w:numPr>
      </w:pPr>
      <w:r>
        <w:rPr>
          <w:b/>
        </w:rPr>
        <w:t xml:space="preserve">Sensors scale by link.</w:t>
      </w:r>
      <w:r>
        <w:t xml:space="preserve"> One sensor per monitored link or aggregation point, sized by packets per second, not by Mbps alone. Add sensors rather than pushing one box to its limit.</w:t>
      </w:r>
    </w:p>
    <w:p>
      <w:pPr>
        <w:pStyle w:val="ListParagraph"/>
        <w:numPr>
          <w:ilvl w:val="0"/>
          <w:numId w:val="3"/>
        </w:numPr>
      </w:pPr>
      <w:r>
        <w:rPr>
          <w:b/>
        </w:rPr>
        <w:t xml:space="preserve">Queue scales by partitions.</w:t>
      </w:r>
      <w:r>
        <w:t xml:space="preserve"> Partition by sensor and time, keep a replication factor of at least 3 where the cluster size allows.</w:t>
      </w:r>
    </w:p>
    <w:p>
      <w:pPr>
        <w:pStyle w:val="ListParagraph"/>
        <w:numPr>
          <w:ilvl w:val="0"/>
          <w:numId w:val="3"/>
        </w:numPr>
      </w:pPr>
      <w:r>
        <w:rPr>
          <w:b/>
        </w:rPr>
        <w:t xml:space="preserve">Workers scale horizontally.</w:t>
      </w:r>
      <w:r>
        <w:t xml:space="preserve"> Stateless workers behind consumer groups. Stateful detectors (baselines, graph) partition by source host or subnet.</w:t>
      </w:r>
    </w:p>
    <w:p>
      <w:pPr>
        <w:pStyle w:val="ListParagraph"/>
        <w:numPr>
          <w:ilvl w:val="0"/>
          <w:numId w:val="3"/>
        </w:numPr>
      </w:pPr>
      <w:r>
        <w:rPr>
          <w:b/>
        </w:rPr>
        <w:t xml:space="preserve">Index scales by time-based shards.</w:t>
      </w:r>
      <w:r>
        <w:t xml:space="preserve"> Hot, warm and cold tiers by age. Only the search tier is on fast storage.</w:t>
      </w:r>
    </w:p>
    <w:p>
      <w:pPr>
        <w:pStyle w:val="ListParagraph"/>
        <w:numPr>
          <w:ilvl w:val="0"/>
          <w:numId w:val="3"/>
        </w:numPr>
      </w:pPr>
      <w:r>
        <w:rPr>
          <w:b/>
        </w:rPr>
        <w:t xml:space="preserve">Packet archive scales by nodes.</w:t>
      </w:r>
      <w:r>
        <w:t xml:space="preserve"> Capacity is additive per node, and retrieval looks up the file location from the metadata index.</w:t>
      </w:r>
    </w:p>
    <w:p>
      <w:pPr>
        <w:pStyle w:val="ListParagraph"/>
        <w:numPr>
          <w:ilvl w:val="0"/>
          <w:numId w:val="3"/>
        </w:numPr>
      </w:pPr>
      <w:r>
        <w:rPr>
          <w:b/>
        </w:rPr>
        <w:t xml:space="preserve">Spare capacity.</w:t>
      </w:r>
      <w:r>
        <w:t xml:space="preserve"> The tender asks for at least 30% spare at peak. Treat that as a design limit: no tier should exceed 70% of its tested capacity at peak.</w:t>
      </w:r>
    </w:p>
    <w:p>
      <w:pPr>
        <w:pStyle w:val="Heading2"/>
      </w:pPr>
      <w:r>
        <w:t xml:space="preserve">8. Failure domains</w:t>
      </w:r>
    </w:p>
    <w:tbl>
      <w:tblPr>
        <w:tblStyle w:val="TableGrid"/>
        <w:tblW w:w="0" w:type="auto"/>
        <w:tblLayout w:type="fixed"/>
        <w:tblLook w:val="04A0" w:firstRow="1" w:lastRow="0" w:firstColumn="0" w:lastColumn="0" w:noHBand="0" w:noVBand="1"/>
      </w:tblPr>
      <w:tblGrid>
        <w:gridCol w:w="2262"/>
        <w:gridCol w:w="2205"/>
        <w:gridCol w:w="4893"/>
      </w:tblGrid>
      <w:tr>
        <w:trPr>
          <w:tblHeader/>
        </w:trPr>
        <w:tc>
          <w:tcPr>
            <w:tcW w:w="2262" w:type="dxa"/>
            <w:shd w:val="clear" w:color="auto" w:fill="F2F2F2"/>
          </w:tcPr>
          <w:p>
            <w:pPr/>
            <w:r>
              <w:t xml:space="preserve">Domain</w:t>
            </w:r>
          </w:p>
        </w:tc>
        <w:tc>
          <w:tcPr>
            <w:tcW w:w="2205" w:type="dxa"/>
            <w:shd w:val="clear" w:color="auto" w:fill="F2F2F2"/>
          </w:tcPr>
          <w:p>
            <w:pPr/>
            <w:r>
              <w:t xml:space="preserve">Examples</w:t>
            </w:r>
          </w:p>
        </w:tc>
        <w:tc>
          <w:tcPr>
            <w:tcW w:w="4893" w:type="dxa"/>
            <w:shd w:val="clear" w:color="auto" w:fill="F2F2F2"/>
          </w:tcPr>
          <w:p>
            <w:pPr/>
            <w:r>
              <w:t xml:space="preserve">Design response</w:t>
            </w:r>
          </w:p>
        </w:tc>
      </w:tr>
      <w:tr>
        <w:tc>
          <w:tcPr>
            <w:tcW w:w="2262" w:type="dxa"/>
          </w:tcPr>
          <w:p>
            <w:pPr/>
            <w:r>
              <w:t xml:space="preserve">Single sensor</w:t>
            </w:r>
          </w:p>
        </w:tc>
        <w:tc>
          <w:tcPr>
            <w:tcW w:w="2205" w:type="dxa"/>
          </w:tcPr>
          <w:p>
            <w:pPr/>
            <w:r>
              <w:t xml:space="preserve">NIC, disk or host failure</w:t>
            </w:r>
          </w:p>
        </w:tc>
        <w:tc>
          <w:tcPr>
            <w:tcW w:w="4893" w:type="dxa"/>
          </w:tcPr>
          <w:p>
            <w:pPr/>
            <w:r>
              <w:t xml:space="preserve">Overlapping coverage at critical links, health alarm, local buffer</w:t>
            </w:r>
          </w:p>
        </w:tc>
      </w:tr>
      <w:tr>
        <w:tc>
          <w:tcPr>
            <w:tcW w:w="2262" w:type="dxa"/>
          </w:tcPr>
          <w:p>
            <w:pPr/>
            <w:r>
              <w:t xml:space="preserve">Single node</w:t>
            </w:r>
          </w:p>
        </w:tc>
        <w:tc>
          <w:tcPr>
            <w:tcW w:w="2205" w:type="dxa"/>
          </w:tcPr>
          <w:p>
            <w:pPr/>
            <w:r>
              <w:t xml:space="preserve">Queue, index or archive node</w:t>
            </w:r>
          </w:p>
        </w:tc>
        <w:tc>
          <w:tcPr>
            <w:tcW w:w="4893" w:type="dxa"/>
          </w:tcPr>
          <w:p>
            <w:pPr/>
            <w:r>
              <w:t xml:space="preserve">Replication across nodes, quorum maintained</w:t>
            </w:r>
          </w:p>
        </w:tc>
      </w:tr>
      <w:tr>
        <w:tc>
          <w:tcPr>
            <w:tcW w:w="2262" w:type="dxa"/>
          </w:tcPr>
          <w:p>
            <w:pPr/>
            <w:r>
              <w:t xml:space="preserve">Rack or power feed</w:t>
            </w:r>
          </w:p>
        </w:tc>
        <w:tc>
          <w:tcPr>
            <w:tcW w:w="2205" w:type="dxa"/>
          </w:tcPr>
          <w:p>
            <w:pPr/>
            <w:r>
              <w:t xml:space="preserve">Shared PDU, top-of-rack switch</w:t>
            </w:r>
          </w:p>
        </w:tc>
        <w:tc>
          <w:tcPr>
            <w:tcW w:w="4893" w:type="dxa"/>
          </w:tcPr>
          <w:p>
            <w:pPr/>
            <w:r>
              <w:t xml:space="preserve">Spread replicas across racks and feeds where the room allows</w:t>
            </w:r>
          </w:p>
        </w:tc>
      </w:tr>
      <w:tr>
        <w:tc>
          <w:tcPr>
            <w:tcW w:w="2262" w:type="dxa"/>
          </w:tcPr>
          <w:p>
            <w:pPr/>
            <w:r>
              <w:t xml:space="preserve">Site</w:t>
            </w:r>
          </w:p>
        </w:tc>
        <w:tc>
          <w:tcPr>
            <w:tcW w:w="2205" w:type="dxa"/>
          </w:tcPr>
          <w:p>
            <w:pPr/>
            <w:r>
              <w:t xml:space="preserve">DC outage</w:t>
            </w:r>
          </w:p>
        </w:tc>
        <w:tc>
          <w:tcPr>
            <w:tcW w:w="4893" w:type="dxa"/>
          </w:tcPr>
          <w:p>
            <w:pPr/>
            <w:r>
              <w:t xml:space="preserve">Recovery approach depends on required RTO and RPO, which are not yet defined</w:t>
            </w:r>
          </w:p>
        </w:tc>
      </w:tr>
      <w:tr>
        <w:tc>
          <w:tcPr>
            <w:tcW w:w="2262" w:type="dxa"/>
          </w:tcPr>
          <w:p>
            <w:pPr/>
            <w:r>
              <w:t xml:space="preserve">Shared services</w:t>
            </w:r>
          </w:p>
        </w:tc>
        <w:tc>
          <w:tcPr>
            <w:tcW w:w="2205" w:type="dxa"/>
          </w:tcPr>
          <w:p>
            <w:pPr/>
            <w:r>
              <w:t xml:space="preserve">Time sync, DNS, certificate authority, AD</w:t>
            </w:r>
          </w:p>
        </w:tc>
        <w:tc>
          <w:tcPr>
            <w:tcW w:w="4893" w:type="dxa"/>
          </w:tcPr>
          <w:p>
            <w:pPr/>
            <w:r>
              <w:t xml:space="preserve">Local redundant time and DNS, cached identity data, certificate expiry alarms</w:t>
            </w:r>
          </w:p>
        </w:tc>
      </w:tr>
    </w:tbl>
    <w:p>
      <w:pPr>
        <w:pStyle w:val="Heading2"/>
      </w:pPr>
      <w:r>
        <w:t xml:space="preserve">9. Design decisions (initial log)</w:t>
      </w:r>
    </w:p>
    <w:tbl>
      <w:tblPr>
        <w:tblStyle w:val="TableGrid"/>
        <w:tblW w:w="0" w:type="auto"/>
        <w:tblLayout w:type="fixed"/>
        <w:tblLook w:val="04A0" w:firstRow="1" w:lastRow="0" w:firstColumn="0" w:lastColumn="0" w:noHBand="0" w:noVBand="1"/>
      </w:tblPr>
      <w:tblGrid>
        <w:gridCol w:w="720"/>
        <w:gridCol w:w="3530"/>
        <w:gridCol w:w="2986"/>
        <w:gridCol w:w="2123"/>
      </w:tblGrid>
      <w:tr>
        <w:trPr>
          <w:tblHeader/>
        </w:trPr>
        <w:tc>
          <w:tcPr>
            <w:tcW w:w="720" w:type="dxa"/>
            <w:shd w:val="clear" w:color="auto" w:fill="F2F2F2"/>
          </w:tcPr>
          <w:p>
            <w:pPr/>
            <w:r>
              <w:t xml:space="preserve">ID</w:t>
            </w:r>
          </w:p>
        </w:tc>
        <w:tc>
          <w:tcPr>
            <w:tcW w:w="3530" w:type="dxa"/>
            <w:shd w:val="clear" w:color="auto" w:fill="F2F2F2"/>
          </w:tcPr>
          <w:p>
            <w:pPr/>
            <w:r>
              <w:t xml:space="preserve">Decision</w:t>
            </w:r>
          </w:p>
        </w:tc>
        <w:tc>
          <w:tcPr>
            <w:tcW w:w="2986" w:type="dxa"/>
            <w:shd w:val="clear" w:color="auto" w:fill="F2F2F2"/>
          </w:tcPr>
          <w:p>
            <w:pPr/>
            <w:r>
              <w:t xml:space="preserve">Reason</w:t>
            </w:r>
          </w:p>
        </w:tc>
        <w:tc>
          <w:tcPr>
            <w:tcW w:w="2123" w:type="dxa"/>
            <w:shd w:val="clear" w:color="auto" w:fill="F2F2F2"/>
          </w:tcPr>
          <w:p>
            <w:pPr/>
            <w:r>
              <w:t xml:space="preserve">Revisit when</w:t>
            </w:r>
          </w:p>
        </w:tc>
      </w:tr>
      <w:tr>
        <w:tc>
          <w:tcPr>
            <w:tcW w:w="720" w:type="dxa"/>
          </w:tcPr>
          <w:p>
            <w:pPr/>
            <w:r>
              <w:t xml:space="preserve">D-01</w:t>
            </w:r>
          </w:p>
        </w:tc>
        <w:tc>
          <w:tcPr>
            <w:tcW w:w="3530" w:type="dxa"/>
          </w:tcPr>
          <w:p>
            <w:pPr/>
            <w:r>
              <w:t xml:space="preserve">Passive TAP/SPAN and flow export, no inline devices</w:t>
            </w:r>
          </w:p>
        </w:tc>
        <w:tc>
          <w:tcPr>
            <w:tcW w:w="2986" w:type="dxa"/>
          </w:tcPr>
          <w:p>
            <w:pPr/>
            <w:r>
              <w:t xml:space="preserve">Tender requires non-intrusive monitoring</w:t>
            </w:r>
          </w:p>
        </w:tc>
        <w:tc>
          <w:tcPr>
            <w:tcW w:w="2123" w:type="dxa"/>
          </w:tcPr>
          <w:p>
            <w:pPr/>
            <w:r>
              <w:t xml:space="preserve">Never, unless scope changes</w:t>
            </w:r>
          </w:p>
        </w:tc>
      </w:tr>
      <w:tr>
        <w:tc>
          <w:tcPr>
            <w:tcW w:w="720" w:type="dxa"/>
          </w:tcPr>
          <w:p>
            <w:pPr/>
            <w:r>
              <w:t xml:space="preserve">D-02</w:t>
            </w:r>
          </w:p>
        </w:tc>
        <w:tc>
          <w:tcPr>
            <w:tcW w:w="3530" w:type="dxa"/>
          </w:tcPr>
          <w:p>
            <w:pPr/>
            <w:r>
              <w:t xml:space="preserve">Raw packets stored apart from the searchable index</w:t>
            </w:r>
          </w:p>
        </w:tc>
        <w:tc>
          <w:tcPr>
            <w:tcW w:w="2986" w:type="dxa"/>
          </w:tcPr>
          <w:p>
            <w:pPr/>
            <w:r>
              <w:t xml:space="preserve">Keeps 5M-record searches fast and storage costs sane</w:t>
            </w:r>
          </w:p>
        </w:tc>
        <w:tc>
          <w:tcPr>
            <w:tcW w:w="2123" w:type="dxa"/>
          </w:tcPr>
          <w:p>
            <w:pPr/>
            <w:r>
              <w:t xml:space="preserve">Benchmark shows a single store meets all targets</w:t>
            </w:r>
          </w:p>
        </w:tc>
      </w:tr>
      <w:tr>
        <w:tc>
          <w:tcPr>
            <w:tcW w:w="720" w:type="dxa"/>
          </w:tcPr>
          <w:p>
            <w:pPr/>
            <w:r>
              <w:t xml:space="preserve">D-03</w:t>
            </w:r>
          </w:p>
        </w:tc>
        <w:tc>
          <w:tcPr>
            <w:tcW w:w="3530" w:type="dxa"/>
          </w:tcPr>
          <w:p>
            <w:pPr/>
            <w:r>
              <w:t xml:space="preserve">Durable queue between collection and processing</w:t>
            </w:r>
          </w:p>
        </w:tc>
        <w:tc>
          <w:tcPr>
            <w:tcW w:w="2986" w:type="dxa"/>
          </w:tcPr>
          <w:p>
            <w:pPr/>
            <w:r>
              <w:t xml:space="preserve">Absorbs bursts, allows replay after outages</w:t>
            </w:r>
          </w:p>
        </w:tc>
        <w:tc>
          <w:tcPr>
            <w:tcW w:w="2123" w:type="dxa"/>
          </w:tcPr>
          <w:p>
            <w:pPr/>
            <w:r>
              <w:t xml:space="preserve">Measured load is small enough for a simpler buffer</w:t>
            </w:r>
          </w:p>
        </w:tc>
      </w:tr>
      <w:tr>
        <w:tc>
          <w:tcPr>
            <w:tcW w:w="720" w:type="dxa"/>
          </w:tcPr>
          <w:p>
            <w:pPr/>
            <w:r>
              <w:t xml:space="preserve">D-04</w:t>
            </w:r>
          </w:p>
        </w:tc>
        <w:tc>
          <w:tcPr>
            <w:tcW w:w="3530" w:type="dxa"/>
          </w:tcPr>
          <w:p>
            <w:pPr/>
            <w:r>
              <w:t xml:space="preserve">Rules and baselines first, ML as an additional scorer</w:t>
            </w:r>
          </w:p>
        </w:tc>
        <w:tc>
          <w:tcPr>
            <w:tcW w:w="2986" w:type="dxa"/>
          </w:tcPr>
          <w:p>
            <w:pPr/>
            <w:r>
              <w:t xml:space="preserve">Explainability and POC predictability</w:t>
            </w:r>
          </w:p>
        </w:tc>
        <w:tc>
          <w:tcPr>
            <w:tcW w:w="2123" w:type="dxa"/>
          </w:tcPr>
          <w:p>
            <w:pPr/>
            <w:r>
              <w:t xml:space="preserve">Never remove explainability</w:t>
            </w:r>
          </w:p>
        </w:tc>
      </w:tr>
      <w:tr>
        <w:tc>
          <w:tcPr>
            <w:tcW w:w="720" w:type="dxa"/>
          </w:tcPr>
          <w:p>
            <w:pPr/>
            <w:r>
              <w:t xml:space="preserve">D-05</w:t>
            </w:r>
          </w:p>
        </w:tc>
        <w:tc>
          <w:tcPr>
            <w:tcW w:w="3530" w:type="dxa"/>
          </w:tcPr>
          <w:p>
            <w:pPr/>
            <w:r>
              <w:t xml:space="preserve">Control plane separate from data plane</w:t>
            </w:r>
          </w:p>
        </w:tc>
        <w:tc>
          <w:tcPr>
            <w:tcW w:w="2986" w:type="dxa"/>
          </w:tcPr>
          <w:p>
            <w:pPr/>
            <w:r>
              <w:t xml:space="preserve">Console stays usable under load</w:t>
            </w:r>
          </w:p>
        </w:tc>
        <w:tc>
          <w:tcPr>
            <w:tcW w:w="2123" w:type="dxa"/>
          </w:tcPr>
          <w:p>
            <w:pPr/>
            <w:r>
              <w:t xml:space="preserve">None planned</w:t>
            </w:r>
          </w:p>
        </w:tc>
      </w:tr>
      <w:tr>
        <w:tc>
          <w:tcPr>
            <w:tcW w:w="720" w:type="dxa"/>
          </w:tcPr>
          <w:p>
            <w:pPr/>
            <w:r>
              <w:t xml:space="preserve">D-06</w:t>
            </w:r>
          </w:p>
        </w:tc>
        <w:tc>
          <w:tcPr>
            <w:tcW w:w="3530" w:type="dxa"/>
          </w:tcPr>
          <w:p>
            <w:pPr/>
            <w:r>
              <w:t xml:space="preserve">All components installable and updatable offline</w:t>
            </w:r>
          </w:p>
        </w:tc>
        <w:tc>
          <w:tcPr>
            <w:tcW w:w="2986" w:type="dxa"/>
          </w:tcPr>
          <w:p>
            <w:pPr/>
            <w:r>
              <w:t xml:space="preserve">Air-gapped deployment</w:t>
            </w:r>
          </w:p>
        </w:tc>
        <w:tc>
          <w:tcPr>
            <w:tcW w:w="2123" w:type="dxa"/>
          </w:tcPr>
          <w:p>
            <w:pPr/>
            <w:r>
              <w:t xml:space="preserve">None</w:t>
            </w:r>
          </w:p>
        </w:tc>
      </w:tr>
      <w:tr>
        <w:tc>
          <w:tcPr>
            <w:tcW w:w="720" w:type="dxa"/>
          </w:tcPr>
          <w:p>
            <w:pPr/>
            <w:r>
              <w:t xml:space="preserve">D-07</w:t>
            </w:r>
          </w:p>
        </w:tc>
        <w:tc>
          <w:tcPr>
            <w:tcW w:w="3530" w:type="dxa"/>
          </w:tcPr>
          <w:p>
            <w:pPr/>
            <w:r>
              <w:t xml:space="preserve">Canonical schema with versioning</w:t>
            </w:r>
          </w:p>
        </w:tc>
        <w:tc>
          <w:tcPr>
            <w:tcW w:w="2986" w:type="dxa"/>
          </w:tcPr>
          <w:p>
            <w:pPr/>
            <w:r>
              <w:t xml:space="preserve">Avoids lock-in to any exporter or SIEM format</w:t>
            </w:r>
          </w:p>
        </w:tc>
        <w:tc>
          <w:tcPr>
            <w:tcW w:w="2123" w:type="dxa"/>
          </w:tcPr>
          <w:p>
            <w:pPr/>
            <w:r>
              <w:t xml:space="preserve">None</w:t>
            </w:r>
          </w:p>
        </w:tc>
      </w:tr>
    </w:tbl>
    <w:p>
      <w:pPr>
        <w:pStyle w:val="Heading2"/>
      </w:pPr>
      <w:r>
        <w:t xml:space="preserve">10. Open items</w:t>
      </w:r>
    </w:p>
    <w:p>
      <w:pPr>
        <w:pStyle w:val="ListParagraph"/>
        <w:numPr>
          <w:ilvl w:val="0"/>
          <w:numId w:val="4"/>
        </w:numPr>
      </w:pPr>
      <w:r>
        <w:t xml:space="preserve">Network map, real zone definition and TAP/SPAN feasibility per link.</w:t>
      </w:r>
    </w:p>
    <w:p>
      <w:pPr>
        <w:pStyle w:val="ListParagraph"/>
        <w:numPr>
          <w:ilvl w:val="0"/>
          <w:numId w:val="4"/>
        </w:numPr>
      </w:pPr>
      <w:r>
        <w:t xml:space="preserve">Whether SLDC sites need packet capture or flow-only visibility.</w:t>
      </w:r>
    </w:p>
    <w:p>
      <w:pPr>
        <w:pStyle w:val="ListParagraph"/>
        <w:numPr>
          <w:ilvl w:val="0"/>
          <w:numId w:val="4"/>
        </w:numPr>
      </w:pPr>
      <w:r>
        <w:t xml:space="preserve">Hypervisor and virtual switch products for virtual traffic visibility.</w:t>
      </w:r>
    </w:p>
    <w:p>
      <w:pPr>
        <w:pStyle w:val="ListParagraph"/>
        <w:numPr>
          <w:ilvl w:val="0"/>
          <w:numId w:val="4"/>
        </w:numPr>
      </w:pPr>
      <w:r>
        <w:t xml:space="preserve">Required RTO, RPO and whether a second site is expected.</w:t>
      </w:r>
    </w:p>
    <w:p>
      <w:pPr>
        <w:pStyle w:val="ListParagraph"/>
        <w:numPr>
          <w:ilvl w:val="0"/>
          <w:numId w:val="4"/>
        </w:numPr>
      </w:pPr>
      <w:r>
        <w:t xml:space="preserve">Rack space, power and cooling available for sensor and storage hardware.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System Architecture Specification</dc:title>
  <dc:description>Claude Docs node/7320e384-6c4f@1 docx-w7</dc:description>
  <cp:revision>1</cp:revision>
</cp:coreProperties>
</file>