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NBAD Technology Stack and Tooling Guide</w:t>
      </w:r>
    </w:p>
    <w:p>
      <w:pPr/>
      <w:r>
        <w:rPr>
          <w:b/>
        </w:rPr>
        <w:t xml:space="preserve">OPTCL Next Generation SOC &amp; NOC: Network Behaviour Anomaly Detection</w:t>
      </w:r>
    </w:p>
    <w:p>
      <w:pPr/>
      <w:r>
        <w:t xml:space="preserve">Version 0.1 | Companion to the NBAD Project Blueprint | Draft for engineering review</w:t>
      </w:r>
    </w:p>
    <w:p>
      <w:pPr/>
      <w:r>
        <w:rPr>
          <w:i/>
        </w:rPr>
        <w:t xml:space="preserve">Status: Candidate tools to benchmark. Nothing here is a committed bill of materials. Licence terms, versions and support status change often, so verify each item before it goes into a design or a bid.</w:t>
      </w:r>
    </w:p>
    <w:p>
      <w:pPr>
        <w:pStyle w:val="Heading2"/>
      </w:pPr>
      <w:r>
        <w:t xml:space="preserve">1. How to read this guide</w:t>
      </w:r>
    </w:p>
    <w:p>
      <w:pPr/>
      <w:r>
        <w:t xml:space="preserve">The tender sheet does not name a technology stack. This guide lists candidates for each layer, what each one is good at, what to watch for, and how we would test it. The last sections suggest two reference stacks to benchmark against each other and a scoring template for the decision.</w:t>
      </w:r>
    </w:p>
    <w:p>
      <w:pPr/>
      <w:r>
        <w:t xml:space="preserve">One point cuts across every choice: the tender asks for the latest version with at least five years of end-of-support-life from go-live, plus five years of onsite support. Any open-source component in the stack needs a named support route (our own team, a commercial vendor, or the OEM) for that whole period. Treat that as a selection criterion, not an afterthought.</w:t>
      </w:r>
    </w:p>
    <w:p>
      <w:pPr>
        <w:pStyle w:val="Heading2"/>
      </w:pPr>
      <w:r>
        <w:t xml:space="preserve">2. Capture and packet processing</w:t>
      </w:r>
    </w:p>
    <w:tbl>
      <w:tblPr>
        <w:tblStyle w:val="TableGrid"/>
        <w:tblW w:w="0" w:type="auto"/>
        <w:tblLayout w:type="fixed"/>
        <w:tblLook w:val="04A0" w:firstRow="1" w:lastRow="0" w:firstColumn="0" w:lastColumn="0" w:noHBand="0" w:noVBand="1"/>
      </w:tblPr>
      <w:tblGrid>
        <w:gridCol w:w="2100"/>
        <w:gridCol w:w="1919"/>
        <w:gridCol w:w="2499"/>
        <w:gridCol w:w="2842"/>
      </w:tblGrid>
      <w:tr>
        <w:trPr>
          <w:tblHeader/>
        </w:trPr>
        <w:tc>
          <w:tcPr>
            <w:tcW w:w="2100" w:type="dxa"/>
            <w:shd w:val="clear" w:color="auto" w:fill="F2F2F2"/>
          </w:tcPr>
          <w:p>
            <w:pPr/>
            <w:r>
              <w:t xml:space="preserve">Tool or technology</w:t>
            </w:r>
          </w:p>
        </w:tc>
        <w:tc>
          <w:tcPr>
            <w:tcW w:w="1919" w:type="dxa"/>
            <w:shd w:val="clear" w:color="auto" w:fill="F2F2F2"/>
          </w:tcPr>
          <w:p>
            <w:pPr/>
            <w:r>
              <w:t xml:space="preserve">Role</w:t>
            </w:r>
          </w:p>
        </w:tc>
        <w:tc>
          <w:tcPr>
            <w:tcW w:w="2499" w:type="dxa"/>
            <w:shd w:val="clear" w:color="auto" w:fill="F2F2F2"/>
          </w:tcPr>
          <w:p>
            <w:pPr/>
            <w:r>
              <w:t xml:space="preserve">Strengths</w:t>
            </w:r>
          </w:p>
        </w:tc>
        <w:tc>
          <w:tcPr>
            <w:tcW w:w="2842" w:type="dxa"/>
            <w:shd w:val="clear" w:color="auto" w:fill="F2F2F2"/>
          </w:tcPr>
          <w:p>
            <w:pPr/>
            <w:r>
              <w:t xml:space="preserve">Watch for</w:t>
            </w:r>
          </w:p>
        </w:tc>
      </w:tr>
      <w:tr>
        <w:tc>
          <w:tcPr>
            <w:tcW w:w="2100" w:type="dxa"/>
          </w:tcPr>
          <w:p>
            <w:pPr/>
            <w:r>
              <w:t xml:space="preserve">libpcap / AF_PACKET</w:t>
            </w:r>
          </w:p>
        </w:tc>
        <w:tc>
          <w:tcPr>
            <w:tcW w:w="1919" w:type="dxa"/>
          </w:tcPr>
          <w:p>
            <w:pPr/>
            <w:r>
              <w:t xml:space="preserve">Standard Linux packet capture</w:t>
            </w:r>
          </w:p>
        </w:tc>
        <w:tc>
          <w:tcPr>
            <w:tcW w:w="2499" w:type="dxa"/>
          </w:tcPr>
          <w:p>
            <w:pPr/>
            <w:r>
              <w:t xml:space="preserve">Simple, widely supported, enough for moderate rates</w:t>
            </w:r>
          </w:p>
        </w:tc>
        <w:tc>
          <w:tcPr>
            <w:tcW w:w="2842" w:type="dxa"/>
          </w:tcPr>
          <w:p>
            <w:pPr/>
            <w:r>
              <w:t xml:space="preserve">Higher CPU use and drop risk at high packet rates</w:t>
            </w:r>
          </w:p>
        </w:tc>
      </w:tr>
      <w:tr>
        <w:tc>
          <w:tcPr>
            <w:tcW w:w="2100" w:type="dxa"/>
          </w:tcPr>
          <w:p>
            <w:pPr/>
            <w:r>
              <w:t xml:space="preserve">AF_XDP</w:t>
            </w:r>
          </w:p>
        </w:tc>
        <w:tc>
          <w:tcPr>
            <w:tcW w:w="1919" w:type="dxa"/>
          </w:tcPr>
          <w:p>
            <w:pPr/>
            <w:r>
              <w:t xml:space="preserve">Faster kernel-bypass-style capture on Linux</w:t>
            </w:r>
          </w:p>
        </w:tc>
        <w:tc>
          <w:tcPr>
            <w:tcW w:w="2499" w:type="dxa"/>
          </w:tcPr>
          <w:p>
            <w:pPr/>
            <w:r>
              <w:t xml:space="preserve">Better rates than AF_PACKET without full DPDK complexity</w:t>
            </w:r>
          </w:p>
        </w:tc>
        <w:tc>
          <w:tcPr>
            <w:tcW w:w="2842" w:type="dxa"/>
          </w:tcPr>
          <w:p>
            <w:pPr/>
            <w:r>
              <w:t xml:space="preserve">Needs recent kernel and driver support</w:t>
            </w:r>
          </w:p>
        </w:tc>
      </w:tr>
      <w:tr>
        <w:tc>
          <w:tcPr>
            <w:tcW w:w="2100" w:type="dxa"/>
          </w:tcPr>
          <w:p>
            <w:pPr/>
            <w:r>
              <w:t xml:space="preserve">DPDK</w:t>
            </w:r>
          </w:p>
        </w:tc>
        <w:tc>
          <w:tcPr>
            <w:tcW w:w="1919" w:type="dxa"/>
          </w:tcPr>
          <w:p>
            <w:pPr/>
            <w:r>
              <w:t xml:space="preserve">Userspace packet processing</w:t>
            </w:r>
          </w:p>
        </w:tc>
        <w:tc>
          <w:tcPr>
            <w:tcW w:w="2499" w:type="dxa"/>
          </w:tcPr>
          <w:p>
            <w:pPr/>
            <w:r>
              <w:t xml:space="preserve">Highest rates on commodity hardware</w:t>
            </w:r>
          </w:p>
        </w:tc>
        <w:tc>
          <w:tcPr>
            <w:tcW w:w="2842" w:type="dxa"/>
          </w:tcPr>
          <w:p>
            <w:pPr/>
            <w:r>
              <w:t xml:space="preserve">Dedicated cores and NICs, harder operations, only if benchmarks demand it</w:t>
            </w:r>
          </w:p>
        </w:tc>
      </w:tr>
      <w:tr>
        <w:tc>
          <w:tcPr>
            <w:tcW w:w="2100" w:type="dxa"/>
          </w:tcPr>
          <w:p>
            <w:pPr/>
            <w:r>
              <w:t xml:space="preserve">Capture-grade NICs (for example Intel or NVIDIA/Mellanox 10/25 GbE)</w:t>
            </w:r>
          </w:p>
        </w:tc>
        <w:tc>
          <w:tcPr>
            <w:tcW w:w="1919" w:type="dxa"/>
          </w:tcPr>
          <w:p>
            <w:pPr/>
            <w:r>
              <w:t xml:space="preserve">Receive mirrored traffic</w:t>
            </w:r>
          </w:p>
        </w:tc>
        <w:tc>
          <w:tcPr>
            <w:tcW w:w="2499" w:type="dxa"/>
          </w:tcPr>
          <w:p>
            <w:pPr/>
            <w:r>
              <w:t xml:space="preserve">Hardware timestamping and RSS on many models</w:t>
            </w:r>
          </w:p>
        </w:tc>
        <w:tc>
          <w:tcPr>
            <w:tcW w:w="2842" w:type="dxa"/>
          </w:tcPr>
          <w:p>
            <w:pPr/>
            <w:r>
              <w:t xml:space="preserve">Driver and firmware lifecycle for five years</w:t>
            </w:r>
          </w:p>
        </w:tc>
      </w:tr>
      <w:tr>
        <w:tc>
          <w:tcPr>
            <w:tcW w:w="2100" w:type="dxa"/>
          </w:tcPr>
          <w:p>
            <w:pPr/>
            <w:r>
              <w:t xml:space="preserve">Specialist capture cards (for example Napatech, Endace)</w:t>
            </w:r>
          </w:p>
        </w:tc>
        <w:tc>
          <w:tcPr>
            <w:tcW w:w="1919" w:type="dxa"/>
          </w:tcPr>
          <w:p>
            <w:pPr/>
            <w:r>
              <w:t xml:space="preserve">Lossless capture at high rates</w:t>
            </w:r>
          </w:p>
        </w:tc>
        <w:tc>
          <w:tcPr>
            <w:tcW w:w="2499" w:type="dxa"/>
          </w:tcPr>
          <w:p>
            <w:pPr/>
            <w:r>
              <w:t xml:space="preserve">Hardware buffering, precise timestamps</w:t>
            </w:r>
          </w:p>
        </w:tc>
        <w:tc>
          <w:tcPr>
            <w:tcW w:w="2842" w:type="dxa"/>
          </w:tcPr>
          <w:p>
            <w:pPr/>
            <w:r>
              <w:t xml:space="preserve">Cost, vendor dependence. Only if the benchmark shows the need</w:t>
            </w:r>
          </w:p>
        </w:tc>
      </w:tr>
      <w:tr>
        <w:tc>
          <w:tcPr>
            <w:tcW w:w="2100" w:type="dxa"/>
          </w:tcPr>
          <w:p>
            <w:pPr/>
            <w:r>
              <w:t xml:space="preserve">Network packet brokers (for example Gigamon, Keysight, cPacket)</w:t>
            </w:r>
          </w:p>
        </w:tc>
        <w:tc>
          <w:tcPr>
            <w:tcW w:w="1919" w:type="dxa"/>
          </w:tcPr>
          <w:p>
            <w:pPr/>
            <w:r>
              <w:t xml:space="preserve">Aggregate, filter and load-balance TAP feeds</w:t>
            </w:r>
          </w:p>
        </w:tc>
        <w:tc>
          <w:tcPr>
            <w:tcW w:w="2499" w:type="dxa"/>
          </w:tcPr>
          <w:p>
            <w:pPr/>
            <w:r>
              <w:t xml:space="preserve">Deduplication and filtering before sensors</w:t>
            </w:r>
          </w:p>
        </w:tc>
        <w:tc>
          <w:tcPr>
            <w:tcW w:w="2842" w:type="dxa"/>
          </w:tcPr>
          <w:p>
            <w:pPr/>
            <w:r>
              <w:t xml:space="preserve">Cost. Check whether OPTCL already owns one</w:t>
            </w:r>
          </w:p>
        </w:tc>
      </w:tr>
      <w:tr>
        <w:tc>
          <w:tcPr>
            <w:tcW w:w="2100" w:type="dxa"/>
          </w:tcPr>
          <w:p>
            <w:pPr/>
            <w:r>
              <w:t xml:space="preserve">Hardware TAPs</w:t>
            </w:r>
          </w:p>
        </w:tc>
        <w:tc>
          <w:tcPr>
            <w:tcW w:w="1919" w:type="dxa"/>
          </w:tcPr>
          <w:p>
            <w:pPr/>
            <w:r>
              <w:t xml:space="preserve">Copy traffic without touching the link</w:t>
            </w:r>
          </w:p>
        </w:tc>
        <w:tc>
          <w:tcPr>
            <w:tcW w:w="2499" w:type="dxa"/>
          </w:tcPr>
          <w:p>
            <w:pPr/>
            <w:r>
              <w:t xml:space="preserve">Passive, no impact on production</w:t>
            </w:r>
          </w:p>
        </w:tc>
        <w:tc>
          <w:tcPr>
            <w:tcW w:w="2842" w:type="dxa"/>
          </w:tcPr>
          <w:p>
            <w:pPr/>
            <w:r>
              <w:t xml:space="preserve">Fibre/copper type and speed must match the link</w:t>
            </w:r>
          </w:p>
        </w:tc>
      </w:tr>
    </w:tbl>
    <w:p>
      <w:pPr>
        <w:pStyle w:val="Heading2"/>
      </w:pPr>
      <w:r>
        <w:t xml:space="preserve">3. Traffic analysis and flow generation</w:t>
      </w:r>
    </w:p>
    <w:tbl>
      <w:tblPr>
        <w:tblStyle w:val="TableGrid"/>
        <w:tblW w:w="0" w:type="auto"/>
        <w:tblLayout w:type="fixed"/>
        <w:tblLook w:val="04A0" w:firstRow="1" w:lastRow="0" w:firstColumn="0" w:lastColumn="0" w:noHBand="0" w:noVBand="1"/>
      </w:tblPr>
      <w:tblGrid>
        <w:gridCol w:w="1312"/>
        <w:gridCol w:w="2888"/>
        <w:gridCol w:w="2215"/>
        <w:gridCol w:w="2945"/>
      </w:tblGrid>
      <w:tr>
        <w:trPr>
          <w:tblHeader/>
        </w:trPr>
        <w:tc>
          <w:tcPr>
            <w:tcW w:w="1312" w:type="dxa"/>
            <w:shd w:val="clear" w:color="auto" w:fill="F2F2F2"/>
          </w:tcPr>
          <w:p>
            <w:pPr/>
            <w:r>
              <w:t xml:space="preserve">Tool</w:t>
            </w:r>
          </w:p>
        </w:tc>
        <w:tc>
          <w:tcPr>
            <w:tcW w:w="2888" w:type="dxa"/>
            <w:shd w:val="clear" w:color="auto" w:fill="F2F2F2"/>
          </w:tcPr>
          <w:p>
            <w:pPr/>
            <w:r>
              <w:t xml:space="preserve">Role</w:t>
            </w:r>
          </w:p>
        </w:tc>
        <w:tc>
          <w:tcPr>
            <w:tcW w:w="2215" w:type="dxa"/>
            <w:shd w:val="clear" w:color="auto" w:fill="F2F2F2"/>
          </w:tcPr>
          <w:p>
            <w:pPr/>
            <w:r>
              <w:t xml:space="preserve">Strengths</w:t>
            </w:r>
          </w:p>
        </w:tc>
        <w:tc>
          <w:tcPr>
            <w:tcW w:w="2945" w:type="dxa"/>
            <w:shd w:val="clear" w:color="auto" w:fill="F2F2F2"/>
          </w:tcPr>
          <w:p>
            <w:pPr/>
            <w:r>
              <w:t xml:space="preserve">Watch for</w:t>
            </w:r>
          </w:p>
        </w:tc>
      </w:tr>
      <w:tr>
        <w:tc>
          <w:tcPr>
            <w:tcW w:w="1312" w:type="dxa"/>
          </w:tcPr>
          <w:p>
            <w:pPr/>
            <w:r>
              <w:t xml:space="preserve">Zeek</w:t>
            </w:r>
          </w:p>
        </w:tc>
        <w:tc>
          <w:tcPr>
            <w:tcW w:w="2888" w:type="dxa"/>
          </w:tcPr>
          <w:p>
            <w:pPr/>
            <w:r>
              <w:t xml:space="preserve">Protocol analysis and rich session logs (connections, DNS, HTTP, TLS and more)</w:t>
            </w:r>
          </w:p>
        </w:tc>
        <w:tc>
          <w:tcPr>
            <w:tcW w:w="2215" w:type="dxa"/>
          </w:tcPr>
          <w:p>
            <w:pPr/>
            <w:r>
              <w:t xml:space="preserve">Excellent metadata quality, scriptable</w:t>
            </w:r>
          </w:p>
        </w:tc>
        <w:tc>
          <w:tcPr>
            <w:tcW w:w="2945" w:type="dxa"/>
          </w:tcPr>
          <w:p>
            <w:pPr/>
            <w:r>
              <w:t xml:space="preserve">Needs tuning at high rates, outputs need normalizing</w:t>
            </w:r>
          </w:p>
        </w:tc>
      </w:tr>
      <w:tr>
        <w:tc>
          <w:tcPr>
            <w:tcW w:w="1312" w:type="dxa"/>
          </w:tcPr>
          <w:p>
            <w:pPr/>
            <w:r>
              <w:t xml:space="preserve">Suricata</w:t>
            </w:r>
          </w:p>
        </w:tc>
        <w:tc>
          <w:tcPr>
            <w:tcW w:w="2888" w:type="dxa"/>
          </w:tcPr>
          <w:p>
            <w:pPr/>
            <w:r>
              <w:t xml:space="preserve">Signature-based detection, protocol parsing, file extraction, flow records</w:t>
            </w:r>
          </w:p>
        </w:tc>
        <w:tc>
          <w:tcPr>
            <w:tcW w:w="2215" w:type="dxa"/>
          </w:tcPr>
          <w:p>
            <w:pPr/>
            <w:r>
              <w:t xml:space="preserve">Multi-threaded, JSON event output, large rule ecosystem</w:t>
            </w:r>
          </w:p>
        </w:tc>
        <w:tc>
          <w:tcPr>
            <w:tcW w:w="2945" w:type="dxa"/>
          </w:tcPr>
          <w:p>
            <w:pPr/>
            <w:r>
              <w:t xml:space="preserve">Rule sets must be imported offline and licence terms checked</w:t>
            </w:r>
          </w:p>
        </w:tc>
      </w:tr>
      <w:tr>
        <w:tc>
          <w:tcPr>
            <w:tcW w:w="1312" w:type="dxa"/>
          </w:tcPr>
          <w:p>
            <w:pPr/>
            <w:r>
              <w:t xml:space="preserve">Arkime</w:t>
            </w:r>
          </w:p>
        </w:tc>
        <w:tc>
          <w:tcPr>
            <w:tcW w:w="2888" w:type="dxa"/>
          </w:tcPr>
          <w:p>
            <w:pPr/>
            <w:r>
              <w:t xml:space="preserve">Full packet capture with session indexing and PCAP retrieval</w:t>
            </w:r>
          </w:p>
        </w:tc>
        <w:tc>
          <w:tcPr>
            <w:tcW w:w="2215" w:type="dxa"/>
          </w:tcPr>
          <w:p>
            <w:pPr/>
            <w:r>
              <w:t xml:space="preserve">Closest match to the “search logs and raw packets from one console” need</w:t>
            </w:r>
          </w:p>
        </w:tc>
        <w:tc>
          <w:tcPr>
            <w:tcW w:w="2945" w:type="dxa"/>
          </w:tcPr>
          <w:p>
            <w:pPr/>
            <w:r>
              <w:t xml:space="preserve">Scale limits and index sizing need testing. Its own UI may not satisfy the single-console requirement</w:t>
            </w:r>
          </w:p>
        </w:tc>
      </w:tr>
      <w:tr>
        <w:tc>
          <w:tcPr>
            <w:tcW w:w="1312" w:type="dxa"/>
          </w:tcPr>
          <w:p>
            <w:pPr/>
            <w:r>
              <w:t xml:space="preserve">nProbe, softflowd, pmacct</w:t>
            </w:r>
          </w:p>
        </w:tc>
        <w:tc>
          <w:tcPr>
            <w:tcW w:w="2888" w:type="dxa"/>
          </w:tcPr>
          <w:p>
            <w:pPr/>
            <w:r>
              <w:t xml:space="preserve">Generate or collect NetFlow/IPFIX/sFlow</w:t>
            </w:r>
          </w:p>
        </w:tc>
        <w:tc>
          <w:tcPr>
            <w:tcW w:w="2215" w:type="dxa"/>
          </w:tcPr>
          <w:p>
            <w:pPr/>
            <w:r>
              <w:t xml:space="preserve">Mature flow tooling</w:t>
            </w:r>
          </w:p>
        </w:tc>
        <w:tc>
          <w:tcPr>
            <w:tcW w:w="2945" w:type="dxa"/>
          </w:tcPr>
          <w:p>
            <w:pPr/>
            <w:r>
              <w:t xml:space="preserve">Check licence for nProbe, and exporter template handling</w:t>
            </w:r>
          </w:p>
        </w:tc>
      </w:tr>
      <w:tr>
        <w:tc>
          <w:tcPr>
            <w:tcW w:w="1312" w:type="dxa"/>
          </w:tcPr>
          <w:p>
            <w:pPr/>
            <w:r>
              <w:t xml:space="preserve">goflow2 or similar collectors</w:t>
            </w:r>
          </w:p>
        </w:tc>
        <w:tc>
          <w:tcPr>
            <w:tcW w:w="2888" w:type="dxa"/>
          </w:tcPr>
          <w:p>
            <w:pPr/>
            <w:r>
              <w:t xml:space="preserve">Receive NetFlow/IPFIX/sFlow and emit structured records</w:t>
            </w:r>
          </w:p>
        </w:tc>
        <w:tc>
          <w:tcPr>
            <w:tcW w:w="2215" w:type="dxa"/>
          </w:tcPr>
          <w:p>
            <w:pPr/>
            <w:r>
              <w:t xml:space="preserve">Lightweight, easy to pipe to a queue</w:t>
            </w:r>
          </w:p>
        </w:tc>
        <w:tc>
          <w:tcPr>
            <w:tcW w:w="2945" w:type="dxa"/>
          </w:tcPr>
          <w:p>
            <w:pPr/>
            <w:r>
              <w:t xml:space="preserve">Confirm vendor-template coverage for OPTCL’s exporters</w:t>
            </w:r>
          </w:p>
        </w:tc>
      </w:tr>
      <w:tr>
        <w:tc>
          <w:tcPr>
            <w:tcW w:w="1312" w:type="dxa"/>
          </w:tcPr>
          <w:p>
            <w:pPr/>
            <w:r>
              <w:t xml:space="preserve">tshark, tcpdump, editcap, mergecap, capinfos</w:t>
            </w:r>
          </w:p>
        </w:tc>
        <w:tc>
          <w:tcPr>
            <w:tcW w:w="2888" w:type="dxa"/>
          </w:tcPr>
          <w:p>
            <w:pPr/>
            <w:r>
              <w:t xml:space="preserve">Packet inspection and file handling</w:t>
            </w:r>
          </w:p>
        </w:tc>
        <w:tc>
          <w:tcPr>
            <w:tcW w:w="2215" w:type="dxa"/>
          </w:tcPr>
          <w:p>
            <w:pPr/>
            <w:r>
              <w:t xml:space="preserve">Standard analyst and test tooling</w:t>
            </w:r>
          </w:p>
        </w:tc>
        <w:tc>
          <w:tcPr>
            <w:tcW w:w="2945" w:type="dxa"/>
          </w:tcPr>
          <w:p>
            <w:pPr/>
            <w:r>
              <w:t xml:space="preserve">Not production components</w:t>
            </w:r>
          </w:p>
        </w:tc>
      </w:tr>
    </w:tbl>
    <w:p>
      <w:pPr/>
      <w:r>
        <w:t xml:space="preserve">A practical pattern: Zeek and Suricata read the same mirrored traffic for metadata and alerts, Arkime or a custom writer stores PCAP, and flow collectors handle router and firewall exports. All of it lands in the canonical schema described in the data model document.</w:t>
      </w:r>
    </w:p>
    <w:p>
      <w:pPr>
        <w:pStyle w:val="Heading2"/>
      </w:pPr>
      <w:r>
        <w:t xml:space="preserve">4. Ingestion and stream processing</w:t>
      </w:r>
    </w:p>
    <w:tbl>
      <w:tblPr>
        <w:tblStyle w:val="TableGrid"/>
        <w:tblW w:w="0" w:type="auto"/>
        <w:tblLayout w:type="fixed"/>
        <w:tblLook w:val="04A0" w:firstRow="1" w:lastRow="0" w:firstColumn="0" w:lastColumn="0" w:noHBand="0" w:noVBand="1"/>
      </w:tblPr>
      <w:tblGrid>
        <w:gridCol w:w="1430"/>
        <w:gridCol w:w="1828"/>
        <w:gridCol w:w="2349"/>
        <w:gridCol w:w="3753"/>
      </w:tblGrid>
      <w:tr>
        <w:trPr>
          <w:tblHeader/>
        </w:trPr>
        <w:tc>
          <w:tcPr>
            <w:tcW w:w="1430" w:type="dxa"/>
            <w:shd w:val="clear" w:color="auto" w:fill="F2F2F2"/>
          </w:tcPr>
          <w:p>
            <w:pPr/>
            <w:r>
              <w:t xml:space="preserve">Tool</w:t>
            </w:r>
          </w:p>
        </w:tc>
        <w:tc>
          <w:tcPr>
            <w:tcW w:w="1828" w:type="dxa"/>
            <w:shd w:val="clear" w:color="auto" w:fill="F2F2F2"/>
          </w:tcPr>
          <w:p>
            <w:pPr/>
            <w:r>
              <w:t xml:space="preserve">Role</w:t>
            </w:r>
          </w:p>
        </w:tc>
        <w:tc>
          <w:tcPr>
            <w:tcW w:w="2349" w:type="dxa"/>
            <w:shd w:val="clear" w:color="auto" w:fill="F2F2F2"/>
          </w:tcPr>
          <w:p>
            <w:pPr/>
            <w:r>
              <w:t xml:space="preserve">Strengths</w:t>
            </w:r>
          </w:p>
        </w:tc>
        <w:tc>
          <w:tcPr>
            <w:tcW w:w="3753" w:type="dxa"/>
            <w:shd w:val="clear" w:color="auto" w:fill="F2F2F2"/>
          </w:tcPr>
          <w:p>
            <w:pPr/>
            <w:r>
              <w:t xml:space="preserve">Watch for</w:t>
            </w:r>
          </w:p>
        </w:tc>
      </w:tr>
      <w:tr>
        <w:tc>
          <w:tcPr>
            <w:tcW w:w="1430" w:type="dxa"/>
          </w:tcPr>
          <w:p>
            <w:pPr/>
            <w:r>
              <w:t xml:space="preserve">Apache Kafka</w:t>
            </w:r>
          </w:p>
        </w:tc>
        <w:tc>
          <w:tcPr>
            <w:tcW w:w="1828" w:type="dxa"/>
          </w:tcPr>
          <w:p>
            <w:pPr/>
            <w:r>
              <w:t xml:space="preserve">Durable event queue</w:t>
            </w:r>
          </w:p>
        </w:tc>
        <w:tc>
          <w:tcPr>
            <w:tcW w:w="2349" w:type="dxa"/>
          </w:tcPr>
          <w:p>
            <w:pPr/>
            <w:r>
              <w:t xml:space="preserve">Replay, partitioning, huge ecosystem</w:t>
            </w:r>
          </w:p>
        </w:tc>
        <w:tc>
          <w:tcPr>
            <w:tcW w:w="3753" w:type="dxa"/>
          </w:tcPr>
          <w:p>
            <w:pPr/>
            <w:r>
              <w:t xml:space="preserve">Cluster operations, ZooKeeper-free mode needs current versions, memory and disk planning</w:t>
            </w:r>
          </w:p>
        </w:tc>
      </w:tr>
      <w:tr>
        <w:tc>
          <w:tcPr>
            <w:tcW w:w="1430" w:type="dxa"/>
          </w:tcPr>
          <w:p>
            <w:pPr/>
            <w:r>
              <w:t xml:space="preserve">Redpanda</w:t>
            </w:r>
          </w:p>
        </w:tc>
        <w:tc>
          <w:tcPr>
            <w:tcW w:w="1828" w:type="dxa"/>
          </w:tcPr>
          <w:p>
            <w:pPr/>
            <w:r>
              <w:t xml:space="preserve">Kafka-compatible queue</w:t>
            </w:r>
          </w:p>
        </w:tc>
        <w:tc>
          <w:tcPr>
            <w:tcW w:w="2349" w:type="dxa"/>
          </w:tcPr>
          <w:p>
            <w:pPr/>
            <w:r>
              <w:t xml:space="preserve">Single binary, simpler operations</w:t>
            </w:r>
          </w:p>
        </w:tc>
        <w:tc>
          <w:tcPr>
            <w:tcW w:w="3753" w:type="dxa"/>
          </w:tcPr>
          <w:p>
            <w:pPr/>
            <w:r>
              <w:t xml:space="preserve">Check licence model and five-year support position</w:t>
            </w:r>
          </w:p>
        </w:tc>
      </w:tr>
      <w:tr>
        <w:tc>
          <w:tcPr>
            <w:tcW w:w="1430" w:type="dxa"/>
          </w:tcPr>
          <w:p>
            <w:pPr/>
            <w:r>
              <w:t xml:space="preserve">NATS JetStream</w:t>
            </w:r>
          </w:p>
        </w:tc>
        <w:tc>
          <w:tcPr>
            <w:tcW w:w="1828" w:type="dxa"/>
          </w:tcPr>
          <w:p>
            <w:pPr/>
            <w:r>
              <w:t xml:space="preserve">Lighter durable messaging</w:t>
            </w:r>
          </w:p>
        </w:tc>
        <w:tc>
          <w:tcPr>
            <w:tcW w:w="2349" w:type="dxa"/>
          </w:tcPr>
          <w:p>
            <w:pPr/>
            <w:r>
              <w:t xml:space="preserve">Small footprint</w:t>
            </w:r>
          </w:p>
        </w:tc>
        <w:tc>
          <w:tcPr>
            <w:tcW w:w="3753" w:type="dxa"/>
          </w:tcPr>
          <w:p>
            <w:pPr/>
            <w:r>
              <w:t xml:space="preserve">Smaller analytics ecosystem</w:t>
            </w:r>
          </w:p>
        </w:tc>
      </w:tr>
      <w:tr>
        <w:tc>
          <w:tcPr>
            <w:tcW w:w="1430" w:type="dxa"/>
          </w:tcPr>
          <w:p>
            <w:pPr/>
            <w:r>
              <w:t xml:space="preserve">Apache Flink or Kafka Streams</w:t>
            </w:r>
          </w:p>
        </w:tc>
        <w:tc>
          <w:tcPr>
            <w:tcW w:w="1828" w:type="dxa"/>
          </w:tcPr>
          <w:p>
            <w:pPr/>
            <w:r>
              <w:t xml:space="preserve">Windowed stream processing</w:t>
            </w:r>
          </w:p>
        </w:tc>
        <w:tc>
          <w:tcPr>
            <w:tcW w:w="2349" w:type="dxa"/>
          </w:tcPr>
          <w:p>
            <w:pPr/>
            <w:r>
              <w:t xml:space="preserve">Good for rolling windows, joins, stateful detectors</w:t>
            </w:r>
          </w:p>
        </w:tc>
        <w:tc>
          <w:tcPr>
            <w:tcW w:w="3753" w:type="dxa"/>
          </w:tcPr>
          <w:p>
            <w:pPr/>
            <w:r>
              <w:t xml:space="preserve">Operational weight. Plain worker services may be enough for rules and thresholds</w:t>
            </w:r>
          </w:p>
        </w:tc>
      </w:tr>
      <w:tr>
        <w:tc>
          <w:tcPr>
            <w:tcW w:w="1430" w:type="dxa"/>
          </w:tcPr>
          <w:p>
            <w:pPr/>
            <w:r>
              <w:t xml:space="preserve">Custom Go or Java workers</w:t>
            </w:r>
          </w:p>
        </w:tc>
        <w:tc>
          <w:tcPr>
            <w:tcW w:w="1828" w:type="dxa"/>
          </w:tcPr>
          <w:p>
            <w:pPr/>
            <w:r>
              <w:t xml:space="preserve">Normalization, enrichment, rules</w:t>
            </w:r>
          </w:p>
        </w:tc>
        <w:tc>
          <w:tcPr>
            <w:tcW w:w="2349" w:type="dxa"/>
          </w:tcPr>
          <w:p>
            <w:pPr/>
            <w:r>
              <w:t xml:space="preserve">Full control, easy to package offline</w:t>
            </w:r>
          </w:p>
        </w:tc>
        <w:tc>
          <w:tcPr>
            <w:tcW w:w="3753" w:type="dxa"/>
          </w:tcPr>
          <w:p>
            <w:pPr/>
            <w:r>
              <w:t xml:space="preserve">Team must own the code for five years</w:t>
            </w:r>
          </w:p>
        </w:tc>
      </w:tr>
    </w:tbl>
    <w:p>
      <w:pPr/>
      <w:r>
        <w:t xml:space="preserve">Start with the smallest thing that meets the benchmark. If a three-node queue and plain workers handle the measured load with the required 30% headroom, a full stream-processing framework is extra weight.</w:t>
      </w:r>
    </w:p>
    <w:p>
      <w:pPr>
        <w:pStyle w:val="Heading2"/>
      </w:pPr>
      <w:r>
        <w:t xml:space="preserve">5. Storage and search</w:t>
      </w:r>
    </w:p>
    <w:tbl>
      <w:tblPr>
        <w:tblStyle w:val="TableGrid"/>
        <w:tblW w:w="0" w:type="auto"/>
        <w:tblLayout w:type="fixed"/>
        <w:tblLook w:val="04A0" w:firstRow="1" w:lastRow="0" w:firstColumn="0" w:lastColumn="0" w:noHBand="0" w:noVBand="1"/>
      </w:tblPr>
      <w:tblGrid>
        <w:gridCol w:w="1661"/>
        <w:gridCol w:w="2478"/>
        <w:gridCol w:w="2140"/>
        <w:gridCol w:w="3081"/>
      </w:tblGrid>
      <w:tr>
        <w:trPr>
          <w:tblHeader/>
        </w:trPr>
        <w:tc>
          <w:tcPr>
            <w:tcW w:w="1661" w:type="dxa"/>
            <w:shd w:val="clear" w:color="auto" w:fill="F2F2F2"/>
          </w:tcPr>
          <w:p>
            <w:pPr/>
            <w:r>
              <w:t xml:space="preserve">Tool</w:t>
            </w:r>
          </w:p>
        </w:tc>
        <w:tc>
          <w:tcPr>
            <w:tcW w:w="2478" w:type="dxa"/>
            <w:shd w:val="clear" w:color="auto" w:fill="F2F2F2"/>
          </w:tcPr>
          <w:p>
            <w:pPr/>
            <w:r>
              <w:t xml:space="preserve">Used for</w:t>
            </w:r>
          </w:p>
        </w:tc>
        <w:tc>
          <w:tcPr>
            <w:tcW w:w="2140" w:type="dxa"/>
            <w:shd w:val="clear" w:color="auto" w:fill="F2F2F2"/>
          </w:tcPr>
          <w:p>
            <w:pPr/>
            <w:r>
              <w:t xml:space="preserve">Strengths</w:t>
            </w:r>
          </w:p>
        </w:tc>
        <w:tc>
          <w:tcPr>
            <w:tcW w:w="3081" w:type="dxa"/>
            <w:shd w:val="clear" w:color="auto" w:fill="F2F2F2"/>
          </w:tcPr>
          <w:p>
            <w:pPr/>
            <w:r>
              <w:t xml:space="preserve">Watch for</w:t>
            </w:r>
          </w:p>
        </w:tc>
      </w:tr>
      <w:tr>
        <w:tc>
          <w:tcPr>
            <w:tcW w:w="1661" w:type="dxa"/>
          </w:tcPr>
          <w:p>
            <w:pPr/>
            <w:r>
              <w:t xml:space="preserve">OpenSearch</w:t>
            </w:r>
          </w:p>
        </w:tc>
        <w:tc>
          <w:tcPr>
            <w:tcW w:w="2478" w:type="dxa"/>
          </w:tcPr>
          <w:p>
            <w:pPr/>
            <w:r>
              <w:t xml:space="preserve">Alerts, incidents, searchable events, dashboards</w:t>
            </w:r>
          </w:p>
        </w:tc>
        <w:tc>
          <w:tcPr>
            <w:tcW w:w="2140" w:type="dxa"/>
          </w:tcPr>
          <w:p>
            <w:pPr/>
            <w:r>
              <w:t xml:space="preserve">Flexible search, mature, familiar to SOC teams</w:t>
            </w:r>
          </w:p>
        </w:tc>
        <w:tc>
          <w:tcPr>
            <w:tcW w:w="3081" w:type="dxa"/>
          </w:tcPr>
          <w:p>
            <w:pPr/>
            <w:r>
              <w:t xml:space="preserve">Storage amplification, heap tuning, large result export speed</w:t>
            </w:r>
          </w:p>
        </w:tc>
      </w:tr>
      <w:tr>
        <w:tc>
          <w:tcPr>
            <w:tcW w:w="1661" w:type="dxa"/>
          </w:tcPr>
          <w:p>
            <w:pPr/>
            <w:r>
              <w:t xml:space="preserve">ClickHouse</w:t>
            </w:r>
          </w:p>
        </w:tc>
        <w:tc>
          <w:tcPr>
            <w:tcW w:w="2478" w:type="dxa"/>
          </w:tcPr>
          <w:p>
            <w:pPr/>
            <w:r>
              <w:t xml:space="preserve">High-volume flow and metadata analytics</w:t>
            </w:r>
          </w:p>
        </w:tc>
        <w:tc>
          <w:tcPr>
            <w:tcW w:w="2140" w:type="dxa"/>
          </w:tcPr>
          <w:p>
            <w:pPr/>
            <w:r>
              <w:t xml:space="preserve">Very fast aggregation, strong compression</w:t>
            </w:r>
          </w:p>
        </w:tc>
        <w:tc>
          <w:tcPr>
            <w:tcW w:w="3081" w:type="dxa"/>
          </w:tcPr>
          <w:p>
            <w:pPr/>
            <w:r>
              <w:t xml:space="preserve">Different query model, updates are expensive, cluster operations</w:t>
            </w:r>
          </w:p>
        </w:tc>
      </w:tr>
      <w:tr>
        <w:tc>
          <w:tcPr>
            <w:tcW w:w="1661" w:type="dxa"/>
          </w:tcPr>
          <w:p>
            <w:pPr/>
            <w:r>
              <w:t xml:space="preserve">PostgreSQL</w:t>
            </w:r>
          </w:p>
        </w:tc>
        <w:tc>
          <w:tcPr>
            <w:tcW w:w="2478" w:type="dxa"/>
          </w:tcPr>
          <w:p>
            <w:pPr/>
            <w:r>
              <w:t xml:space="preserve">Configuration, users, rules, incident workflow</w:t>
            </w:r>
          </w:p>
        </w:tc>
        <w:tc>
          <w:tcPr>
            <w:tcW w:w="2140" w:type="dxa"/>
          </w:tcPr>
          <w:p>
            <w:pPr/>
            <w:r>
              <w:t xml:space="preserve">Reliable, well understood</w:t>
            </w:r>
          </w:p>
        </w:tc>
        <w:tc>
          <w:tcPr>
            <w:tcW w:w="3081" w:type="dxa"/>
          </w:tcPr>
          <w:p>
            <w:pPr/>
            <w:r>
              <w:t xml:space="preserve">Not for bulk flow storage</w:t>
            </w:r>
          </w:p>
        </w:tc>
      </w:tr>
      <w:tr>
        <w:tc>
          <w:tcPr>
            <w:tcW w:w="1661" w:type="dxa"/>
          </w:tcPr>
          <w:p>
            <w:pPr/>
            <w:r>
              <w:t xml:space="preserve">Local filesystem on RAID or distributed store (for example Ceph)</w:t>
            </w:r>
          </w:p>
        </w:tc>
        <w:tc>
          <w:tcPr>
            <w:tcW w:w="2478" w:type="dxa"/>
          </w:tcPr>
          <w:p>
            <w:pPr/>
            <w:r>
              <w:t xml:space="preserve">Raw PCAP archive</w:t>
            </w:r>
          </w:p>
        </w:tc>
        <w:tc>
          <w:tcPr>
            <w:tcW w:w="2140" w:type="dxa"/>
          </w:tcPr>
          <w:p>
            <w:pPr/>
            <w:r>
              <w:t xml:space="preserve">High sequential write throughput</w:t>
            </w:r>
          </w:p>
        </w:tc>
        <w:tc>
          <w:tcPr>
            <w:tcW w:w="3081" w:type="dxa"/>
          </w:tcPr>
          <w:p>
            <w:pPr/>
            <w:r>
              <w:t xml:space="preserve">Retrieval path and failure recovery must be tested</w:t>
            </w:r>
          </w:p>
        </w:tc>
      </w:tr>
      <w:tr>
        <w:tc>
          <w:tcPr>
            <w:tcW w:w="1661" w:type="dxa"/>
          </w:tcPr>
          <w:p>
            <w:pPr/>
            <w:r>
              <w:t xml:space="preserve">On-prem S3-compatible object store</w:t>
            </w:r>
          </w:p>
        </w:tc>
        <w:tc>
          <w:tcPr>
            <w:tcW w:w="2478" w:type="dxa"/>
          </w:tcPr>
          <w:p>
            <w:pPr/>
            <w:r>
              <w:t xml:space="preserve">Raw PCAP archive or backups</w:t>
            </w:r>
          </w:p>
        </w:tc>
        <w:tc>
          <w:tcPr>
            <w:tcW w:w="2140" w:type="dxa"/>
          </w:tcPr>
          <w:p>
            <w:pPr/>
            <w:r>
              <w:t xml:space="preserve">Simple retention policies</w:t>
            </w:r>
          </w:p>
        </w:tc>
        <w:tc>
          <w:tcPr>
            <w:tcW w:w="3081" w:type="dxa"/>
          </w:tcPr>
          <w:p>
            <w:pPr/>
            <w:r>
              <w:t xml:space="preserve">Check licence terms and sustained write rates</w:t>
            </w:r>
          </w:p>
        </w:tc>
      </w:tr>
      <w:tr>
        <w:tc>
          <w:tcPr>
            <w:tcW w:w="1661" w:type="dxa"/>
          </w:tcPr>
          <w:p>
            <w:pPr/>
            <w:r>
              <w:t xml:space="preserve">Redis</w:t>
            </w:r>
          </w:p>
        </w:tc>
        <w:tc>
          <w:tcPr>
            <w:tcW w:w="2478" w:type="dxa"/>
          </w:tcPr>
          <w:p>
            <w:pPr/>
            <w:r>
              <w:t xml:space="preserve">Cache, only if measured need exists</w:t>
            </w:r>
          </w:p>
        </w:tc>
        <w:tc>
          <w:tcPr>
            <w:tcW w:w="2140" w:type="dxa"/>
          </w:tcPr>
          <w:p>
            <w:pPr/>
            <w:r>
              <w:t xml:space="preserve">Fast lookups</w:t>
            </w:r>
          </w:p>
        </w:tc>
        <w:tc>
          <w:tcPr>
            <w:tcW w:w="3081" w:type="dxa"/>
          </w:tcPr>
          <w:p>
            <w:pPr/>
            <w:r>
              <w:t xml:space="preserve">Adds a stateful component to operate</w:t>
            </w:r>
          </w:p>
        </w:tc>
      </w:tr>
    </w:tbl>
    <w:p>
      <w:pPr/>
      <w:r>
        <w:t xml:space="preserve">The 5-million-record, 180-second requirement is the deciding benchmark for the search tier. Test OpenSearch and ClickHouse with the same dataset, the same query, and the same definition of “retrieve” (see the sizing document).</w:t>
      </w:r>
    </w:p>
    <w:p>
      <w:pPr>
        <w:pStyle w:val="Heading2"/>
      </w:pPr>
      <w:r>
        <w:t xml:space="preserve">6. Detection, analytics and machine learning</w:t>
      </w:r>
    </w:p>
    <w:tbl>
      <w:tblPr>
        <w:tblStyle w:val="TableGrid"/>
        <w:tblW w:w="0" w:type="auto"/>
        <w:tblLayout w:type="fixed"/>
        <w:tblLook w:val="04A0" w:firstRow="1" w:lastRow="0" w:firstColumn="0" w:lastColumn="0" w:noHBand="0" w:noVBand="1"/>
      </w:tblPr>
      <w:tblGrid>
        <w:gridCol w:w="2877"/>
        <w:gridCol w:w="2044"/>
        <w:gridCol w:w="4439"/>
      </w:tblGrid>
      <w:tr>
        <w:trPr>
          <w:tblHeader/>
        </w:trPr>
        <w:tc>
          <w:tcPr>
            <w:tcW w:w="2877" w:type="dxa"/>
            <w:shd w:val="clear" w:color="auto" w:fill="F2F2F2"/>
          </w:tcPr>
          <w:p>
            <w:pPr/>
            <w:r>
              <w:t xml:space="preserve">Tool or approach</w:t>
            </w:r>
          </w:p>
        </w:tc>
        <w:tc>
          <w:tcPr>
            <w:tcW w:w="2044" w:type="dxa"/>
            <w:shd w:val="clear" w:color="auto" w:fill="F2F2F2"/>
          </w:tcPr>
          <w:p>
            <w:pPr/>
            <w:r>
              <w:t xml:space="preserve">Used for</w:t>
            </w:r>
          </w:p>
        </w:tc>
        <w:tc>
          <w:tcPr>
            <w:tcW w:w="4439" w:type="dxa"/>
            <w:shd w:val="clear" w:color="auto" w:fill="F2F2F2"/>
          </w:tcPr>
          <w:p>
            <w:pPr/>
            <w:r>
              <w:t xml:space="preserve">Notes</w:t>
            </w:r>
          </w:p>
        </w:tc>
      </w:tr>
      <w:tr>
        <w:tc>
          <w:tcPr>
            <w:tcW w:w="2877" w:type="dxa"/>
          </w:tcPr>
          <w:p>
            <w:pPr/>
            <w:r>
              <w:t xml:space="preserve">Native rule engine in our workers</w:t>
            </w:r>
          </w:p>
        </w:tc>
        <w:tc>
          <w:tcPr>
            <w:tcW w:w="2044" w:type="dxa"/>
          </w:tcPr>
          <w:p>
            <w:pPr/>
            <w:r>
              <w:t xml:space="preserve">Thresholds, policy rules, custom rules</w:t>
            </w:r>
          </w:p>
        </w:tc>
        <w:tc>
          <w:tcPr>
            <w:tcW w:w="4439" w:type="dxa"/>
          </w:tcPr>
          <w:p>
            <w:pPr/>
            <w:r>
              <w:t xml:space="preserve">Rule language and UI needed to satisfy the custom-rule requirement</w:t>
            </w:r>
          </w:p>
        </w:tc>
      </w:tr>
      <w:tr>
        <w:tc>
          <w:tcPr>
            <w:tcW w:w="2877" w:type="dxa"/>
          </w:tcPr>
          <w:p>
            <w:pPr/>
            <w:r>
              <w:t xml:space="preserve">Python with pandas, scikit-learn</w:t>
            </w:r>
          </w:p>
        </w:tc>
        <w:tc>
          <w:tcPr>
            <w:tcW w:w="2044" w:type="dxa"/>
          </w:tcPr>
          <w:p>
            <w:pPr/>
            <w:r>
              <w:t xml:space="preserve">Offline baseline and model development</w:t>
            </w:r>
          </w:p>
        </w:tc>
        <w:tc>
          <w:tcPr>
            <w:tcW w:w="4439" w:type="dxa"/>
          </w:tcPr>
          <w:p>
            <w:pPr/>
            <w:r>
              <w:t xml:space="preserve">Isolation forest, clustering, per-host statistical profiles. Package for offline install</w:t>
            </w:r>
          </w:p>
        </w:tc>
      </w:tr>
      <w:tr>
        <w:tc>
          <w:tcPr>
            <w:tcW w:w="2877" w:type="dxa"/>
          </w:tcPr>
          <w:p>
            <w:pPr/>
            <w:r>
              <w:t xml:space="preserve">Graph libraries (for example NetworkX for prototyping)</w:t>
            </w:r>
          </w:p>
        </w:tc>
        <w:tc>
          <w:tcPr>
            <w:tcW w:w="2044" w:type="dxa"/>
          </w:tcPr>
          <w:p>
            <w:pPr/>
            <w:r>
              <w:t xml:space="preserve">Communication graph analysis</w:t>
            </w:r>
          </w:p>
        </w:tc>
        <w:tc>
          <w:tcPr>
            <w:tcW w:w="4439" w:type="dxa"/>
          </w:tcPr>
          <w:p>
            <w:pPr/>
            <w:r>
              <w:t xml:space="preserve">Production scale may need a custom or database-backed approach</w:t>
            </w:r>
          </w:p>
        </w:tc>
      </w:tr>
      <w:tr>
        <w:tc>
          <w:tcPr>
            <w:tcW w:w="2877" w:type="dxa"/>
          </w:tcPr>
          <w:p>
            <w:pPr/>
            <w:r>
              <w:t xml:space="preserve">MISP, OpenCTI or flat STIX/CSV import</w:t>
            </w:r>
          </w:p>
        </w:tc>
        <w:tc>
          <w:tcPr>
            <w:tcW w:w="2044" w:type="dxa"/>
          </w:tcPr>
          <w:p>
            <w:pPr/>
            <w:r>
              <w:t xml:space="preserve">Threat-intelligence storage and sharing</w:t>
            </w:r>
          </w:p>
        </w:tc>
        <w:tc>
          <w:tcPr>
            <w:tcW w:w="4439" w:type="dxa"/>
          </w:tcPr>
          <w:p>
            <w:pPr/>
            <w:r>
              <w:t xml:space="preserve">MISP is commonly used offline. Feed import must be a controlled manual workflow</w:t>
            </w:r>
          </w:p>
        </w:tc>
      </w:tr>
      <w:tr>
        <w:tc>
          <w:tcPr>
            <w:tcW w:w="2877" w:type="dxa"/>
          </w:tcPr>
          <w:p>
            <w:pPr/>
            <w:r>
              <w:t xml:space="preserve">Public research datasets (for example CIC-IDS2017, UNSW-NB15, CTU-13)</w:t>
            </w:r>
          </w:p>
        </w:tc>
        <w:tc>
          <w:tcPr>
            <w:tcW w:w="2044" w:type="dxa"/>
          </w:tcPr>
          <w:p>
            <w:pPr/>
            <w:r>
              <w:t xml:space="preserve">Model evaluation</w:t>
            </w:r>
          </w:p>
        </w:tc>
        <w:tc>
          <w:tcPr>
            <w:tcW w:w="4439" w:type="dxa"/>
          </w:tcPr>
          <w:p>
            <w:pPr/>
            <w:r>
              <w:t xml:space="preserve">Import through the offline package process. Useful for testing, not a substitute for OPTCL traffic</w:t>
            </w:r>
          </w:p>
        </w:tc>
      </w:tr>
    </w:tbl>
    <w:p>
      <w:pPr/>
      <w:r>
        <w:t xml:space="preserve">The tender asks for ML capability for unlimited hosts with no extra licence. Self-built or open-source ML satisfies that technically, but get written confirmation from the commercial owner of how the clause will be answered.</w:t>
      </w:r>
    </w:p>
    <w:p>
      <w:pPr>
        <w:pStyle w:val="Heading2"/>
      </w:pPr>
      <w:r>
        <w:t xml:space="preserve">7. Application layer</w:t>
      </w:r>
    </w:p>
    <w:tbl>
      <w:tblPr>
        <w:tblStyle w:val="TableGrid"/>
        <w:tblW w:w="0" w:type="auto"/>
        <w:tblLayout w:type="fixed"/>
        <w:tblLook w:val="04A0" w:firstRow="1" w:lastRow="0" w:firstColumn="0" w:lastColumn="0" w:noHBand="0" w:noVBand="1"/>
      </w:tblPr>
      <w:tblGrid>
        <w:gridCol w:w="2572"/>
        <w:gridCol w:w="3185"/>
        <w:gridCol w:w="3603"/>
      </w:tblGrid>
      <w:tr>
        <w:trPr>
          <w:tblHeader/>
        </w:trPr>
        <w:tc>
          <w:tcPr>
            <w:tcW w:w="2572" w:type="dxa"/>
            <w:shd w:val="clear" w:color="auto" w:fill="F2F2F2"/>
          </w:tcPr>
          <w:p>
            <w:pPr/>
            <w:r>
              <w:t xml:space="preserve">Layer</w:t>
            </w:r>
          </w:p>
        </w:tc>
        <w:tc>
          <w:tcPr>
            <w:tcW w:w="3185" w:type="dxa"/>
            <w:shd w:val="clear" w:color="auto" w:fill="F2F2F2"/>
          </w:tcPr>
          <w:p>
            <w:pPr/>
            <w:r>
              <w:t xml:space="preserve">Options</w:t>
            </w:r>
          </w:p>
        </w:tc>
        <w:tc>
          <w:tcPr>
            <w:tcW w:w="3603" w:type="dxa"/>
            <w:shd w:val="clear" w:color="auto" w:fill="F2F2F2"/>
          </w:tcPr>
          <w:p>
            <w:pPr/>
            <w:r>
              <w:t xml:space="preserve">Notes</w:t>
            </w:r>
          </w:p>
        </w:tc>
      </w:tr>
      <w:tr>
        <w:tc>
          <w:tcPr>
            <w:tcW w:w="2572" w:type="dxa"/>
          </w:tcPr>
          <w:p>
            <w:pPr/>
            <w:r>
              <w:t xml:space="preserve">Backend services</w:t>
            </w:r>
          </w:p>
        </w:tc>
        <w:tc>
          <w:tcPr>
            <w:tcW w:w="3185" w:type="dxa"/>
          </w:tcPr>
          <w:p>
            <w:pPr/>
            <w:r>
              <w:t xml:space="preserve">Go or Java</w:t>
            </w:r>
          </w:p>
        </w:tc>
        <w:tc>
          <w:tcPr>
            <w:tcW w:w="3603" w:type="dxa"/>
          </w:tcPr>
          <w:p>
            <w:pPr/>
            <w:r>
              <w:t xml:space="preserve">Pick by team skill and long-term maintenance</w:t>
            </w:r>
          </w:p>
        </w:tc>
      </w:tr>
      <w:tr>
        <w:tc>
          <w:tcPr>
            <w:tcW w:w="2572" w:type="dxa"/>
          </w:tcPr>
          <w:p>
            <w:pPr/>
            <w:r>
              <w:t xml:space="preserve">Frontend</w:t>
            </w:r>
          </w:p>
        </w:tc>
        <w:tc>
          <w:tcPr>
            <w:tcW w:w="3185" w:type="dxa"/>
          </w:tcPr>
          <w:p>
            <w:pPr/>
            <w:r>
              <w:t xml:space="preserve">React with TypeScript, or the organization’s standard</w:t>
            </w:r>
          </w:p>
        </w:tc>
        <w:tc>
          <w:tcPr>
            <w:tcW w:w="3603" w:type="dxa"/>
          </w:tcPr>
          <w:p>
            <w:pPr/>
            <w:r>
              <w:t xml:space="preserve">Must deliver the single-console requirement</w:t>
            </w:r>
          </w:p>
        </w:tc>
      </w:tr>
      <w:tr>
        <w:tc>
          <w:tcPr>
            <w:tcW w:w="2572" w:type="dxa"/>
          </w:tcPr>
          <w:p>
            <w:pPr/>
            <w:r>
              <w:t xml:space="preserve">Charts and dashboards</w:t>
            </w:r>
          </w:p>
        </w:tc>
        <w:tc>
          <w:tcPr>
            <w:tcW w:w="3185" w:type="dxa"/>
          </w:tcPr>
          <w:p>
            <w:pPr/>
            <w:r>
              <w:t xml:space="preserve">Embedded chart library, or Grafana for operations views</w:t>
            </w:r>
          </w:p>
        </w:tc>
        <w:tc>
          <w:tcPr>
            <w:tcW w:w="3603" w:type="dxa"/>
          </w:tcPr>
          <w:p>
            <w:pPr/>
            <w:r>
              <w:t xml:space="preserve">Analyst views should live in our own console, not a separate product</w:t>
            </w:r>
          </w:p>
        </w:tc>
      </w:tr>
      <w:tr>
        <w:tc>
          <w:tcPr>
            <w:tcW w:w="2572" w:type="dxa"/>
          </w:tcPr>
          <w:p>
            <w:pPr/>
            <w:r>
              <w:t xml:space="preserve">Authentication</w:t>
            </w:r>
          </w:p>
        </w:tc>
        <w:tc>
          <w:tcPr>
            <w:tcW w:w="3185" w:type="dxa"/>
          </w:tcPr>
          <w:p>
            <w:pPr/>
            <w:r>
              <w:t xml:space="preserve">LDAPS or AD integration, local break-glass account</w:t>
            </w:r>
          </w:p>
        </w:tc>
        <w:tc>
          <w:tcPr>
            <w:tcW w:w="3603" w:type="dxa"/>
          </w:tcPr>
          <w:p>
            <w:pPr/>
            <w:r>
              <w:t xml:space="preserve">MFA where the environment supports it</w:t>
            </w:r>
          </w:p>
        </w:tc>
      </w:tr>
    </w:tbl>
    <w:p>
      <w:pPr>
        <w:pStyle w:val="Heading2"/>
      </w:pPr>
      <w:r>
        <w:t xml:space="preserve">8. Operations and deployment</w:t>
      </w:r>
    </w:p>
    <w:tbl>
      <w:tblPr>
        <w:tblStyle w:val="TableGrid"/>
        <w:tblW w:w="0" w:type="auto"/>
        <w:tblLayout w:type="fixed"/>
        <w:tblLook w:val="04A0" w:firstRow="1" w:lastRow="0" w:firstColumn="0" w:lastColumn="0" w:noHBand="0" w:noVBand="1"/>
      </w:tblPr>
      <w:tblGrid>
        <w:gridCol w:w="3021"/>
        <w:gridCol w:w="2967"/>
        <w:gridCol w:w="3372"/>
      </w:tblGrid>
      <w:tr>
        <w:trPr>
          <w:tblHeader/>
        </w:trPr>
        <w:tc>
          <w:tcPr>
            <w:tcW w:w="3021" w:type="dxa"/>
            <w:shd w:val="clear" w:color="auto" w:fill="F2F2F2"/>
          </w:tcPr>
          <w:p>
            <w:pPr/>
            <w:r>
              <w:t xml:space="preserve">Area</w:t>
            </w:r>
          </w:p>
        </w:tc>
        <w:tc>
          <w:tcPr>
            <w:tcW w:w="2967" w:type="dxa"/>
            <w:shd w:val="clear" w:color="auto" w:fill="F2F2F2"/>
          </w:tcPr>
          <w:p>
            <w:pPr/>
            <w:r>
              <w:t xml:space="preserve">Options</w:t>
            </w:r>
          </w:p>
        </w:tc>
        <w:tc>
          <w:tcPr>
            <w:tcW w:w="3372" w:type="dxa"/>
            <w:shd w:val="clear" w:color="auto" w:fill="F2F2F2"/>
          </w:tcPr>
          <w:p>
            <w:pPr/>
            <w:r>
              <w:t xml:space="preserve">Notes</w:t>
            </w:r>
          </w:p>
        </w:tc>
      </w:tr>
      <w:tr>
        <w:tc>
          <w:tcPr>
            <w:tcW w:w="3021" w:type="dxa"/>
          </w:tcPr>
          <w:p>
            <w:pPr/>
            <w:r>
              <w:t xml:space="preserve">Metrics and alerting</w:t>
            </w:r>
          </w:p>
        </w:tc>
        <w:tc>
          <w:tcPr>
            <w:tcW w:w="2967" w:type="dxa"/>
          </w:tcPr>
          <w:p>
            <w:pPr/>
            <w:r>
              <w:t xml:space="preserve">Prometheus, Alertmanager, Grafana, node exporter</w:t>
            </w:r>
          </w:p>
        </w:tc>
        <w:tc>
          <w:tcPr>
            <w:tcW w:w="3372" w:type="dxa"/>
          </w:tcPr>
          <w:p>
            <w:pPr/>
            <w:r>
              <w:t xml:space="preserve">All installable offline</w:t>
            </w:r>
          </w:p>
        </w:tc>
      </w:tr>
      <w:tr>
        <w:tc>
          <w:tcPr>
            <w:tcW w:w="3021" w:type="dxa"/>
          </w:tcPr>
          <w:p>
            <w:pPr/>
            <w:r>
              <w:t xml:space="preserve">Logs</w:t>
            </w:r>
          </w:p>
        </w:tc>
        <w:tc>
          <w:tcPr>
            <w:tcW w:w="2967" w:type="dxa"/>
          </w:tcPr>
          <w:p>
            <w:pPr/>
            <w:r>
              <w:t xml:space="preserve">Local OpenSearch or Loki</w:t>
            </w:r>
          </w:p>
        </w:tc>
        <w:tc>
          <w:tcPr>
            <w:tcW w:w="3372" w:type="dxa"/>
          </w:tcPr>
          <w:p>
            <w:pPr/>
            <w:r>
              <w:t xml:space="preserve">Keep platform logs separate from security data</w:t>
            </w:r>
          </w:p>
        </w:tc>
      </w:tr>
      <w:tr>
        <w:tc>
          <w:tcPr>
            <w:tcW w:w="3021" w:type="dxa"/>
          </w:tcPr>
          <w:p>
            <w:pPr/>
            <w:r>
              <w:t xml:space="preserve">Time sync</w:t>
            </w:r>
          </w:p>
        </w:tc>
        <w:tc>
          <w:tcPr>
            <w:tcW w:w="2967" w:type="dxa"/>
          </w:tcPr>
          <w:p>
            <w:pPr/>
            <w:r>
              <w:t xml:space="preserve">chrony with local NTP servers, PTP where precision matters</w:t>
            </w:r>
          </w:p>
        </w:tc>
        <w:tc>
          <w:tcPr>
            <w:tcW w:w="3372" w:type="dxa"/>
          </w:tcPr>
          <w:p>
            <w:pPr/>
            <w:r>
              <w:t xml:space="preserve">Accurate timestamps are an evidence requirement</w:t>
            </w:r>
          </w:p>
        </w:tc>
      </w:tr>
      <w:tr>
        <w:tc>
          <w:tcPr>
            <w:tcW w:w="3021" w:type="dxa"/>
          </w:tcPr>
          <w:p>
            <w:pPr/>
            <w:r>
              <w:t xml:space="preserve">Configuration management</w:t>
            </w:r>
          </w:p>
        </w:tc>
        <w:tc>
          <w:tcPr>
            <w:tcW w:w="2967" w:type="dxa"/>
          </w:tcPr>
          <w:p>
            <w:pPr/>
            <w:r>
              <w:t xml:space="preserve">Ansible</w:t>
            </w:r>
          </w:p>
        </w:tc>
        <w:tc>
          <w:tcPr>
            <w:tcW w:w="3372" w:type="dxa"/>
          </w:tcPr>
          <w:p>
            <w:pPr/>
            <w:r>
              <w:t xml:space="preserve">Good for bare-metal and VM estates, works offline</w:t>
            </w:r>
          </w:p>
        </w:tc>
      </w:tr>
      <w:tr>
        <w:tc>
          <w:tcPr>
            <w:tcW w:w="3021" w:type="dxa"/>
          </w:tcPr>
          <w:p>
            <w:pPr/>
            <w:r>
              <w:t xml:space="preserve">Containers</w:t>
            </w:r>
          </w:p>
        </w:tc>
        <w:tc>
          <w:tcPr>
            <w:tcW w:w="2967" w:type="dxa"/>
          </w:tcPr>
          <w:p>
            <w:pPr/>
            <w:r>
              <w:t xml:space="preserve">Podman or containerd, with a local registry (for example Harbor)</w:t>
            </w:r>
          </w:p>
        </w:tc>
        <w:tc>
          <w:tcPr>
            <w:tcW w:w="3372" w:type="dxa"/>
          </w:tcPr>
          <w:p>
            <w:pPr/>
            <w:r>
              <w:t xml:space="preserve">Use only if the team can operate it</w:t>
            </w:r>
          </w:p>
        </w:tc>
      </w:tr>
      <w:tr>
        <w:tc>
          <w:tcPr>
            <w:tcW w:w="3021" w:type="dxa"/>
          </w:tcPr>
          <w:p>
            <w:pPr/>
            <w:r>
              <w:t xml:space="preserve">Kubernetes</w:t>
            </w:r>
          </w:p>
        </w:tc>
        <w:tc>
          <w:tcPr>
            <w:tcW w:w="2967" w:type="dxa"/>
          </w:tcPr>
          <w:p>
            <w:pPr/>
            <w:r>
              <w:t xml:space="preserve">RKE2, k3s or equivalent</w:t>
            </w:r>
          </w:p>
        </w:tc>
        <w:tc>
          <w:tcPr>
            <w:tcW w:w="3372" w:type="dxa"/>
          </w:tcPr>
          <w:p>
            <w:pPr/>
            <w:r>
              <w:t xml:space="preserve">Only if scale justifies it. Stateful packet storage does not become highly available just by being in a cluster</w:t>
            </w:r>
          </w:p>
        </w:tc>
      </w:tr>
      <w:tr>
        <w:tc>
          <w:tcPr>
            <w:tcW w:w="3021" w:type="dxa"/>
          </w:tcPr>
          <w:p>
            <w:pPr/>
            <w:r>
              <w:t xml:space="preserve">Secrets and keys</w:t>
            </w:r>
          </w:p>
        </w:tc>
        <w:tc>
          <w:tcPr>
            <w:tcW w:w="2967" w:type="dxa"/>
          </w:tcPr>
          <w:p>
            <w:pPr/>
            <w:r>
              <w:t xml:space="preserve">Local vault product or hardware security module</w:t>
            </w:r>
          </w:p>
        </w:tc>
        <w:tc>
          <w:tcPr>
            <w:tcW w:w="3372" w:type="dxa"/>
          </w:tcPr>
          <w:p>
            <w:pPr/>
            <w:r>
              <w:t xml:space="preserve">Keys must stay inside OPTCL premises</w:t>
            </w:r>
          </w:p>
        </w:tc>
      </w:tr>
      <w:tr>
        <w:tc>
          <w:tcPr>
            <w:tcW w:w="3021" w:type="dxa"/>
          </w:tcPr>
          <w:p>
            <w:pPr/>
            <w:r>
              <w:t xml:space="preserve">Backup</w:t>
            </w:r>
          </w:p>
        </w:tc>
        <w:tc>
          <w:tcPr>
            <w:tcW w:w="2967" w:type="dxa"/>
          </w:tcPr>
          <w:p>
            <w:pPr/>
            <w:r>
              <w:t xml:space="preserve">Local backup software plus object storage target</w:t>
            </w:r>
          </w:p>
        </w:tc>
        <w:tc>
          <w:tcPr>
            <w:tcW w:w="3372" w:type="dxa"/>
          </w:tcPr>
          <w:p>
            <w:pPr/>
            <w:r>
              <w:t xml:space="preserve">Test restores, not just backups</w:t>
            </w:r>
          </w:p>
        </w:tc>
      </w:tr>
    </w:tbl>
    <w:p>
      <w:pPr>
        <w:pStyle w:val="Heading2"/>
      </w:pPr>
      <w:r>
        <w:t xml:space="preserve">9. Test and benchmark tooling</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Tool</w:t>
            </w:r>
          </w:p>
        </w:tc>
        <w:tc>
          <w:tcPr>
            <w:tcW w:w="4920" w:type="dxa"/>
            <w:shd w:val="clear" w:color="auto" w:fill="F2F2F2"/>
          </w:tcPr>
          <w:p>
            <w:pPr/>
            <w:r>
              <w:t xml:space="preserve">Use</w:t>
            </w:r>
          </w:p>
        </w:tc>
      </w:tr>
      <w:tr>
        <w:tc>
          <w:tcPr>
            <w:tcW w:w="4440" w:type="dxa"/>
          </w:tcPr>
          <w:p>
            <w:pPr/>
            <w:r>
              <w:t xml:space="preserve">tcpreplay</w:t>
            </w:r>
          </w:p>
        </w:tc>
        <w:tc>
          <w:tcPr>
            <w:tcW w:w="4920" w:type="dxa"/>
          </w:tcPr>
          <w:p>
            <w:pPr/>
            <w:r>
              <w:t xml:space="preserve">Replay captured PCAP at controlled rates</w:t>
            </w:r>
          </w:p>
        </w:tc>
      </w:tr>
      <w:tr>
        <w:tc>
          <w:tcPr>
            <w:tcW w:w="4440" w:type="dxa"/>
          </w:tcPr>
          <w:p>
            <w:pPr/>
            <w:r>
              <w:t xml:space="preserve">TRex or similar generator</w:t>
            </w:r>
          </w:p>
        </w:tc>
        <w:tc>
          <w:tcPr>
            <w:tcW w:w="4920" w:type="dxa"/>
          </w:tcPr>
          <w:p>
            <w:pPr/>
            <w:r>
              <w:t xml:space="preserve">Generate stateful traffic at line rate</w:t>
            </w:r>
          </w:p>
        </w:tc>
      </w:tr>
      <w:tr>
        <w:tc>
          <w:tcPr>
            <w:tcW w:w="4440" w:type="dxa"/>
          </w:tcPr>
          <w:p>
            <w:pPr/>
            <w:r>
              <w:t xml:space="preserve">iperf3</w:t>
            </w:r>
          </w:p>
        </w:tc>
        <w:tc>
          <w:tcPr>
            <w:tcW w:w="4920" w:type="dxa"/>
          </w:tcPr>
          <w:p>
            <w:pPr/>
            <w:r>
              <w:t xml:space="preserve">Basic throughput checks</w:t>
            </w:r>
          </w:p>
        </w:tc>
      </w:tr>
      <w:tr>
        <w:tc>
          <w:tcPr>
            <w:tcW w:w="4440" w:type="dxa"/>
          </w:tcPr>
          <w:p>
            <w:pPr/>
            <w:r>
              <w:t xml:space="preserve">Ostinato or scapy</w:t>
            </w:r>
          </w:p>
        </w:tc>
        <w:tc>
          <w:tcPr>
            <w:tcW w:w="4920" w:type="dxa"/>
          </w:tcPr>
          <w:p>
            <w:pPr/>
            <w:r>
              <w:t xml:space="preserve">Craft custom traffic for specific test cases</w:t>
            </w:r>
          </w:p>
        </w:tc>
      </w:tr>
      <w:tr>
        <w:tc>
          <w:tcPr>
            <w:tcW w:w="4440" w:type="dxa"/>
          </w:tcPr>
          <w:p>
            <w:pPr/>
            <w:r>
              <w:t xml:space="preserve">nmap and masscan</w:t>
            </w:r>
          </w:p>
        </w:tc>
        <w:tc>
          <w:tcPr>
            <w:tcW w:w="4920" w:type="dxa"/>
          </w:tcPr>
          <w:p>
            <w:pPr/>
            <w:r>
              <w:t xml:space="preserve">Generate scan traffic in the lab for scan detection tests</w:t>
            </w:r>
          </w:p>
        </w:tc>
      </w:tr>
      <w:tr>
        <w:tc>
          <w:tcPr>
            <w:tcW w:w="4440" w:type="dxa"/>
          </w:tcPr>
          <w:p>
            <w:pPr/>
            <w:r>
              <w:t xml:space="preserve">hping3</w:t>
            </w:r>
          </w:p>
        </w:tc>
        <w:tc>
          <w:tcPr>
            <w:tcW w:w="4920" w:type="dxa"/>
          </w:tcPr>
          <w:p>
            <w:pPr/>
            <w:r>
              <w:t xml:space="preserve">Generate flood-like patterns in the isolated lab only</w:t>
            </w:r>
          </w:p>
        </w:tc>
      </w:tr>
      <w:tr>
        <w:tc>
          <w:tcPr>
            <w:tcW w:w="4440" w:type="dxa"/>
          </w:tcPr>
          <w:p>
            <w:pPr/>
            <w:r>
              <w:t xml:space="preserve">Atomic Red Team or CALDERA</w:t>
            </w:r>
          </w:p>
        </w:tc>
        <w:tc>
          <w:tcPr>
            <w:tcW w:w="4920" w:type="dxa"/>
          </w:tcPr>
          <w:p>
            <w:pPr/>
            <w:r>
              <w:t xml:space="preserve">Simulate attacker behaviour on lab hosts</w:t>
            </w:r>
          </w:p>
        </w:tc>
      </w:tr>
      <w:tr>
        <w:tc>
          <w:tcPr>
            <w:tcW w:w="4440" w:type="dxa"/>
          </w:tcPr>
          <w:p>
            <w:pPr/>
            <w:r>
              <w:t xml:space="preserve">Load tools for search (custom scripts, k6 or similar)</w:t>
            </w:r>
          </w:p>
        </w:tc>
        <w:tc>
          <w:tcPr>
            <w:tcW w:w="4920" w:type="dxa"/>
          </w:tcPr>
          <w:p>
            <w:pPr/>
            <w:r>
              <w:t xml:space="preserve">Run the 5M-record benchmark repeatedly</w:t>
            </w:r>
          </w:p>
        </w:tc>
      </w:tr>
    </w:tbl>
    <w:p>
      <w:pPr/>
      <w:r>
        <w:t xml:space="preserve">All generated attack traffic stays in an isolated lab network, never on production links.</w:t>
      </w:r>
    </w:p>
    <w:p>
      <w:pPr>
        <w:pStyle w:val="Heading2"/>
      </w:pPr>
      <w:r>
        <w:t xml:space="preserve">10. Two reference stacks to benchmark</w:t>
      </w:r>
    </w:p>
    <w:tbl>
      <w:tblPr>
        <w:tblStyle w:val="TableGrid"/>
        <w:tblW w:w="0" w:type="auto"/>
        <w:tblLayout w:type="fixed"/>
        <w:tblLook w:val="04A0" w:firstRow="1" w:lastRow="0" w:firstColumn="0" w:lastColumn="0" w:noHBand="0" w:noVBand="1"/>
      </w:tblPr>
      <w:tblGrid>
        <w:gridCol w:w="2862"/>
        <w:gridCol w:w="3417"/>
        <w:gridCol w:w="3081"/>
      </w:tblGrid>
      <w:tr>
        <w:trPr>
          <w:tblHeader/>
        </w:trPr>
        <w:tc>
          <w:tcPr>
            <w:tcW w:w="2862" w:type="dxa"/>
            <w:shd w:val="clear" w:color="auto" w:fill="F2F2F2"/>
          </w:tcPr>
          <w:p>
            <w:pPr/>
            <w:r>
              <w:t xml:space="preserve">Layer</w:t>
            </w:r>
          </w:p>
        </w:tc>
        <w:tc>
          <w:tcPr>
            <w:tcW w:w="3417" w:type="dxa"/>
            <w:shd w:val="clear" w:color="auto" w:fill="F2F2F2"/>
          </w:tcPr>
          <w:p>
            <w:pPr/>
            <w:r>
              <w:t xml:space="preserve">Option A: search-centric</w:t>
            </w:r>
          </w:p>
        </w:tc>
        <w:tc>
          <w:tcPr>
            <w:tcW w:w="3081" w:type="dxa"/>
            <w:shd w:val="clear" w:color="auto" w:fill="F2F2F2"/>
          </w:tcPr>
          <w:p>
            <w:pPr/>
            <w:r>
              <w:t xml:space="preserve">Option B: split analytics</w:t>
            </w:r>
          </w:p>
        </w:tc>
      </w:tr>
      <w:tr>
        <w:tc>
          <w:tcPr>
            <w:tcW w:w="2862" w:type="dxa"/>
          </w:tcPr>
          <w:p>
            <w:pPr/>
            <w:r>
              <w:t xml:space="preserve">Capture and metadata</w:t>
            </w:r>
          </w:p>
        </w:tc>
        <w:tc>
          <w:tcPr>
            <w:tcW w:w="3417" w:type="dxa"/>
          </w:tcPr>
          <w:p>
            <w:pPr/>
            <w:r>
              <w:t xml:space="preserve">AF_PACKET or AF_XDP, Zeek, Suricata</w:t>
            </w:r>
          </w:p>
        </w:tc>
        <w:tc>
          <w:tcPr>
            <w:tcW w:w="3081" w:type="dxa"/>
          </w:tcPr>
          <w:p>
            <w:pPr/>
            <w:r>
              <w:t xml:space="preserve">Same</w:t>
            </w:r>
          </w:p>
        </w:tc>
      </w:tr>
      <w:tr>
        <w:tc>
          <w:tcPr>
            <w:tcW w:w="2862" w:type="dxa"/>
          </w:tcPr>
          <w:p>
            <w:pPr/>
            <w:r>
              <w:t xml:space="preserve">Packet archive</w:t>
            </w:r>
          </w:p>
        </w:tc>
        <w:tc>
          <w:tcPr>
            <w:tcW w:w="3417" w:type="dxa"/>
          </w:tcPr>
          <w:p>
            <w:pPr/>
            <w:r>
              <w:t xml:space="preserve">Arkime-style PCAP store or custom writer</w:t>
            </w:r>
          </w:p>
        </w:tc>
        <w:tc>
          <w:tcPr>
            <w:tcW w:w="3081" w:type="dxa"/>
          </w:tcPr>
          <w:p>
            <w:pPr/>
            <w:r>
              <w:t xml:space="preserve">Same</w:t>
            </w:r>
          </w:p>
        </w:tc>
      </w:tr>
      <w:tr>
        <w:tc>
          <w:tcPr>
            <w:tcW w:w="2862" w:type="dxa"/>
          </w:tcPr>
          <w:p>
            <w:pPr/>
            <w:r>
              <w:t xml:space="preserve">Flow and metadata store</w:t>
            </w:r>
          </w:p>
        </w:tc>
        <w:tc>
          <w:tcPr>
            <w:tcW w:w="3417" w:type="dxa"/>
          </w:tcPr>
          <w:p>
            <w:pPr/>
            <w:r>
              <w:t xml:space="preserve">OpenSearch</w:t>
            </w:r>
          </w:p>
        </w:tc>
        <w:tc>
          <w:tcPr>
            <w:tcW w:w="3081" w:type="dxa"/>
          </w:tcPr>
          <w:p>
            <w:pPr/>
            <w:r>
              <w:t xml:space="preserve">ClickHouse</w:t>
            </w:r>
          </w:p>
        </w:tc>
      </w:tr>
      <w:tr>
        <w:tc>
          <w:tcPr>
            <w:tcW w:w="2862" w:type="dxa"/>
          </w:tcPr>
          <w:p>
            <w:pPr/>
            <w:r>
              <w:t xml:space="preserve">Alerts and incidents</w:t>
            </w:r>
          </w:p>
        </w:tc>
        <w:tc>
          <w:tcPr>
            <w:tcW w:w="3417" w:type="dxa"/>
          </w:tcPr>
          <w:p>
            <w:pPr/>
            <w:r>
              <w:t xml:space="preserve">OpenSearch</w:t>
            </w:r>
          </w:p>
        </w:tc>
        <w:tc>
          <w:tcPr>
            <w:tcW w:w="3081" w:type="dxa"/>
          </w:tcPr>
          <w:p>
            <w:pPr/>
            <w:r>
              <w:t xml:space="preserve">OpenSearch or PostgreSQL</w:t>
            </w:r>
          </w:p>
        </w:tc>
      </w:tr>
      <w:tr>
        <w:tc>
          <w:tcPr>
            <w:tcW w:w="2862" w:type="dxa"/>
          </w:tcPr>
          <w:p>
            <w:pPr/>
            <w:r>
              <w:t xml:space="preserve">Queue</w:t>
            </w:r>
          </w:p>
        </w:tc>
        <w:tc>
          <w:tcPr>
            <w:tcW w:w="3417" w:type="dxa"/>
          </w:tcPr>
          <w:p>
            <w:pPr/>
            <w:r>
              <w:t xml:space="preserve">Kafka</w:t>
            </w:r>
          </w:p>
        </w:tc>
        <w:tc>
          <w:tcPr>
            <w:tcW w:w="3081" w:type="dxa"/>
          </w:tcPr>
          <w:p>
            <w:pPr/>
            <w:r>
              <w:t xml:space="preserve">Kafka</w:t>
            </w:r>
          </w:p>
        </w:tc>
      </w:tr>
      <w:tr>
        <w:tc>
          <w:tcPr>
            <w:tcW w:w="2862" w:type="dxa"/>
          </w:tcPr>
          <w:p>
            <w:pPr/>
            <w:r>
              <w:t xml:space="preserve">Config database</w:t>
            </w:r>
          </w:p>
        </w:tc>
        <w:tc>
          <w:tcPr>
            <w:tcW w:w="3417" w:type="dxa"/>
          </w:tcPr>
          <w:p>
            <w:pPr/>
            <w:r>
              <w:t xml:space="preserve">PostgreSQL</w:t>
            </w:r>
          </w:p>
        </w:tc>
        <w:tc>
          <w:tcPr>
            <w:tcW w:w="3081" w:type="dxa"/>
          </w:tcPr>
          <w:p>
            <w:pPr/>
            <w:r>
              <w:t xml:space="preserve">PostgreSQL</w:t>
            </w:r>
          </w:p>
        </w:tc>
      </w:tr>
      <w:tr>
        <w:tc>
          <w:tcPr>
            <w:tcW w:w="2862" w:type="dxa"/>
          </w:tcPr>
          <w:p>
            <w:pPr/>
            <w:r>
              <w:t xml:space="preserve">Monitoring</w:t>
            </w:r>
          </w:p>
        </w:tc>
        <w:tc>
          <w:tcPr>
            <w:tcW w:w="3417" w:type="dxa"/>
          </w:tcPr>
          <w:p>
            <w:pPr/>
            <w:r>
              <w:t xml:space="preserve">Prometheus and Grafana</w:t>
            </w:r>
          </w:p>
        </w:tc>
        <w:tc>
          <w:tcPr>
            <w:tcW w:w="3081" w:type="dxa"/>
          </w:tcPr>
          <w:p>
            <w:pPr/>
            <w:r>
              <w:t xml:space="preserve">Prometheus and Grafana</w:t>
            </w:r>
          </w:p>
        </w:tc>
      </w:tr>
    </w:tbl>
    <w:p>
      <w:pPr/>
      <w:r>
        <w:t xml:space="preserve">Option A has fewer moving parts. Option B is likely faster for heavy aggregation and large flow volumes but adds a second store to learn and operate. Run both against the same replayed traffic before deciding.</w:t>
      </w:r>
    </w:p>
    <w:p>
      <w:pPr>
        <w:pStyle w:val="Heading2"/>
      </w:pPr>
      <w:r>
        <w:t xml:space="preserve">11. Decision scorecard (template)</w:t>
      </w:r>
    </w:p>
    <w:p>
      <w:pPr/>
      <w:r>
        <w:t xml:space="preserve">Score each candidate from 1 to 5 per criterion and apply the weights below. Adjust weights with the project lead before scoring.</w:t>
      </w:r>
    </w:p>
    <w:tbl>
      <w:tblPr>
        <w:tblStyle w:val="TableGrid"/>
        <w:tblW w:w="0" w:type="auto"/>
        <w:tblLayout w:type="fixed"/>
        <w:tblLook w:val="04A0" w:firstRow="1" w:lastRow="0" w:firstColumn="0" w:lastColumn="0" w:noHBand="0" w:noVBand="1"/>
      </w:tblPr>
      <w:tblGrid>
        <w:gridCol w:w="6557"/>
        <w:gridCol w:w="2802"/>
      </w:tblGrid>
      <w:tr>
        <w:trPr>
          <w:tblHeader/>
        </w:trPr>
        <w:tc>
          <w:tcPr>
            <w:tcW w:w="6557" w:type="dxa"/>
            <w:shd w:val="clear" w:color="auto" w:fill="F2F2F2"/>
          </w:tcPr>
          <w:p>
            <w:pPr/>
            <w:r>
              <w:t xml:space="preserve">Criterion</w:t>
            </w:r>
          </w:p>
        </w:tc>
        <w:tc>
          <w:tcPr>
            <w:tcW w:w="2802" w:type="dxa"/>
            <w:shd w:val="clear" w:color="auto" w:fill="F2F2F2"/>
          </w:tcPr>
          <w:p>
            <w:pPr/>
            <w:r>
              <w:t xml:space="preserve">Suggested weight</w:t>
            </w:r>
          </w:p>
        </w:tc>
      </w:tr>
      <w:tr>
        <w:tc>
          <w:tcPr>
            <w:tcW w:w="6557" w:type="dxa"/>
          </w:tcPr>
          <w:p>
            <w:pPr/>
            <w:r>
              <w:t xml:space="preserve">Meets measured performance with 30% headroom</w:t>
            </w:r>
          </w:p>
        </w:tc>
        <w:tc>
          <w:tcPr>
            <w:tcW w:w="2802" w:type="dxa"/>
          </w:tcPr>
          <w:p>
            <w:pPr/>
            <w:r>
              <w:t xml:space="preserve">25%</w:t>
            </w:r>
          </w:p>
        </w:tc>
      </w:tr>
      <w:tr>
        <w:tc>
          <w:tcPr>
            <w:tcW w:w="6557" w:type="dxa"/>
          </w:tcPr>
          <w:p>
            <w:pPr/>
            <w:r>
              <w:t xml:space="preserve">Works fully offline, including install, update and licence</w:t>
            </w:r>
          </w:p>
        </w:tc>
        <w:tc>
          <w:tcPr>
            <w:tcW w:w="2802" w:type="dxa"/>
          </w:tcPr>
          <w:p>
            <w:pPr/>
            <w:r>
              <w:t xml:space="preserve">15%</w:t>
            </w:r>
          </w:p>
        </w:tc>
      </w:tr>
      <w:tr>
        <w:tc>
          <w:tcPr>
            <w:tcW w:w="6557" w:type="dxa"/>
          </w:tcPr>
          <w:p>
            <w:pPr/>
            <w:r>
              <w:t xml:space="preserve">Five-year support route and licence clarity</w:t>
            </w:r>
          </w:p>
        </w:tc>
        <w:tc>
          <w:tcPr>
            <w:tcW w:w="2802" w:type="dxa"/>
          </w:tcPr>
          <w:p>
            <w:pPr/>
            <w:r>
              <w:t xml:space="preserve">15%</w:t>
            </w:r>
          </w:p>
        </w:tc>
      </w:tr>
      <w:tr>
        <w:tc>
          <w:tcPr>
            <w:tcW w:w="6557" w:type="dxa"/>
          </w:tcPr>
          <w:p>
            <w:pPr/>
            <w:r>
              <w:t xml:space="preserve">Operational simplicity for our team</w:t>
            </w:r>
          </w:p>
        </w:tc>
        <w:tc>
          <w:tcPr>
            <w:tcW w:w="2802" w:type="dxa"/>
          </w:tcPr>
          <w:p>
            <w:pPr/>
            <w:r>
              <w:t xml:space="preserve">15%</w:t>
            </w:r>
          </w:p>
        </w:tc>
      </w:tr>
      <w:tr>
        <w:tc>
          <w:tcPr>
            <w:tcW w:w="6557" w:type="dxa"/>
          </w:tcPr>
          <w:p>
            <w:pPr/>
            <w:r>
              <w:t xml:space="preserve">Explainability and evidence quality</w:t>
            </w:r>
          </w:p>
        </w:tc>
        <w:tc>
          <w:tcPr>
            <w:tcW w:w="2802" w:type="dxa"/>
          </w:tcPr>
          <w:p>
            <w:pPr/>
            <w:r>
              <w:t xml:space="preserve">10%</w:t>
            </w:r>
          </w:p>
        </w:tc>
      </w:tr>
      <w:tr>
        <w:tc>
          <w:tcPr>
            <w:tcW w:w="6557" w:type="dxa"/>
          </w:tcPr>
          <w:p>
            <w:pPr/>
            <w:r>
              <w:t xml:space="preserve">Integration fit (SIEM, identity, appliances)</w:t>
            </w:r>
          </w:p>
        </w:tc>
        <w:tc>
          <w:tcPr>
            <w:tcW w:w="2802" w:type="dxa"/>
          </w:tcPr>
          <w:p>
            <w:pPr/>
            <w:r>
              <w:t xml:space="preserve">10%</w:t>
            </w:r>
          </w:p>
        </w:tc>
      </w:tr>
      <w:tr>
        <w:tc>
          <w:tcPr>
            <w:tcW w:w="6557" w:type="dxa"/>
          </w:tcPr>
          <w:p>
            <w:pPr/>
            <w:r>
              <w:t xml:space="preserve">Security posture and hardening effort</w:t>
            </w:r>
          </w:p>
        </w:tc>
        <w:tc>
          <w:tcPr>
            <w:tcW w:w="2802" w:type="dxa"/>
          </w:tcPr>
          <w:p>
            <w:pPr/>
            <w:r>
              <w:t xml:space="preserve">10%</w:t>
            </w:r>
          </w:p>
        </w:tc>
      </w:tr>
    </w:tbl>
    <w:p>
      <w:pPr>
        <w:pStyle w:val="Heading2"/>
      </w:pPr>
      <w:r>
        <w:t xml:space="preserve">12. Open items</w:t>
      </w:r>
    </w:p>
    <w:p>
      <w:pPr>
        <w:pStyle w:val="ListParagraph"/>
        <w:numPr>
          <w:ilvl w:val="0"/>
          <w:numId w:val="2"/>
        </w:numPr>
      </w:pPr>
      <w:r>
        <w:t xml:space="preserve">Existing OPTCL tooling that could be reused (packet brokers, SIEM, monitoring).</w:t>
      </w:r>
    </w:p>
    <w:p>
      <w:pPr>
        <w:pStyle w:val="ListParagraph"/>
        <w:numPr>
          <w:ilvl w:val="0"/>
          <w:numId w:val="2"/>
        </w:numPr>
      </w:pPr>
      <w:r>
        <w:t xml:space="preserve">Approved operating systems and virtualization platforms.</w:t>
      </w:r>
    </w:p>
    <w:p>
      <w:pPr>
        <w:pStyle w:val="ListParagraph"/>
        <w:numPr>
          <w:ilvl w:val="0"/>
          <w:numId w:val="2"/>
        </w:numPr>
      </w:pPr>
      <w:r>
        <w:t xml:space="preserve">Whether open-source components are acceptable to OPTCL under its support and licence policy.</w:t>
      </w:r>
    </w:p>
    <w:p>
      <w:pPr>
        <w:pStyle w:val="ListParagraph"/>
        <w:numPr>
          <w:ilvl w:val="0"/>
          <w:numId w:val="2"/>
        </w:numPr>
      </w:pPr>
      <w:r>
        <w:t xml:space="preserve">Current licence terms for each shortlisted component, checked at selection time.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NBAD Technology Stack and Tooling Guide</dc:title>
  <dc:description>Claude Docs node/f5ab3f2f-1cc8@1 docx-w7</dc:description>
  <cp:revision>1</cp:revision>
</cp:coreProperties>
</file>