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NBAD PROJECT BLUEPRINT</w:t>
      </w:r>
    </w:p>
    <w:p>
      <w:pPr>
        <w:jc w:val="center"/>
      </w:pPr>
      <w:r>
        <w:rPr>
          <w:b/>
          <w:sz w:val="26"/>
        </w:rPr>
        <w:t>OPTCL – Next Generation SOC &amp; NOC | Network Behaviour Anomaly Detection</w:t>
      </w:r>
    </w:p>
    <w:p>
      <w:r>
        <w:t>Version 0.1 | Initial design blueprint | Prepared from the supplied 5-page NBAD developer response sheet</w:t>
      </w:r>
    </w:p>
    <w:p>
      <w:r>
        <w:t>Status: Proposed architecture for discovery and engineering planning. Not a final tender compliance declaration or procurement bill of materials.</w:t>
      </w:r>
    </w:p>
    <w:p>
      <w:pPr>
        <w:pStyle w:val="Heading1"/>
      </w:pPr>
      <w:r>
        <w:t>1. Executive summary</w:t>
      </w:r>
    </w:p>
    <w:p>
      <w:r>
        <w:t>The supplied document describes 42 NBAD technical requirements under Schedule-9, Section 11 and references the scope in Annexure-2 §3.1-D. The solution is expected to monitor network flows and traffic for unusual behaviour, identify threats and policy violations, establish baselines, integrate with SIEM, and provide a unified investigation view. The document is a working copy; the original 107-page tender prevails.</w:t>
      </w:r>
    </w:p>
    <w:p>
      <w:r>
        <w:t>Given that this is a new build, expected traffic volume and existing technology stack are unknown, and deployment must be on-premises/air-gapped, the recommended approach is a modular, distributed architecture with passive collection, durable ingestion, normalized event data, multiple detection methods, separate searchable metadata and raw packet storage, a centralized console, and carefully controlled integrations.</w:t>
      </w:r>
    </w:p>
    <w:p>
      <w:pPr>
        <w:pStyle w:val="Heading2"/>
      </w:pPr>
      <w:r>
        <w:t>Decisions to make before committing</w:t>
      </w:r>
    </w:p>
    <w:p>
      <w:pPr>
        <w:pStyle w:val="ListBullet"/>
        <w:spacing w:after="40"/>
      </w:pPr>
      <w:r>
        <w:t>Obtain the complete original tender and validate all referenced clauses, especially Schedule-9, Annexure-2, Schedule-4, Schedule-13, and PQR clauses.</w:t>
      </w:r>
    </w:p>
    <w:p>
      <w:pPr>
        <w:pStyle w:val="ListBullet"/>
        <w:spacing w:after="40"/>
      </w:pPr>
      <w:r>
        <w:t>Measure traffic and packet-rate characteristics; do not size production storage or sensors from 512 Mbps alone.</w:t>
      </w:r>
    </w:p>
    <w:p>
      <w:pPr>
        <w:pStyle w:val="ListBullet"/>
        <w:spacing w:after="40"/>
      </w:pPr>
      <w:r>
        <w:t>Define what “5M records within 180 seconds” means: search, display, export, or full client delivery.</w:t>
      </w:r>
    </w:p>
    <w:p>
      <w:pPr>
        <w:pStyle w:val="ListBullet"/>
        <w:spacing w:after="40"/>
      </w:pPr>
      <w:r>
        <w:t>Confirm the precise meaning and format of “normalized packet data” and the intended retention boundary.</w:t>
      </w:r>
    </w:p>
    <w:p>
      <w:pPr>
        <w:pStyle w:val="ListBullet"/>
        <w:spacing w:after="40"/>
      </w:pPr>
      <w:r>
        <w:t>Select the technology stack only after a representative benchmark and air-gap operations review.</w:t>
      </w:r>
    </w:p>
    <w:p>
      <w:pPr>
        <w:pStyle w:val="Heading1"/>
      </w:pPr>
      <w:r>
        <w:t>2. Scope and source-derived requirements</w:t>
      </w:r>
    </w:p>
    <w:p>
      <w:r>
        <w:t>The following items are stated in the supplied working copy. They should be rechecked against the original tender before the bid or design is finalized.</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D9E5F2"/>
          </w:tcPr>
          <w:p>
            <w:r/>
            <w:r>
              <w:rPr>
                <w:b/>
                <w:sz w:val="17"/>
              </w:rPr>
              <w:t>Area</w:t>
            </w:r>
          </w:p>
        </w:tc>
        <w:tc>
          <w:tcPr>
            <w:tcW w:type="dxa" w:w="8496"/>
            <w:vAlign w:val="center"/>
            <w:shd w:fill="D9E5F2"/>
          </w:tcPr>
          <w:p>
            <w:r/>
            <w:r>
              <w:rPr>
                <w:b/>
                <w:sz w:val="17"/>
              </w:rPr>
              <w:t>Source-derived requirement / obligation</w:t>
            </w:r>
          </w:p>
        </w:tc>
      </w:tr>
      <w:tr>
        <w:tc>
          <w:tcPr>
            <w:tcW w:type="dxa" w:w="1800"/>
            <w:vAlign w:val="center"/>
          </w:tcPr>
          <w:p>
            <w:r/>
            <w:r>
              <w:rPr>
                <w:b w:val="0"/>
                <w:sz w:val="17"/>
              </w:rPr>
              <w:t>Coverage</w:t>
            </w:r>
          </w:p>
        </w:tc>
        <w:tc>
          <w:tcPr>
            <w:tcW w:type="dxa" w:w="8496"/>
            <w:vAlign w:val="center"/>
          </w:tcPr>
          <w:p>
            <w:r/>
            <w:r>
              <w:rPr>
                <w:b w:val="0"/>
                <w:sz w:val="17"/>
              </w:rPr>
              <w:t>Monitor/manage at least 3 separate zones; centralized dashboard; physical and virtual environments; distributed SLDC coverage.</w:t>
            </w:r>
          </w:p>
        </w:tc>
      </w:tr>
      <w:tr>
        <w:tc>
          <w:tcPr>
            <w:tcW w:type="dxa" w:w="1800"/>
            <w:vAlign w:val="center"/>
          </w:tcPr>
          <w:p>
            <w:r/>
            <w:r>
              <w:rPr>
                <w:b w:val="0"/>
                <w:sz w:val="17"/>
              </w:rPr>
              <w:t>Threat detection</w:t>
            </w:r>
          </w:p>
        </w:tc>
        <w:tc>
          <w:tcPr>
            <w:tcW w:type="dxa" w:w="8496"/>
            <w:vAlign w:val="center"/>
          </w:tcPr>
          <w:p>
            <w:r/>
            <w:r>
              <w:rPr>
                <w:b w:val="0"/>
                <w:sz w:val="17"/>
              </w:rPr>
              <w:t>Malware/botnets, APT-related activity/Trojans, worm propagation, DoS/DDoS, scanning, unexpected services, policy violations, long-lived connections, non-standard ports, risky applications, unknown patterns.</w:t>
            </w:r>
          </w:p>
        </w:tc>
      </w:tr>
      <w:tr>
        <w:tc>
          <w:tcPr>
            <w:tcW w:type="dxa" w:w="1800"/>
            <w:vAlign w:val="center"/>
          </w:tcPr>
          <w:p>
            <w:r/>
            <w:r>
              <w:rPr>
                <w:b w:val="0"/>
                <w:sz w:val="17"/>
              </w:rPr>
              <w:t>Analytics</w:t>
            </w:r>
          </w:p>
        </w:tc>
        <w:tc>
          <w:tcPr>
            <w:tcW w:type="dxa" w:w="8496"/>
            <w:vAlign w:val="center"/>
          </w:tcPr>
          <w:p>
            <w:r/>
            <w:r>
              <w:rPr>
                <w:b w:val="0"/>
                <w:sz w:val="17"/>
              </w:rPr>
              <w:t>IP and source/destination pair analysis, bandwidth and packet-rate profiles, TCP/UDP port profiles, hourly/daily/weekly profiles, thresholds, custom rules, risk levels.</w:t>
            </w:r>
          </w:p>
        </w:tc>
      </w:tr>
      <w:tr>
        <w:tc>
          <w:tcPr>
            <w:tcW w:type="dxa" w:w="1800"/>
            <w:vAlign w:val="center"/>
          </w:tcPr>
          <w:p>
            <w:r/>
            <w:r>
              <w:rPr>
                <w:b w:val="0"/>
                <w:sz w:val="17"/>
              </w:rPr>
              <w:t>Collection</w:t>
            </w:r>
          </w:p>
        </w:tc>
        <w:tc>
          <w:tcPr>
            <w:tcW w:type="dxa" w:w="8496"/>
            <w:vAlign w:val="center"/>
          </w:tcPr>
          <w:p>
            <w:r/>
            <w:r>
              <w:rPr>
                <w:b w:val="0"/>
                <w:sz w:val="17"/>
              </w:rPr>
              <w:t>Flow-based and non-intrusive monitoring; NetFlow and packets; ability to capture network traffic; at least 512 Mbps Internet traffic at DC.</w:t>
            </w:r>
          </w:p>
        </w:tc>
      </w:tr>
      <w:tr>
        <w:tc>
          <w:tcPr>
            <w:tcW w:type="dxa" w:w="1800"/>
            <w:vAlign w:val="center"/>
          </w:tcPr>
          <w:p>
            <w:r/>
            <w:r>
              <w:rPr>
                <w:b w:val="0"/>
                <w:sz w:val="17"/>
              </w:rPr>
              <w:t>Forensics</w:t>
            </w:r>
          </w:p>
        </w:tc>
        <w:tc>
          <w:tcPr>
            <w:tcW w:type="dxa" w:w="8496"/>
            <w:vAlign w:val="center"/>
          </w:tcPr>
          <w:p>
            <w:r/>
            <w:r>
              <w:rPr>
                <w:b w:val="0"/>
                <w:sz w:val="17"/>
              </w:rPr>
              <w:t>Retrieve at least 5 million records within 180 seconds; investigate logs and raw packets from one console; raw packet data retained 7 days; normalized packet data retained 15 days.</w:t>
            </w:r>
          </w:p>
        </w:tc>
      </w:tr>
      <w:tr>
        <w:tc>
          <w:tcPr>
            <w:tcW w:type="dxa" w:w="1800"/>
            <w:vAlign w:val="center"/>
          </w:tcPr>
          <w:p>
            <w:r/>
            <w:r>
              <w:rPr>
                <w:b w:val="0"/>
                <w:sz w:val="17"/>
              </w:rPr>
              <w:t>Integrations</w:t>
            </w:r>
          </w:p>
        </w:tc>
        <w:tc>
          <w:tcPr>
            <w:tcW w:type="dxa" w:w="8496"/>
            <w:vAlign w:val="center"/>
          </w:tcPr>
          <w:p>
            <w:r/>
            <w:r>
              <w:rPr>
                <w:b w:val="0"/>
                <w:sz w:val="17"/>
              </w:rPr>
              <w:t>SIEM, VM, AD, LDAP, firewall, IPS, VPN, routers, switches, Internet proxy, threat-intelligence feeds, sandbox integration for malware analysis.</w:t>
            </w:r>
          </w:p>
        </w:tc>
      </w:tr>
      <w:tr>
        <w:tc>
          <w:tcPr>
            <w:tcW w:type="dxa" w:w="1800"/>
            <w:vAlign w:val="center"/>
          </w:tcPr>
          <w:p>
            <w:r/>
            <w:r>
              <w:rPr>
                <w:b w:val="0"/>
                <w:sz w:val="17"/>
              </w:rPr>
              <w:t>Host context</w:t>
            </w:r>
          </w:p>
        </w:tc>
        <w:tc>
          <w:tcPr>
            <w:tcW w:type="dxa" w:w="8496"/>
            <w:vAlign w:val="center"/>
          </w:tcPr>
          <w:p>
            <w:r/>
            <w:r>
              <w:rPr>
                <w:b w:val="0"/>
                <w:sz w:val="17"/>
              </w:rPr>
              <w:t>Identify new hosts and use vulnerability-scanner input to flag new vulnerable hosts.</w:t>
            </w:r>
          </w:p>
        </w:tc>
      </w:tr>
      <w:tr>
        <w:tc>
          <w:tcPr>
            <w:tcW w:type="dxa" w:w="1800"/>
            <w:vAlign w:val="center"/>
          </w:tcPr>
          <w:p>
            <w:r/>
            <w:r>
              <w:rPr>
                <w:b w:val="0"/>
                <w:sz w:val="17"/>
              </w:rPr>
              <w:t>Data locality</w:t>
            </w:r>
          </w:p>
        </w:tc>
        <w:tc>
          <w:tcPr>
            <w:tcW w:type="dxa" w:w="8496"/>
            <w:vAlign w:val="center"/>
          </w:tcPr>
          <w:p>
            <w:r/>
            <w:r>
              <w:rPr>
                <w:b w:val="0"/>
                <w:sz w:val="17"/>
              </w:rPr>
              <w:t>Event, alert, and related NG-SOC information must remain within the designated premises; outbound movement requires review and approval.</w:t>
            </w:r>
          </w:p>
        </w:tc>
      </w:tr>
      <w:tr>
        <w:tc>
          <w:tcPr>
            <w:tcW w:type="dxa" w:w="1800"/>
            <w:vAlign w:val="center"/>
          </w:tcPr>
          <w:p>
            <w:r/>
            <w:r>
              <w:rPr>
                <w:b w:val="0"/>
                <w:sz w:val="17"/>
              </w:rPr>
              <w:t>Platform obligations</w:t>
            </w:r>
          </w:p>
        </w:tc>
        <w:tc>
          <w:tcPr>
            <w:tcW w:type="dxa" w:w="8496"/>
            <w:vAlign w:val="center"/>
          </w:tcPr>
          <w:p>
            <w:r/>
            <w:r>
              <w:rPr>
                <w:b w:val="0"/>
                <w:sz w:val="17"/>
              </w:rPr>
              <w:t>On-premises/air-gapped deployment; latest available version with minimum 5-year EOSL from go-live; 5-year onsite comprehensive warranty/support obligations; 24x7x365 support; 99.9% uptime; redundancy/no single point of failure; minimum 30% spare capacity at peak load.</w:t>
            </w:r>
          </w:p>
        </w:tc>
      </w:tr>
      <w:tr>
        <w:tc>
          <w:tcPr>
            <w:tcW w:type="dxa" w:w="1800"/>
            <w:vAlign w:val="center"/>
          </w:tcPr>
          <w:p>
            <w:r/>
            <w:r>
              <w:rPr>
                <w:b w:val="0"/>
                <w:sz w:val="17"/>
              </w:rPr>
              <w:t>Licensing</w:t>
            </w:r>
          </w:p>
        </w:tc>
        <w:tc>
          <w:tcPr>
            <w:tcW w:type="dxa" w:w="8496"/>
            <w:vAlign w:val="center"/>
          </w:tcPr>
          <w:p>
            <w:r/>
            <w:r>
              <w:rPr>
                <w:b w:val="0"/>
                <w:sz w:val="17"/>
              </w:rPr>
              <w:t>ML capability for unlimited hosts without additional licence; commercial interpretation and evidence must be confirmed.</w:t>
            </w:r>
          </w:p>
        </w:tc>
      </w:tr>
      <w:tr>
        <w:tc>
          <w:tcPr>
            <w:tcW w:type="dxa" w:w="1800"/>
            <w:vAlign w:val="center"/>
          </w:tcPr>
          <w:p>
            <w:r/>
            <w:r>
              <w:rPr>
                <w:b w:val="0"/>
                <w:sz w:val="17"/>
              </w:rPr>
              <w:t>POC</w:t>
            </w:r>
          </w:p>
        </w:tc>
        <w:tc>
          <w:tcPr>
            <w:tcW w:type="dxa" w:w="8496"/>
            <w:vAlign w:val="center"/>
          </w:tcPr>
          <w:p>
            <w:r/>
            <w:r>
              <w:rPr>
                <w:b w:val="0"/>
                <w:sz w:val="17"/>
              </w:rPr>
              <w:t>Correlation and incident detection, unified single-console platform, and product demonstration are identified as relevant POC criteria.</w:t>
            </w:r>
          </w:p>
        </w:tc>
      </w:tr>
    </w:tbl>
    <w:p/>
    <w:p>
      <w:pPr>
        <w:pStyle w:val="Heading1"/>
      </w:pPr>
      <w:r>
        <w:t>3. Assumptions and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5F2"/>
          </w:tcPr>
          <w:p>
            <w:r/>
            <w:r>
              <w:rPr>
                <w:b/>
                <w:sz w:val="17"/>
              </w:rPr>
              <w:t>Item</w:t>
            </w:r>
          </w:p>
        </w:tc>
        <w:tc>
          <w:tcPr>
            <w:tcW w:type="dxa" w:w="3024"/>
            <w:vAlign w:val="center"/>
            <w:shd w:fill="D9E5F2"/>
          </w:tcPr>
          <w:p>
            <w:r/>
            <w:r>
              <w:rPr>
                <w:b/>
                <w:sz w:val="17"/>
              </w:rPr>
              <w:t>Current position</w:t>
            </w:r>
          </w:p>
        </w:tc>
        <w:tc>
          <w:tcPr>
            <w:tcW w:type="dxa" w:w="5328"/>
            <w:vAlign w:val="center"/>
            <w:shd w:fill="D9E5F2"/>
          </w:tcPr>
          <w:p>
            <w:r/>
            <w:r>
              <w:rPr>
                <w:b/>
                <w:sz w:val="17"/>
              </w:rPr>
              <w:t>Action</w:t>
            </w:r>
          </w:p>
        </w:tc>
      </w:tr>
      <w:tr>
        <w:tc>
          <w:tcPr>
            <w:tcW w:type="dxa" w:w="1944"/>
            <w:vAlign w:val="center"/>
          </w:tcPr>
          <w:p>
            <w:r/>
            <w:r>
              <w:rPr>
                <w:b w:val="0"/>
                <w:sz w:val="17"/>
              </w:rPr>
              <w:t>Product status</w:t>
            </w:r>
          </w:p>
        </w:tc>
        <w:tc>
          <w:tcPr>
            <w:tcW w:type="dxa" w:w="3024"/>
            <w:vAlign w:val="center"/>
          </w:tcPr>
          <w:p>
            <w:r/>
            <w:r>
              <w:rPr>
                <w:b w:val="0"/>
                <w:sz w:val="17"/>
              </w:rPr>
              <w:t>New product/build</w:t>
            </w:r>
          </w:p>
        </w:tc>
        <w:tc>
          <w:tcPr>
            <w:tcW w:type="dxa" w:w="5328"/>
            <w:vAlign w:val="center"/>
          </w:tcPr>
          <w:p>
            <w:r/>
            <w:r>
              <w:rPr>
                <w:b w:val="0"/>
                <w:sz w:val="17"/>
              </w:rPr>
              <w:t>Treat all components as proposed until the engineering team confirms reuse or procurement.</w:t>
            </w:r>
          </w:p>
        </w:tc>
      </w:tr>
      <w:tr>
        <w:tc>
          <w:tcPr>
            <w:tcW w:type="dxa" w:w="1944"/>
            <w:vAlign w:val="center"/>
          </w:tcPr>
          <w:p>
            <w:r/>
            <w:r>
              <w:rPr>
                <w:b w:val="0"/>
                <w:sz w:val="17"/>
              </w:rPr>
              <w:t>Traffic</w:t>
            </w:r>
          </w:p>
        </w:tc>
        <w:tc>
          <w:tcPr>
            <w:tcW w:type="dxa" w:w="3024"/>
            <w:vAlign w:val="center"/>
          </w:tcPr>
          <w:p>
            <w:r/>
            <w:r>
              <w:rPr>
                <w:b w:val="0"/>
                <w:sz w:val="17"/>
              </w:rPr>
              <w:t>Unknown</w:t>
            </w:r>
          </w:p>
        </w:tc>
        <w:tc>
          <w:tcPr>
            <w:tcW w:type="dxa" w:w="5328"/>
            <w:vAlign w:val="center"/>
          </w:tcPr>
          <w:p>
            <w:r/>
            <w:r>
              <w:rPr>
                <w:b w:val="0"/>
                <w:sz w:val="17"/>
              </w:rPr>
              <w:t>Measure average/peak Mbps/Gbps, packets per second, concurrent flows, export rates, traffic direction and oversubscription.</w:t>
            </w:r>
          </w:p>
        </w:tc>
      </w:tr>
      <w:tr>
        <w:tc>
          <w:tcPr>
            <w:tcW w:type="dxa" w:w="1944"/>
            <w:vAlign w:val="center"/>
          </w:tcPr>
          <w:p>
            <w:r/>
            <w:r>
              <w:rPr>
                <w:b w:val="0"/>
                <w:sz w:val="17"/>
              </w:rPr>
              <w:t>Deployment</w:t>
            </w:r>
          </w:p>
        </w:tc>
        <w:tc>
          <w:tcPr>
            <w:tcW w:type="dxa" w:w="3024"/>
            <w:vAlign w:val="center"/>
          </w:tcPr>
          <w:p>
            <w:r/>
            <w:r>
              <w:rPr>
                <w:b w:val="0"/>
                <w:sz w:val="17"/>
              </w:rPr>
              <w:t>Air-gapped</w:t>
            </w:r>
          </w:p>
        </w:tc>
        <w:tc>
          <w:tcPr>
            <w:tcW w:type="dxa" w:w="5328"/>
            <w:vAlign w:val="center"/>
          </w:tcPr>
          <w:p>
            <w:r/>
            <w:r>
              <w:rPr>
                <w:b w:val="0"/>
                <w:sz w:val="17"/>
              </w:rPr>
              <w:t>Design offline install, updates, feed imports, licensing, support, artifact signing and audit procedures.</w:t>
            </w:r>
          </w:p>
        </w:tc>
      </w:tr>
      <w:tr>
        <w:tc>
          <w:tcPr>
            <w:tcW w:type="dxa" w:w="1944"/>
            <w:vAlign w:val="center"/>
          </w:tcPr>
          <w:p>
            <w:r/>
            <w:r>
              <w:rPr>
                <w:b w:val="0"/>
                <w:sz w:val="17"/>
              </w:rPr>
              <w:t>Zones/sites</w:t>
            </w:r>
          </w:p>
        </w:tc>
        <w:tc>
          <w:tcPr>
            <w:tcW w:type="dxa" w:w="3024"/>
            <w:vAlign w:val="center"/>
          </w:tcPr>
          <w:p>
            <w:r/>
            <w:r>
              <w:rPr>
                <w:b w:val="0"/>
                <w:sz w:val="17"/>
              </w:rPr>
              <w:t>At least 3 zones required; topology unknown</w:t>
            </w:r>
          </w:p>
        </w:tc>
        <w:tc>
          <w:tcPr>
            <w:tcW w:type="dxa" w:w="5328"/>
            <w:vAlign w:val="center"/>
          </w:tcPr>
          <w:p>
            <w:r/>
            <w:r>
              <w:rPr>
                <w:b w:val="0"/>
                <w:sz w:val="17"/>
              </w:rPr>
              <w:t>Map actual DC/Main LDC and SLDC sites, VLANs/subnets, observation points, and routing boundaries.</w:t>
            </w:r>
          </w:p>
        </w:tc>
      </w:tr>
      <w:tr>
        <w:tc>
          <w:tcPr>
            <w:tcW w:type="dxa" w:w="1944"/>
            <w:vAlign w:val="center"/>
          </w:tcPr>
          <w:p>
            <w:r/>
            <w:r>
              <w:rPr>
                <w:b w:val="0"/>
                <w:sz w:val="17"/>
              </w:rPr>
              <w:t>Technology stack</w:t>
            </w:r>
          </w:p>
        </w:tc>
        <w:tc>
          <w:tcPr>
            <w:tcW w:type="dxa" w:w="3024"/>
            <w:vAlign w:val="center"/>
          </w:tcPr>
          <w:p>
            <w:r/>
            <w:r>
              <w:rPr>
                <w:b w:val="0"/>
                <w:sz w:val="17"/>
              </w:rPr>
              <w:t>Unknown</w:t>
            </w:r>
          </w:p>
        </w:tc>
        <w:tc>
          <w:tcPr>
            <w:tcW w:type="dxa" w:w="5328"/>
            <w:vAlign w:val="center"/>
          </w:tcPr>
          <w:p>
            <w:r/>
            <w:r>
              <w:rPr>
                <w:b w:val="0"/>
                <w:sz w:val="17"/>
              </w:rPr>
              <w:t>Run short proof-of-technology tests before locking databases, brokers, capture framework, or orchestration.</w:t>
            </w:r>
          </w:p>
        </w:tc>
      </w:tr>
      <w:tr>
        <w:tc>
          <w:tcPr>
            <w:tcW w:type="dxa" w:w="1944"/>
            <w:vAlign w:val="center"/>
          </w:tcPr>
          <w:p>
            <w:r/>
            <w:r>
              <w:rPr>
                <w:b w:val="0"/>
                <w:sz w:val="17"/>
              </w:rPr>
              <w:t>Identity/asset sources</w:t>
            </w:r>
          </w:p>
        </w:tc>
        <w:tc>
          <w:tcPr>
            <w:tcW w:type="dxa" w:w="3024"/>
            <w:vAlign w:val="center"/>
          </w:tcPr>
          <w:p>
            <w:r/>
            <w:r>
              <w:rPr>
                <w:b w:val="0"/>
                <w:sz w:val="17"/>
              </w:rPr>
              <w:t>Integrations requested; products unknown</w:t>
            </w:r>
          </w:p>
        </w:tc>
        <w:tc>
          <w:tcPr>
            <w:tcW w:type="dxa" w:w="5328"/>
            <w:vAlign w:val="center"/>
          </w:tcPr>
          <w:p>
            <w:r/>
            <w:r>
              <w:rPr>
                <w:b w:val="0"/>
                <w:sz w:val="17"/>
              </w:rPr>
              <w:t>Obtain versions, protocols, credentials model, API availability, and ownership.</w:t>
            </w:r>
          </w:p>
        </w:tc>
      </w:tr>
      <w:tr>
        <w:tc>
          <w:tcPr>
            <w:tcW w:type="dxa" w:w="1944"/>
            <w:vAlign w:val="center"/>
          </w:tcPr>
          <w:p>
            <w:r/>
            <w:r>
              <w:rPr>
                <w:b w:val="0"/>
                <w:sz w:val="17"/>
              </w:rPr>
              <w:t>Retention</w:t>
            </w:r>
          </w:p>
        </w:tc>
        <w:tc>
          <w:tcPr>
            <w:tcW w:type="dxa" w:w="3024"/>
            <w:vAlign w:val="center"/>
          </w:tcPr>
          <w:p>
            <w:r/>
            <w:r>
              <w:rPr>
                <w:b w:val="0"/>
                <w:sz w:val="17"/>
              </w:rPr>
              <w:t>7 days raw; 15 days normalized per working copy</w:t>
            </w:r>
          </w:p>
        </w:tc>
        <w:tc>
          <w:tcPr>
            <w:tcW w:type="dxa" w:w="5328"/>
            <w:vAlign w:val="center"/>
          </w:tcPr>
          <w:p>
            <w:r/>
            <w:r>
              <w:rPr>
                <w:b w:val="0"/>
                <w:sz w:val="17"/>
              </w:rPr>
              <w:t>Clarify exact normalized-data definition and whether replicas/backups count toward retention.</w:t>
            </w:r>
          </w:p>
        </w:tc>
      </w:tr>
      <w:tr>
        <w:tc>
          <w:tcPr>
            <w:tcW w:type="dxa" w:w="1944"/>
            <w:vAlign w:val="center"/>
          </w:tcPr>
          <w:p>
            <w:r/>
            <w:r>
              <w:rPr>
                <w:b w:val="0"/>
                <w:sz w:val="17"/>
              </w:rPr>
              <w:t>Sizing</w:t>
            </w:r>
          </w:p>
        </w:tc>
        <w:tc>
          <w:tcPr>
            <w:tcW w:type="dxa" w:w="3024"/>
            <w:vAlign w:val="center"/>
          </w:tcPr>
          <w:p>
            <w:r/>
            <w:r>
              <w:rPr>
                <w:b w:val="0"/>
                <w:sz w:val="17"/>
              </w:rPr>
              <w:t>Not finalizable</w:t>
            </w:r>
          </w:p>
        </w:tc>
        <w:tc>
          <w:tcPr>
            <w:tcW w:type="dxa" w:w="5328"/>
            <w:vAlign w:val="center"/>
          </w:tcPr>
          <w:p>
            <w:r/>
            <w:r>
              <w:rPr>
                <w:b w:val="0"/>
                <w:sz w:val="17"/>
              </w:rPr>
              <w:t>Produce capacity model from measured traffic, packet size distribution, event rate, index overhead, replication and 30% spare capacity.</w:t>
            </w:r>
          </w:p>
        </w:tc>
      </w:tr>
    </w:tbl>
    <w:p/>
    <w:p>
      <w:pPr>
        <w:pStyle w:val="Heading1"/>
      </w:pPr>
      <w:r>
        <w:t>4. Proposed high-level architecture</w:t>
      </w:r>
    </w:p>
    <w:p>
      <w:r>
        <w:t>Logical flow:</w:t>
      </w:r>
    </w:p>
    <w:p>
      <w:pPr>
        <w:pStyle w:val="ListNumber"/>
        <w:spacing w:after="40"/>
      </w:pPr>
      <w:r>
        <w:t>Network observation points: TAP/SPAN and flow exporters on Internet edge, data center, and approved SLDC/internal segments.</w:t>
      </w:r>
    </w:p>
    <w:p>
      <w:pPr>
        <w:pStyle w:val="ListNumber"/>
        <w:spacing w:after="40"/>
      </w:pPr>
      <w:r>
        <w:t>Collection tier: independent packet sensors and flow collectors; monitor capture/export loss and sensor health.</w:t>
      </w:r>
    </w:p>
    <w:p>
      <w:pPr>
        <w:pStyle w:val="ListNumber"/>
        <w:spacing w:after="40"/>
      </w:pPr>
      <w:r>
        <w:t>Ingestion tier: durable queue/buffer; validate, normalize timestamps, deduplicate where possible, and preserve source metadata.</w:t>
      </w:r>
    </w:p>
    <w:p>
      <w:pPr>
        <w:pStyle w:val="ListNumber"/>
        <w:spacing w:after="40"/>
      </w:pPr>
      <w:r>
        <w:t>Enrichment tier: asset identity, zone/subnet, application/protocol, geolocation, threat-intelligence and vulnerability context, subject to available data.</w:t>
      </w:r>
    </w:p>
    <w:p>
      <w:pPr>
        <w:pStyle w:val="ListNumber"/>
        <w:spacing w:after="40"/>
      </w:pPr>
      <w:r>
        <w:t>Detection tier: deterministic rules, thresholds, statistical baselines, communication-graph analysis, threat indicators and ML anomaly scoring.</w:t>
      </w:r>
    </w:p>
    <w:p>
      <w:pPr>
        <w:pStyle w:val="ListNumber"/>
        <w:spacing w:after="40"/>
      </w:pPr>
      <w:r>
        <w:t>Correlation/incident tier: group related events, assign severity/confidence, deduplicate, maintain lifecycle and evidence references.</w:t>
      </w:r>
    </w:p>
    <w:p>
      <w:pPr>
        <w:pStyle w:val="ListNumber"/>
        <w:spacing w:after="40"/>
      </w:pPr>
      <w:r>
        <w:t>Storage tier: indexed flow/events; packet metadata/session records; raw PCAP/PCAPNG archive; baseline/model/configuration state.</w:t>
      </w:r>
    </w:p>
    <w:p>
      <w:pPr>
        <w:pStyle w:val="ListNumber"/>
        <w:spacing w:after="40"/>
      </w:pPr>
      <w:r>
        <w:t>Application tier: central console, search, dashboards, investigation timeline, packet retrieval/playback, rule/policy administration and reporting.</w:t>
      </w:r>
    </w:p>
    <w:p>
      <w:pPr>
        <w:pStyle w:val="ListNumber"/>
        <w:spacing w:after="40"/>
      </w:pPr>
      <w:r>
        <w:t>Integration tier: SIEM/SOAR, AD/LDAP, vulnerability management, network/security appliances, threat intelligence and sandbox where supported.</w:t>
      </w:r>
    </w:p>
    <w:p>
      <w:pPr>
        <w:pStyle w:val="ListNumber"/>
        <w:spacing w:after="40"/>
      </w:pPr>
      <w:r>
        <w:t>Operations tier: metrics, logs, audit, backups, upgrades, health checks, capacity alerts, recovery and offline package management.</w:t>
      </w:r>
    </w:p>
    <w:p>
      <w:pPr>
        <w:pStyle w:val="Heading1"/>
      </w:pPr>
      <w:r>
        <w:t>5. Component design</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5F2"/>
          </w:tcPr>
          <w:p>
            <w:r/>
            <w:r>
              <w:rPr>
                <w:b/>
                <w:sz w:val="17"/>
              </w:rPr>
              <w:t>Component</w:t>
            </w:r>
          </w:p>
        </w:tc>
        <w:tc>
          <w:tcPr>
            <w:tcW w:type="dxa" w:w="3240"/>
            <w:vAlign w:val="center"/>
            <w:shd w:fill="D9E5F2"/>
          </w:tcPr>
          <w:p>
            <w:r/>
            <w:r>
              <w:rPr>
                <w:b/>
                <w:sz w:val="17"/>
              </w:rPr>
              <w:t>Responsibilities</w:t>
            </w:r>
          </w:p>
        </w:tc>
        <w:tc>
          <w:tcPr>
            <w:tcW w:type="dxa" w:w="5328"/>
            <w:vAlign w:val="center"/>
            <w:shd w:fill="D9E5F2"/>
          </w:tcPr>
          <w:p>
            <w:r/>
            <w:r>
              <w:rPr>
                <w:b/>
                <w:sz w:val="17"/>
              </w:rPr>
              <w:t>Key design requirements</w:t>
            </w:r>
          </w:p>
        </w:tc>
      </w:tr>
      <w:tr>
        <w:tc>
          <w:tcPr>
            <w:tcW w:type="dxa" w:w="1728"/>
            <w:vAlign w:val="center"/>
          </w:tcPr>
          <w:p>
            <w:r/>
            <w:r>
              <w:rPr>
                <w:b w:val="0"/>
                <w:sz w:val="17"/>
              </w:rPr>
              <w:t>Packet sensors</w:t>
            </w:r>
          </w:p>
        </w:tc>
        <w:tc>
          <w:tcPr>
            <w:tcW w:type="dxa" w:w="3240"/>
            <w:vAlign w:val="center"/>
          </w:tcPr>
          <w:p>
            <w:r/>
            <w:r>
              <w:rPr>
                <w:b w:val="0"/>
                <w:sz w:val="17"/>
              </w:rPr>
              <w:t>Receive mirrored traffic; capture packets; extract metadata; forward evidence</w:t>
            </w:r>
          </w:p>
        </w:tc>
        <w:tc>
          <w:tcPr>
            <w:tcW w:type="dxa" w:w="5328"/>
            <w:vAlign w:val="center"/>
          </w:tcPr>
          <w:p>
            <w:r/>
            <w:r>
              <w:rPr>
                <w:b w:val="0"/>
                <w:sz w:val="17"/>
              </w:rPr>
              <w:t>Passive/non-intrusive; timestamping; capture-loss counters; bounded buffers; NIC/driver benchmark; per-sensor health.</w:t>
            </w:r>
          </w:p>
        </w:tc>
      </w:tr>
      <w:tr>
        <w:tc>
          <w:tcPr>
            <w:tcW w:type="dxa" w:w="1728"/>
            <w:vAlign w:val="center"/>
          </w:tcPr>
          <w:p>
            <w:r/>
            <w:r>
              <w:rPr>
                <w:b w:val="0"/>
                <w:sz w:val="17"/>
              </w:rPr>
              <w:t>Flow collectors</w:t>
            </w:r>
          </w:p>
        </w:tc>
        <w:tc>
          <w:tcPr>
            <w:tcW w:type="dxa" w:w="3240"/>
            <w:vAlign w:val="center"/>
          </w:tcPr>
          <w:p>
            <w:r/>
            <w:r>
              <w:rPr>
                <w:b w:val="0"/>
                <w:sz w:val="17"/>
              </w:rPr>
              <w:t>Receive NetFlow/IPFIX and supported flow formats</w:t>
            </w:r>
          </w:p>
        </w:tc>
        <w:tc>
          <w:tcPr>
            <w:tcW w:type="dxa" w:w="5328"/>
            <w:vAlign w:val="center"/>
          </w:tcPr>
          <w:p>
            <w:r/>
            <w:r>
              <w:rPr>
                <w:b w:val="0"/>
                <w:sz w:val="17"/>
              </w:rPr>
              <w:t>Exporter compatibility matrix; templates; sampling awareness; sequence/loss monitoring; clock synchronization.</w:t>
            </w:r>
          </w:p>
        </w:tc>
      </w:tr>
      <w:tr>
        <w:tc>
          <w:tcPr>
            <w:tcW w:type="dxa" w:w="1728"/>
            <w:vAlign w:val="center"/>
          </w:tcPr>
          <w:p>
            <w:r/>
            <w:r>
              <w:rPr>
                <w:b w:val="0"/>
                <w:sz w:val="17"/>
              </w:rPr>
              <w:t>Ingestion/buffer</w:t>
            </w:r>
          </w:p>
        </w:tc>
        <w:tc>
          <w:tcPr>
            <w:tcW w:type="dxa" w:w="3240"/>
            <w:vAlign w:val="center"/>
          </w:tcPr>
          <w:p>
            <w:r/>
            <w:r>
              <w:rPr>
                <w:b w:val="0"/>
                <w:sz w:val="17"/>
              </w:rPr>
              <w:t>Absorb bursts and decouple collection from downstream services</w:t>
            </w:r>
          </w:p>
        </w:tc>
        <w:tc>
          <w:tcPr>
            <w:tcW w:type="dxa" w:w="5328"/>
            <w:vAlign w:val="center"/>
          </w:tcPr>
          <w:p>
            <w:r/>
            <w:r>
              <w:rPr>
                <w:b w:val="0"/>
                <w:sz w:val="17"/>
              </w:rPr>
              <w:t>Backpressure; durability; replay; bounded queues; idempotent consumers; failure and recovery tests.</w:t>
            </w:r>
          </w:p>
        </w:tc>
      </w:tr>
      <w:tr>
        <w:tc>
          <w:tcPr>
            <w:tcW w:type="dxa" w:w="1728"/>
            <w:vAlign w:val="center"/>
          </w:tcPr>
          <w:p>
            <w:r/>
            <w:r>
              <w:rPr>
                <w:b w:val="0"/>
                <w:sz w:val="17"/>
              </w:rPr>
              <w:t>Normalization</w:t>
            </w:r>
          </w:p>
        </w:tc>
        <w:tc>
          <w:tcPr>
            <w:tcW w:type="dxa" w:w="3240"/>
            <w:vAlign w:val="center"/>
          </w:tcPr>
          <w:p>
            <w:r/>
            <w:r>
              <w:rPr>
                <w:b w:val="0"/>
                <w:sz w:val="17"/>
              </w:rPr>
              <w:t>Map vendor data to a canonical schema</w:t>
            </w:r>
          </w:p>
        </w:tc>
        <w:tc>
          <w:tcPr>
            <w:tcW w:type="dxa" w:w="5328"/>
            <w:vAlign w:val="center"/>
          </w:tcPr>
          <w:p>
            <w:r/>
            <w:r>
              <w:rPr>
                <w:b w:val="0"/>
                <w:sz w:val="17"/>
              </w:rPr>
              <w:t>Schema versioning; field provenance; preserve original fields; UTC timestamps plus source timezone/context.</w:t>
            </w:r>
          </w:p>
        </w:tc>
      </w:tr>
      <w:tr>
        <w:tc>
          <w:tcPr>
            <w:tcW w:type="dxa" w:w="1728"/>
            <w:vAlign w:val="center"/>
          </w:tcPr>
          <w:p>
            <w:r/>
            <w:r>
              <w:rPr>
                <w:b w:val="0"/>
                <w:sz w:val="17"/>
              </w:rPr>
              <w:t>Enrichment</w:t>
            </w:r>
          </w:p>
        </w:tc>
        <w:tc>
          <w:tcPr>
            <w:tcW w:type="dxa" w:w="3240"/>
            <w:vAlign w:val="center"/>
          </w:tcPr>
          <w:p>
            <w:r/>
            <w:r>
              <w:rPr>
                <w:b w:val="0"/>
                <w:sz w:val="17"/>
              </w:rPr>
              <w:t>Add asset, subnet, zone, country, threat and vulnerability context</w:t>
            </w:r>
          </w:p>
        </w:tc>
        <w:tc>
          <w:tcPr>
            <w:tcW w:type="dxa" w:w="5328"/>
            <w:vAlign w:val="center"/>
          </w:tcPr>
          <w:p>
            <w:r/>
            <w:r>
              <w:rPr>
                <w:b w:val="0"/>
                <w:sz w:val="17"/>
              </w:rPr>
              <w:t>Local caches; provenance and freshness; offline feed import; avoid blocking the hot path.</w:t>
            </w:r>
          </w:p>
        </w:tc>
      </w:tr>
      <w:tr>
        <w:tc>
          <w:tcPr>
            <w:tcW w:type="dxa" w:w="1728"/>
            <w:vAlign w:val="center"/>
          </w:tcPr>
          <w:p>
            <w:r/>
            <w:r>
              <w:rPr>
                <w:b w:val="0"/>
                <w:sz w:val="17"/>
              </w:rPr>
              <w:t>Detection services</w:t>
            </w:r>
          </w:p>
        </w:tc>
        <w:tc>
          <w:tcPr>
            <w:tcW w:type="dxa" w:w="3240"/>
            <w:vAlign w:val="center"/>
          </w:tcPr>
          <w:p>
            <w:r/>
            <w:r>
              <w:rPr>
                <w:b w:val="0"/>
                <w:sz w:val="17"/>
              </w:rPr>
              <w:t>Run rules, baselines, graph analytics, threat indicators and ML</w:t>
            </w:r>
          </w:p>
        </w:tc>
        <w:tc>
          <w:tcPr>
            <w:tcW w:type="dxa" w:w="5328"/>
            <w:vAlign w:val="center"/>
          </w:tcPr>
          <w:p>
            <w:r/>
            <w:r>
              <w:rPr>
                <w:b w:val="0"/>
                <w:sz w:val="17"/>
              </w:rPr>
              <w:t>Versioned rules/models; explainable evidence; per-use-case test data; false-positive tracking.</w:t>
            </w:r>
          </w:p>
        </w:tc>
      </w:tr>
      <w:tr>
        <w:tc>
          <w:tcPr>
            <w:tcW w:type="dxa" w:w="1728"/>
            <w:vAlign w:val="center"/>
          </w:tcPr>
          <w:p>
            <w:r/>
            <w:r>
              <w:rPr>
                <w:b w:val="0"/>
                <w:sz w:val="17"/>
              </w:rPr>
              <w:t>Correlation/incident service</w:t>
            </w:r>
          </w:p>
        </w:tc>
        <w:tc>
          <w:tcPr>
            <w:tcW w:type="dxa" w:w="3240"/>
            <w:vAlign w:val="center"/>
          </w:tcPr>
          <w:p>
            <w:r/>
            <w:r>
              <w:rPr>
                <w:b w:val="0"/>
                <w:sz w:val="17"/>
              </w:rPr>
              <w:t>Group alerts and maintain incidents</w:t>
            </w:r>
          </w:p>
        </w:tc>
        <w:tc>
          <w:tcPr>
            <w:tcW w:type="dxa" w:w="5328"/>
            <w:vAlign w:val="center"/>
          </w:tcPr>
          <w:p>
            <w:r/>
            <w:r>
              <w:rPr>
                <w:b w:val="0"/>
                <w:sz w:val="17"/>
              </w:rPr>
              <w:t>Deduplication; event lineage; severity/confidence; lifecycle/audit; retry-safe integration.</w:t>
            </w:r>
          </w:p>
        </w:tc>
      </w:tr>
      <w:tr>
        <w:tc>
          <w:tcPr>
            <w:tcW w:type="dxa" w:w="1728"/>
            <w:vAlign w:val="center"/>
          </w:tcPr>
          <w:p>
            <w:r/>
            <w:r>
              <w:rPr>
                <w:b w:val="0"/>
                <w:sz w:val="17"/>
              </w:rPr>
              <w:t>Search/index</w:t>
            </w:r>
          </w:p>
        </w:tc>
        <w:tc>
          <w:tcPr>
            <w:tcW w:type="dxa" w:w="3240"/>
            <w:vAlign w:val="center"/>
          </w:tcPr>
          <w:p>
            <w:r/>
            <w:r>
              <w:rPr>
                <w:b w:val="0"/>
                <w:sz w:val="17"/>
              </w:rPr>
              <w:t>Search flows/events and support forensic queries</w:t>
            </w:r>
          </w:p>
        </w:tc>
        <w:tc>
          <w:tcPr>
            <w:tcW w:type="dxa" w:w="5328"/>
            <w:vAlign w:val="center"/>
          </w:tcPr>
          <w:p>
            <w:r/>
            <w:r>
              <w:rPr>
                <w:b w:val="0"/>
                <w:sz w:val="17"/>
              </w:rPr>
              <w:t>Time-based organization; selective indexing; query limits; concurrency controls; benchmark 5M-record requirement.</w:t>
            </w:r>
          </w:p>
        </w:tc>
      </w:tr>
      <w:tr>
        <w:tc>
          <w:tcPr>
            <w:tcW w:type="dxa" w:w="1728"/>
            <w:vAlign w:val="center"/>
          </w:tcPr>
          <w:p>
            <w:r/>
            <w:r>
              <w:rPr>
                <w:b w:val="0"/>
                <w:sz w:val="17"/>
              </w:rPr>
              <w:t>Packet archive</w:t>
            </w:r>
          </w:p>
        </w:tc>
        <w:tc>
          <w:tcPr>
            <w:tcW w:type="dxa" w:w="3240"/>
            <w:vAlign w:val="center"/>
          </w:tcPr>
          <w:p>
            <w:r/>
            <w:r>
              <w:rPr>
                <w:b w:val="0"/>
                <w:sz w:val="17"/>
              </w:rPr>
              <w:t>Retain and retrieve raw packet data</w:t>
            </w:r>
          </w:p>
        </w:tc>
        <w:tc>
          <w:tcPr>
            <w:tcW w:type="dxa" w:w="5328"/>
            <w:vAlign w:val="center"/>
          </w:tcPr>
          <w:p>
            <w:r/>
            <w:r>
              <w:rPr>
                <w:b w:val="0"/>
                <w:sz w:val="17"/>
              </w:rPr>
              <w:t>High sequential write throughput; time/sensor partitions; integrity; controlled access; retention and secure deletion.</w:t>
            </w:r>
          </w:p>
        </w:tc>
      </w:tr>
      <w:tr>
        <w:tc>
          <w:tcPr>
            <w:tcW w:type="dxa" w:w="1728"/>
            <w:vAlign w:val="center"/>
          </w:tcPr>
          <w:p>
            <w:r/>
            <w:r>
              <w:rPr>
                <w:b w:val="0"/>
                <w:sz w:val="17"/>
              </w:rPr>
              <w:t>Baseline/model store</w:t>
            </w:r>
          </w:p>
        </w:tc>
        <w:tc>
          <w:tcPr>
            <w:tcW w:type="dxa" w:w="3240"/>
            <w:vAlign w:val="center"/>
          </w:tcPr>
          <w:p>
            <w:r/>
            <w:r>
              <w:rPr>
                <w:b w:val="0"/>
                <w:sz w:val="17"/>
              </w:rPr>
              <w:t>Persist host profiles, aggregates, thresholds and model versions</w:t>
            </w:r>
          </w:p>
        </w:tc>
        <w:tc>
          <w:tcPr>
            <w:tcW w:type="dxa" w:w="5328"/>
            <w:vAlign w:val="center"/>
          </w:tcPr>
          <w:p>
            <w:r/>
            <w:r>
              <w:rPr>
                <w:b w:val="0"/>
                <w:sz w:val="17"/>
              </w:rPr>
              <w:t>Recoverability; model rollback; drift detection; profile lifecycle and cold-start handling.</w:t>
            </w:r>
          </w:p>
        </w:tc>
      </w:tr>
      <w:tr>
        <w:tc>
          <w:tcPr>
            <w:tcW w:type="dxa" w:w="1728"/>
            <w:vAlign w:val="center"/>
          </w:tcPr>
          <w:p>
            <w:r/>
            <w:r>
              <w:rPr>
                <w:b w:val="0"/>
                <w:sz w:val="17"/>
              </w:rPr>
              <w:t>API/control plane</w:t>
            </w:r>
          </w:p>
        </w:tc>
        <w:tc>
          <w:tcPr>
            <w:tcW w:type="dxa" w:w="3240"/>
            <w:vAlign w:val="center"/>
          </w:tcPr>
          <w:p>
            <w:r/>
            <w:r>
              <w:rPr>
                <w:b w:val="0"/>
                <w:sz w:val="17"/>
              </w:rPr>
              <w:t>Manage users, sensors, rules, policies, integrations and configuration</w:t>
            </w:r>
          </w:p>
        </w:tc>
        <w:tc>
          <w:tcPr>
            <w:tcW w:type="dxa" w:w="5328"/>
            <w:vAlign w:val="center"/>
          </w:tcPr>
          <w:p>
            <w:r/>
            <w:r>
              <w:rPr>
                <w:b w:val="0"/>
                <w:sz w:val="17"/>
              </w:rPr>
              <w:t>RBAC; audit; versioned APIs; secrets protection; separation from capture/data plane.</w:t>
            </w:r>
          </w:p>
        </w:tc>
      </w:tr>
      <w:tr>
        <w:tc>
          <w:tcPr>
            <w:tcW w:type="dxa" w:w="1728"/>
            <w:vAlign w:val="center"/>
          </w:tcPr>
          <w:p>
            <w:r/>
            <w:r>
              <w:rPr>
                <w:b w:val="0"/>
                <w:sz w:val="17"/>
              </w:rPr>
              <w:t>Analyst console</w:t>
            </w:r>
          </w:p>
        </w:tc>
        <w:tc>
          <w:tcPr>
            <w:tcW w:type="dxa" w:w="3240"/>
            <w:vAlign w:val="center"/>
          </w:tcPr>
          <w:p>
            <w:r/>
            <w:r>
              <w:rPr>
                <w:b w:val="0"/>
                <w:sz w:val="17"/>
              </w:rPr>
              <w:t>Dashboard, alert queue, search, evidence, timeline, reports</w:t>
            </w:r>
          </w:p>
        </w:tc>
        <w:tc>
          <w:tcPr>
            <w:tcW w:type="dxa" w:w="5328"/>
            <w:vAlign w:val="center"/>
          </w:tcPr>
          <w:p>
            <w:r/>
            <w:r>
              <w:rPr>
                <w:b w:val="0"/>
                <w:sz w:val="17"/>
              </w:rPr>
              <w:t>Single console; role-specific views; evidence linkage; responsive query experience; export controls.</w:t>
            </w:r>
          </w:p>
        </w:tc>
      </w:tr>
    </w:tbl>
    <w:p/>
    <w:p>
      <w:pPr>
        <w:pStyle w:val="Heading1"/>
      </w:pPr>
      <w:r>
        <w:t>6. Detection strategy</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5F2"/>
          </w:tcPr>
          <w:p>
            <w:r/>
            <w:r>
              <w:rPr>
                <w:b/>
                <w:sz w:val="17"/>
              </w:rPr>
              <w:t>Detection method</w:t>
            </w:r>
          </w:p>
        </w:tc>
        <w:tc>
          <w:tcPr>
            <w:tcW w:type="dxa" w:w="4032"/>
            <w:vAlign w:val="center"/>
            <w:shd w:fill="D9E5F2"/>
          </w:tcPr>
          <w:p>
            <w:r/>
            <w:r>
              <w:rPr>
                <w:b/>
                <w:sz w:val="17"/>
              </w:rPr>
              <w:t>Examples</w:t>
            </w:r>
          </w:p>
        </w:tc>
        <w:tc>
          <w:tcPr>
            <w:tcW w:type="dxa" w:w="4320"/>
            <w:vAlign w:val="center"/>
            <w:shd w:fill="D9E5F2"/>
          </w:tcPr>
          <w:p>
            <w:r/>
            <w:r>
              <w:rPr>
                <w:b/>
                <w:sz w:val="17"/>
              </w:rPr>
              <w:t>Guardrails</w:t>
            </w:r>
          </w:p>
        </w:tc>
      </w:tr>
      <w:tr>
        <w:tc>
          <w:tcPr>
            <w:tcW w:type="dxa" w:w="1944"/>
            <w:vAlign w:val="center"/>
          </w:tcPr>
          <w:p>
            <w:r/>
            <w:r>
              <w:rPr>
                <w:b w:val="0"/>
                <w:sz w:val="17"/>
              </w:rPr>
              <w:t>Threshold/rule</w:t>
            </w:r>
          </w:p>
        </w:tc>
        <w:tc>
          <w:tcPr>
            <w:tcW w:type="dxa" w:w="4032"/>
            <w:vAlign w:val="center"/>
          </w:tcPr>
          <w:p>
            <w:r/>
            <w:r>
              <w:rPr>
                <w:b w:val="0"/>
                <w:sz w:val="17"/>
              </w:rPr>
              <w:t>Traffic spikes, packet-rate spikes, forbidden port/service, scan thresholds, policy violations</w:t>
            </w:r>
          </w:p>
        </w:tc>
        <w:tc>
          <w:tcPr>
            <w:tcW w:type="dxa" w:w="4320"/>
            <w:vAlign w:val="center"/>
          </w:tcPr>
          <w:p>
            <w:r/>
            <w:r>
              <w:rPr>
                <w:b w:val="0"/>
                <w:sz w:val="17"/>
              </w:rPr>
              <w:t>Per-zone/asset tuning; suppression windows; rule versioning; test against benign peaks.</w:t>
            </w:r>
          </w:p>
        </w:tc>
      </w:tr>
      <w:tr>
        <w:tc>
          <w:tcPr>
            <w:tcW w:type="dxa" w:w="1944"/>
            <w:vAlign w:val="center"/>
          </w:tcPr>
          <w:p>
            <w:r/>
            <w:r>
              <w:rPr>
                <w:b w:val="0"/>
                <w:sz w:val="17"/>
              </w:rPr>
              <w:t>Statistical baseline</w:t>
            </w:r>
          </w:p>
        </w:tc>
        <w:tc>
          <w:tcPr>
            <w:tcW w:type="dxa" w:w="4032"/>
            <w:vAlign w:val="center"/>
          </w:tcPr>
          <w:p>
            <w:r/>
            <w:r>
              <w:rPr>
                <w:b w:val="0"/>
                <w:sz w:val="17"/>
              </w:rPr>
              <w:t>Host traffic volume, destinations, ports, hourly/daily/weekly deviations</w:t>
            </w:r>
          </w:p>
        </w:tc>
        <w:tc>
          <w:tcPr>
            <w:tcW w:type="dxa" w:w="4320"/>
            <w:vAlign w:val="center"/>
          </w:tcPr>
          <w:p>
            <w:r/>
            <w:r>
              <w:rPr>
                <w:b w:val="0"/>
                <w:sz w:val="17"/>
              </w:rPr>
              <w:t>Minimum learning period; maintenance windows; baseline poisoning protections; seasonal profiles.</w:t>
            </w:r>
          </w:p>
        </w:tc>
      </w:tr>
      <w:tr>
        <w:tc>
          <w:tcPr>
            <w:tcW w:type="dxa" w:w="1944"/>
            <w:vAlign w:val="center"/>
          </w:tcPr>
          <w:p>
            <w:r/>
            <w:r>
              <w:rPr>
                <w:b w:val="0"/>
                <w:sz w:val="17"/>
              </w:rPr>
              <w:t>Graph/relationship</w:t>
            </w:r>
          </w:p>
        </w:tc>
        <w:tc>
          <w:tcPr>
            <w:tcW w:type="dxa" w:w="4032"/>
            <w:vAlign w:val="center"/>
          </w:tcPr>
          <w:p>
            <w:r/>
            <w:r>
              <w:rPr>
                <w:b w:val="0"/>
                <w:sz w:val="17"/>
              </w:rPr>
              <w:t>New communication edges, fan-out, lateral movement, worm propagation</w:t>
            </w:r>
          </w:p>
        </w:tc>
        <w:tc>
          <w:tcPr>
            <w:tcW w:type="dxa" w:w="4320"/>
            <w:vAlign w:val="center"/>
          </w:tcPr>
          <w:p>
            <w:r/>
            <w:r>
              <w:rPr>
                <w:b w:val="0"/>
                <w:sz w:val="17"/>
              </w:rPr>
              <w:t>Asset identity resolution; edge aging; graph scale controls; evidence showing changed relationships.</w:t>
            </w:r>
          </w:p>
        </w:tc>
      </w:tr>
      <w:tr>
        <w:tc>
          <w:tcPr>
            <w:tcW w:type="dxa" w:w="1944"/>
            <w:vAlign w:val="center"/>
          </w:tcPr>
          <w:p>
            <w:r/>
            <w:r>
              <w:rPr>
                <w:b w:val="0"/>
                <w:sz w:val="17"/>
              </w:rPr>
              <w:t>Threat intelligence/signatures</w:t>
            </w:r>
          </w:p>
        </w:tc>
        <w:tc>
          <w:tcPr>
            <w:tcW w:type="dxa" w:w="4032"/>
            <w:vAlign w:val="center"/>
          </w:tcPr>
          <w:p>
            <w:r/>
            <w:r>
              <w:rPr>
                <w:b w:val="0"/>
                <w:sz w:val="17"/>
              </w:rPr>
              <w:t>Known malicious IP/domain indicators or supported protocol patterns</w:t>
            </w:r>
          </w:p>
        </w:tc>
        <w:tc>
          <w:tcPr>
            <w:tcW w:type="dxa" w:w="4320"/>
            <w:vAlign w:val="center"/>
          </w:tcPr>
          <w:p>
            <w:r/>
            <w:r>
              <w:rPr>
                <w:b w:val="0"/>
                <w:sz w:val="17"/>
              </w:rPr>
              <w:t>Feed provenance, expiry, confidence, offline update process, false-match review.</w:t>
            </w:r>
          </w:p>
        </w:tc>
      </w:tr>
      <w:tr>
        <w:tc>
          <w:tcPr>
            <w:tcW w:type="dxa" w:w="1944"/>
            <w:vAlign w:val="center"/>
          </w:tcPr>
          <w:p>
            <w:r/>
            <w:r>
              <w:rPr>
                <w:b w:val="0"/>
                <w:sz w:val="17"/>
              </w:rPr>
              <w:t>ML anomaly scoring</w:t>
            </w:r>
          </w:p>
        </w:tc>
        <w:tc>
          <w:tcPr>
            <w:tcW w:type="dxa" w:w="4032"/>
            <w:vAlign w:val="center"/>
          </w:tcPr>
          <w:p>
            <w:r/>
            <w:r>
              <w:rPr>
                <w:b w:val="0"/>
                <w:sz w:val="17"/>
              </w:rPr>
              <w:t>Multivariate deviations and novel patterns</w:t>
            </w:r>
          </w:p>
        </w:tc>
        <w:tc>
          <w:tcPr>
            <w:tcW w:type="dxa" w:w="4320"/>
            <w:vAlign w:val="center"/>
          </w:tcPr>
          <w:p>
            <w:r/>
            <w:r>
              <w:rPr>
                <w:b w:val="0"/>
                <w:sz w:val="17"/>
              </w:rPr>
              <w:t>Treat scores as evidence not proof; version models; track drift; explain contributing features; no dependency on future roadmap.</w:t>
            </w:r>
          </w:p>
        </w:tc>
      </w:tr>
      <w:tr>
        <w:tc>
          <w:tcPr>
            <w:tcW w:type="dxa" w:w="1944"/>
            <w:vAlign w:val="center"/>
          </w:tcPr>
          <w:p>
            <w:r/>
            <w:r>
              <w:rPr>
                <w:b w:val="0"/>
                <w:sz w:val="17"/>
              </w:rPr>
              <w:t>Longitudinal correlation</w:t>
            </w:r>
          </w:p>
        </w:tc>
        <w:tc>
          <w:tcPr>
            <w:tcW w:type="dxa" w:w="4032"/>
            <w:vAlign w:val="center"/>
          </w:tcPr>
          <w:p>
            <w:r/>
            <w:r>
              <w:rPr>
                <w:b w:val="0"/>
                <w:sz w:val="17"/>
              </w:rPr>
              <w:t>Slow exfiltration, periodic beaconing, gradual propagation</w:t>
            </w:r>
          </w:p>
        </w:tc>
        <w:tc>
          <w:tcPr>
            <w:tcW w:type="dxa" w:w="4320"/>
            <w:vAlign w:val="center"/>
          </w:tcPr>
          <w:p>
            <w:r/>
            <w:r>
              <w:rPr>
                <w:b w:val="0"/>
                <w:sz w:val="17"/>
              </w:rPr>
              <w:t>Multiple windows; cumulative counters; time alignment; delayed-flow handling; incident grouping.</w:t>
            </w:r>
          </w:p>
        </w:tc>
      </w:tr>
    </w:tbl>
    <w:p/>
    <w:p>
      <w:r>
        <w:t>Illustrative normalized risk score (not an RFP formula): R = 100 × (0.30V + 0.25B + 0.20C + 0.15T + 0.10P), where V=volume anomaly, B=behaviour deviation, C=communication anomaly, T=threat evidence, P=policy violation. All inputs are normalized to 0–1. Calibrate weights with representative traffic and analyst feedback; permit high-confidence indicators to trigger separate escalation rules.</w:t>
      </w:r>
    </w:p>
    <w:p>
      <w:pPr>
        <w:pStyle w:val="Heading1"/>
      </w:pPr>
      <w:r>
        <w:t>7. Storage and sizing approach</w:t>
      </w:r>
    </w:p>
    <w:p>
      <w:r>
        <w:t>Keep data classes separate so large packet payloads do not make routine event searches expensive:</w:t>
      </w:r>
    </w:p>
    <w:p>
      <w:pPr>
        <w:pStyle w:val="ListBullet"/>
        <w:spacing w:after="40"/>
      </w:pPr>
      <w:r>
        <w:t>Flow/event index: searchable normalized flows, alerts, incidents and selected metadata.</w:t>
      </w:r>
    </w:p>
    <w:p>
      <w:pPr>
        <w:pStyle w:val="ListBullet"/>
        <w:spacing w:after="40"/>
      </w:pPr>
      <w:r>
        <w:t>Raw packet archive: PCAP/PCAPNG organized by sensor/interface/time; access controlled and integrity checked.</w:t>
      </w:r>
    </w:p>
    <w:p>
      <w:pPr>
        <w:pStyle w:val="ListBullet"/>
        <w:spacing w:after="40"/>
      </w:pPr>
      <w:r>
        <w:t>Packet/session metadata: protocol attributes and references to packet files, enabling targeted retrieval.</w:t>
      </w:r>
    </w:p>
    <w:p>
      <w:pPr>
        <w:pStyle w:val="ListBullet"/>
        <w:spacing w:after="40"/>
      </w:pPr>
      <w:r>
        <w:t>Baseline/model store: historical aggregates, host profiles, model versions, thresholds and feedback.</w:t>
      </w:r>
    </w:p>
    <w:p>
      <w:pPr>
        <w:pStyle w:val="Heading2"/>
      </w:pPr>
      <w:r>
        <w:t>7.1 Preliminary raw-data arithmetic</w:t>
      </w:r>
    </w:p>
    <w:p>
      <w:r>
        <w:t>If 512 Mbps is continuously captured and retained without filtering, 512,000,000 bits/s ÷ 8 = 64,000,000 bytes/s. That is approximately 5.53 decimal TB/day and 38.7 decimal TB over 7 days. Adding a simple 30% planning margin gives about 50.3 TB before replication, filesystem overhead, metadata/indexes, flow/event storage, and other operational needs. This is a scenario calculation, not a procurement size: the tender's exact traffic measurement basis and real traffic profile are unknown.</w:t>
      </w:r>
    </w:p>
    <w:p>
      <w:r>
        <w:t>The 5,000,000-record/180-second target equals approximately 27,778 returned records per second over the benchmark interval. Search throughput is not ingestion throughput. Define whether the acceptance test measures query execution, records rendered, records exported, or full delivery to the client.</w:t>
      </w:r>
    </w:p>
    <w:p>
      <w:pPr>
        <w:pStyle w:val="Heading2"/>
      </w:pPr>
      <w:r>
        <w:t>7.2 Capacity model inputs</w:t>
      </w:r>
    </w:p>
    <w:p>
      <w:pPr>
        <w:pStyle w:val="ListBullet"/>
        <w:spacing w:after="40"/>
      </w:pPr>
      <w:r>
        <w:t>Average and peak Mbps/Gbps by observation point; inbound/outbound and east-west traffic.</w:t>
      </w:r>
    </w:p>
    <w:p>
      <w:pPr>
        <w:pStyle w:val="ListBullet"/>
        <w:spacing w:after="40"/>
      </w:pPr>
      <w:r>
        <w:t>Packets per second and packet-size distribution, including burst profile.</w:t>
      </w:r>
    </w:p>
    <w:p>
      <w:pPr>
        <w:pStyle w:val="ListBullet"/>
        <w:spacing w:after="40"/>
      </w:pPr>
      <w:r>
        <w:t>Flow records/sec, event records/sec, and average serialized record size.</w:t>
      </w:r>
    </w:p>
    <w:p>
      <w:pPr>
        <w:pStyle w:val="ListBullet"/>
        <w:spacing w:after="40"/>
      </w:pPr>
      <w:r>
        <w:t>Percentage of traffic captured in raw form and any approved capture filters.</w:t>
      </w:r>
    </w:p>
    <w:p>
      <w:pPr>
        <w:pStyle w:val="ListBullet"/>
        <w:spacing w:after="40"/>
      </w:pPr>
      <w:r>
        <w:t>Indexing multiplier, compression ratio, replication factor, storage reserve and recovery copies.</w:t>
      </w:r>
    </w:p>
    <w:p>
      <w:pPr>
        <w:pStyle w:val="ListBullet"/>
        <w:spacing w:after="40"/>
      </w:pPr>
      <w:r>
        <w:t>Query concurrency, common filters, expected result sizes and acceptable latency.</w:t>
      </w:r>
    </w:p>
    <w:p>
      <w:pPr>
        <w:pStyle w:val="ListBullet"/>
        <w:spacing w:after="40"/>
      </w:pPr>
      <w:r>
        <w:t>CPU, memory, NIC, disk throughput/IOPS, and network throughput under realistic replay.</w:t>
      </w:r>
    </w:p>
    <w:p>
      <w:pPr>
        <w:pStyle w:val="ListBullet"/>
        <w:spacing w:after="40"/>
      </w:pPr>
      <w:r>
        <w:t>At least 30% spare capacity at peak load, applied consistently with the tender's exact definition.</w:t>
      </w:r>
    </w:p>
    <w:p>
      <w:pPr>
        <w:pStyle w:val="Heading1"/>
      </w:pPr>
      <w:r>
        <w:t>8. Air-gapped operation and security</w:t>
      </w:r>
    </w:p>
    <w:p>
      <w:pPr>
        <w:pStyle w:val="ListBullet"/>
        <w:spacing w:after="40"/>
      </w:pPr>
      <w:r>
        <w:t>Separate management, ingestion, storage and analyst access networks; document permitted paths.</w:t>
      </w:r>
    </w:p>
    <w:p>
      <w:pPr>
        <w:pStyle w:val="ListBullet"/>
        <w:spacing w:after="40"/>
      </w:pPr>
      <w:r>
        <w:t>Use RBAC/least privilege, AD/LDAP integration where available, privileged-action auditing and controlled packet exports.</w:t>
      </w:r>
    </w:p>
    <w:p>
      <w:pPr>
        <w:pStyle w:val="ListBullet"/>
        <w:spacing w:after="40"/>
      </w:pPr>
      <w:r>
        <w:t>Encrypt traffic in transit and stored evidence at rest using approved mechanisms; manage keys locally.</w:t>
      </w:r>
    </w:p>
    <w:p>
      <w:pPr>
        <w:pStyle w:val="ListBullet"/>
        <w:spacing w:after="40"/>
      </w:pPr>
      <w:r>
        <w:t>Create an offline package process: signed artifacts, malware scanning, approval, controlled transfer, checksum/signature validation and audit trail.</w:t>
      </w:r>
    </w:p>
    <w:p>
      <w:pPr>
        <w:pStyle w:val="ListBullet"/>
        <w:spacing w:after="40"/>
      </w:pPr>
      <w:r>
        <w:t>Import threat-intelligence feeds through an approved offline workflow with source, timestamp, expiry, signature/provenance and rollback support.</w:t>
      </w:r>
    </w:p>
    <w:p>
      <w:pPr>
        <w:pStyle w:val="ListBullet"/>
        <w:spacing w:after="40"/>
      </w:pPr>
      <w:r>
        <w:t>Prevent unapproved telemetry, cloud callbacks, external DNS dependencies, license checks or support tunnels; verify through network tests.</w:t>
      </w:r>
    </w:p>
    <w:p>
      <w:pPr>
        <w:pStyle w:val="ListBullet"/>
        <w:spacing w:after="40"/>
      </w:pPr>
      <w:r>
        <w:t>Define local backup, restore, retention deletion, incident evidence handling and disaster recovery.</w:t>
      </w:r>
    </w:p>
    <w:p>
      <w:pPr>
        <w:pStyle w:val="ListBullet"/>
        <w:spacing w:after="40"/>
      </w:pPr>
      <w:r>
        <w:t>Validate whether the environment is completely disconnected or permits explicitly approved one-way/controlled transfer. Do not assume these are equivalent.</w:t>
      </w:r>
    </w:p>
    <w:p>
      <w:pPr>
        <w:pStyle w:val="Heading1"/>
      </w:pPr>
      <w:r>
        <w:t>9. Availability and operational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5F2"/>
          </w:tcPr>
          <w:p>
            <w:r/>
            <w:r>
              <w:rPr>
                <w:b/>
                <w:sz w:val="17"/>
              </w:rPr>
              <w:t>Area</w:t>
            </w:r>
          </w:p>
        </w:tc>
        <w:tc>
          <w:tcPr>
            <w:tcW w:type="dxa" w:w="3408"/>
            <w:vAlign w:val="center"/>
            <w:shd w:fill="D9E5F2"/>
          </w:tcPr>
          <w:p>
            <w:r/>
            <w:r>
              <w:rPr>
                <w:b/>
                <w:sz w:val="17"/>
              </w:rPr>
              <w:t>Proposed approach</w:t>
            </w:r>
          </w:p>
        </w:tc>
        <w:tc>
          <w:tcPr>
            <w:tcW w:type="dxa" w:w="3408"/>
            <w:vAlign w:val="center"/>
            <w:shd w:fill="D9E5F2"/>
          </w:tcPr>
          <w:p>
            <w:r/>
            <w:r>
              <w:rPr>
                <w:b/>
                <w:sz w:val="17"/>
              </w:rPr>
              <w:t>Acceptance evidence</w:t>
            </w:r>
          </w:p>
        </w:tc>
      </w:tr>
      <w:tr>
        <w:tc>
          <w:tcPr>
            <w:tcW w:type="dxa" w:w="3408"/>
            <w:vAlign w:val="center"/>
          </w:tcPr>
          <w:p>
            <w:r/>
            <w:r>
              <w:rPr>
                <w:b w:val="0"/>
                <w:sz w:val="17"/>
              </w:rPr>
              <w:t>Collection</w:t>
            </w:r>
          </w:p>
        </w:tc>
        <w:tc>
          <w:tcPr>
            <w:tcW w:type="dxa" w:w="3408"/>
            <w:vAlign w:val="center"/>
          </w:tcPr>
          <w:p>
            <w:r/>
            <w:r>
              <w:rPr>
                <w:b w:val="0"/>
                <w:sz w:val="17"/>
              </w:rPr>
              <w:t>Redundant observation coverage at critical points; failover where exporters support it</w:t>
            </w:r>
          </w:p>
        </w:tc>
        <w:tc>
          <w:tcPr>
            <w:tcW w:type="dxa" w:w="3408"/>
            <w:vAlign w:val="center"/>
          </w:tcPr>
          <w:p>
            <w:r/>
            <w:r>
              <w:rPr>
                <w:b w:val="0"/>
                <w:sz w:val="17"/>
              </w:rPr>
              <w:t>Capture/export loss metrics and failure simulation.</w:t>
            </w:r>
          </w:p>
        </w:tc>
      </w:tr>
      <w:tr>
        <w:tc>
          <w:tcPr>
            <w:tcW w:type="dxa" w:w="3408"/>
            <w:vAlign w:val="center"/>
          </w:tcPr>
          <w:p>
            <w:r/>
            <w:r>
              <w:rPr>
                <w:b w:val="0"/>
                <w:sz w:val="17"/>
              </w:rPr>
              <w:t>Ingestion</w:t>
            </w:r>
          </w:p>
        </w:tc>
        <w:tc>
          <w:tcPr>
            <w:tcW w:type="dxa" w:w="3408"/>
            <w:vAlign w:val="center"/>
          </w:tcPr>
          <w:p>
            <w:r/>
            <w:r>
              <w:rPr>
                <w:b w:val="0"/>
                <w:sz w:val="17"/>
              </w:rPr>
              <w:t>Replicated durable queue or equivalent; bounded buffers; retry-safe consumers</w:t>
            </w:r>
          </w:p>
        </w:tc>
        <w:tc>
          <w:tcPr>
            <w:tcW w:type="dxa" w:w="3408"/>
            <w:vAlign w:val="center"/>
          </w:tcPr>
          <w:p>
            <w:r/>
            <w:r>
              <w:rPr>
                <w:b w:val="0"/>
                <w:sz w:val="17"/>
              </w:rPr>
              <w:t>Broker/collector failure and replay test.</w:t>
            </w:r>
          </w:p>
        </w:tc>
      </w:tr>
      <w:tr>
        <w:tc>
          <w:tcPr>
            <w:tcW w:type="dxa" w:w="3408"/>
            <w:vAlign w:val="center"/>
          </w:tcPr>
          <w:p>
            <w:r/>
            <w:r>
              <w:rPr>
                <w:b w:val="0"/>
                <w:sz w:val="17"/>
              </w:rPr>
              <w:t>Detection</w:t>
            </w:r>
          </w:p>
        </w:tc>
        <w:tc>
          <w:tcPr>
            <w:tcW w:type="dxa" w:w="3408"/>
            <w:vAlign w:val="center"/>
          </w:tcPr>
          <w:p>
            <w:r/>
            <w:r>
              <w:rPr>
                <w:b w:val="0"/>
                <w:sz w:val="17"/>
              </w:rPr>
              <w:t>Multiple instances for stateless workers; durable state and model recovery</w:t>
            </w:r>
          </w:p>
        </w:tc>
        <w:tc>
          <w:tcPr>
            <w:tcW w:type="dxa" w:w="3408"/>
            <w:vAlign w:val="center"/>
          </w:tcPr>
          <w:p>
            <w:r/>
            <w:r>
              <w:rPr>
                <w:b w:val="0"/>
                <w:sz w:val="17"/>
              </w:rPr>
              <w:t>Worker loss, restart and duplicate-event test.</w:t>
            </w:r>
          </w:p>
        </w:tc>
      </w:tr>
      <w:tr>
        <w:tc>
          <w:tcPr>
            <w:tcW w:type="dxa" w:w="3408"/>
            <w:vAlign w:val="center"/>
          </w:tcPr>
          <w:p>
            <w:r/>
            <w:r>
              <w:rPr>
                <w:b w:val="0"/>
                <w:sz w:val="17"/>
              </w:rPr>
              <w:t>Search</w:t>
            </w:r>
          </w:p>
        </w:tc>
        <w:tc>
          <w:tcPr>
            <w:tcW w:type="dxa" w:w="3408"/>
            <w:vAlign w:val="center"/>
          </w:tcPr>
          <w:p>
            <w:r/>
            <w:r>
              <w:rPr>
                <w:b w:val="0"/>
                <w:sz w:val="17"/>
              </w:rPr>
              <w:t>Replicated search/index tier; query isolation and concurrency limits</w:t>
            </w:r>
          </w:p>
        </w:tc>
        <w:tc>
          <w:tcPr>
            <w:tcW w:type="dxa" w:w="3408"/>
            <w:vAlign w:val="center"/>
          </w:tcPr>
          <w:p>
            <w:r/>
            <w:r>
              <w:rPr>
                <w:b w:val="0"/>
                <w:sz w:val="17"/>
              </w:rPr>
              <w:t>Node failure test and forensic benchmark.</w:t>
            </w:r>
          </w:p>
        </w:tc>
      </w:tr>
      <w:tr>
        <w:tc>
          <w:tcPr>
            <w:tcW w:type="dxa" w:w="3408"/>
            <w:vAlign w:val="center"/>
          </w:tcPr>
          <w:p>
            <w:r/>
            <w:r>
              <w:rPr>
                <w:b w:val="0"/>
                <w:sz w:val="17"/>
              </w:rPr>
              <w:t>Packet storage</w:t>
            </w:r>
          </w:p>
        </w:tc>
        <w:tc>
          <w:tcPr>
            <w:tcW w:type="dxa" w:w="3408"/>
            <w:vAlign w:val="center"/>
          </w:tcPr>
          <w:p>
            <w:r/>
            <w:r>
              <w:rPr>
                <w:b w:val="0"/>
                <w:sz w:val="17"/>
              </w:rPr>
              <w:t>Redundant storage and verified retrieval path</w:t>
            </w:r>
          </w:p>
        </w:tc>
        <w:tc>
          <w:tcPr>
            <w:tcW w:type="dxa" w:w="3408"/>
            <w:vAlign w:val="center"/>
          </w:tcPr>
          <w:p>
            <w:r/>
            <w:r>
              <w:rPr>
                <w:b w:val="0"/>
                <w:sz w:val="17"/>
              </w:rPr>
              <w:t>Disk/node failure, integrity and recovery tests.</w:t>
            </w:r>
          </w:p>
        </w:tc>
      </w:tr>
      <w:tr>
        <w:tc>
          <w:tcPr>
            <w:tcW w:type="dxa" w:w="3408"/>
            <w:vAlign w:val="center"/>
          </w:tcPr>
          <w:p>
            <w:r/>
            <w:r>
              <w:rPr>
                <w:b w:val="0"/>
                <w:sz w:val="17"/>
              </w:rPr>
              <w:t>Control plane</w:t>
            </w:r>
          </w:p>
        </w:tc>
        <w:tc>
          <w:tcPr>
            <w:tcW w:type="dxa" w:w="3408"/>
            <w:vAlign w:val="center"/>
          </w:tcPr>
          <w:p>
            <w:r/>
            <w:r>
              <w:rPr>
                <w:b w:val="0"/>
                <w:sz w:val="17"/>
              </w:rPr>
              <w:t>Multiple app instances; configuration backup and rollback</w:t>
            </w:r>
          </w:p>
        </w:tc>
        <w:tc>
          <w:tcPr>
            <w:tcW w:type="dxa" w:w="3408"/>
            <w:vAlign w:val="center"/>
          </w:tcPr>
          <w:p>
            <w:r/>
            <w:r>
              <w:rPr>
                <w:b w:val="0"/>
                <w:sz w:val="17"/>
              </w:rPr>
              <w:t>Service failure and configuration restore.</w:t>
            </w:r>
          </w:p>
        </w:tc>
      </w:tr>
      <w:tr>
        <w:tc>
          <w:tcPr>
            <w:tcW w:type="dxa" w:w="3408"/>
            <w:vAlign w:val="center"/>
          </w:tcPr>
          <w:p>
            <w:r/>
            <w:r>
              <w:rPr>
                <w:b w:val="0"/>
                <w:sz w:val="17"/>
              </w:rPr>
              <w:t>Site recovery</w:t>
            </w:r>
          </w:p>
        </w:tc>
        <w:tc>
          <w:tcPr>
            <w:tcW w:type="dxa" w:w="3408"/>
            <w:vAlign w:val="center"/>
          </w:tcPr>
          <w:p>
            <w:r/>
            <w:r>
              <w:rPr>
                <w:b w:val="0"/>
                <w:sz w:val="17"/>
              </w:rPr>
              <w:t>Document RTO/RPO and restoration procedures based on stakeholder requirements</w:t>
            </w:r>
          </w:p>
        </w:tc>
        <w:tc>
          <w:tcPr>
            <w:tcW w:type="dxa" w:w="3408"/>
            <w:vAlign w:val="center"/>
          </w:tcPr>
          <w:p>
            <w:r/>
            <w:r>
              <w:rPr>
                <w:b w:val="0"/>
                <w:sz w:val="17"/>
              </w:rPr>
              <w:t>Regular recovery exercise.</w:t>
            </w:r>
          </w:p>
        </w:tc>
      </w:tr>
      <w:tr>
        <w:tc>
          <w:tcPr>
            <w:tcW w:type="dxa" w:w="3408"/>
            <w:vAlign w:val="center"/>
          </w:tcPr>
          <w:p>
            <w:r/>
            <w:r>
              <w:rPr>
                <w:b w:val="0"/>
                <w:sz w:val="17"/>
              </w:rPr>
              <w:t>Operations</w:t>
            </w:r>
          </w:p>
        </w:tc>
        <w:tc>
          <w:tcPr>
            <w:tcW w:type="dxa" w:w="3408"/>
            <w:vAlign w:val="center"/>
          </w:tcPr>
          <w:p>
            <w:r/>
            <w:r>
              <w:rPr>
                <w:b w:val="0"/>
                <w:sz w:val="17"/>
              </w:rPr>
              <w:t>Monitor CPU, memory, disk, queues, packet drops, flow loss, lag, query latency and retention</w:t>
            </w:r>
          </w:p>
        </w:tc>
        <w:tc>
          <w:tcPr>
            <w:tcW w:type="dxa" w:w="3408"/>
            <w:vAlign w:val="center"/>
          </w:tcPr>
          <w:p>
            <w:r/>
            <w:r>
              <w:rPr>
                <w:b w:val="0"/>
                <w:sz w:val="17"/>
              </w:rPr>
              <w:t>Dashboards, alerts, runbooks and escalation tests.</w:t>
            </w:r>
          </w:p>
        </w:tc>
      </w:tr>
    </w:tbl>
    <w:p/>
    <w:p>
      <w:r>
        <w:t>The working copy states 99.9% uptime and no single point of failure. Confirm the measurement period, exclusions, service boundaries, RTO/RPO and acceptance definitions in the original tender. Redundancy of application instances alone does not remove shared network, power, storage, broker-quorum or site dependencies.</w:t>
      </w:r>
    </w:p>
    <w:p>
      <w:pPr>
        <w:pStyle w:val="Heading1"/>
      </w:pPr>
      <w:r>
        <w:t>10. Proposed technology stack options</w:t>
      </w:r>
    </w:p>
    <w:p>
      <w:r>
        <w:t>No stack is specified by the supplied RFP sheet. Treat the following as candidates to benchmark, not as a committed BOM.</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5F2"/>
          </w:tcPr>
          <w:p>
            <w:r/>
            <w:r>
              <w:rPr>
                <w:b/>
                <w:sz w:val="17"/>
              </w:rPr>
              <w:t>Layer</w:t>
            </w:r>
          </w:p>
        </w:tc>
        <w:tc>
          <w:tcPr>
            <w:tcW w:type="dxa" w:w="3888"/>
            <w:vAlign w:val="center"/>
            <w:shd w:fill="D9E5F2"/>
          </w:tcPr>
          <w:p>
            <w:r/>
            <w:r>
              <w:rPr>
                <w:b/>
                <w:sz w:val="17"/>
              </w:rPr>
              <w:t>Candidate options</w:t>
            </w:r>
          </w:p>
        </w:tc>
        <w:tc>
          <w:tcPr>
            <w:tcW w:type="dxa" w:w="4752"/>
            <w:vAlign w:val="center"/>
            <w:shd w:fill="D9E5F2"/>
          </w:tcPr>
          <w:p>
            <w:r/>
            <w:r>
              <w:rPr>
                <w:b/>
                <w:sz w:val="17"/>
              </w:rPr>
              <w:t>Selection test</w:t>
            </w:r>
          </w:p>
        </w:tc>
      </w:tr>
      <w:tr>
        <w:tc>
          <w:tcPr>
            <w:tcW w:type="dxa" w:w="1728"/>
            <w:vAlign w:val="center"/>
          </w:tcPr>
          <w:p>
            <w:r/>
            <w:r>
              <w:rPr>
                <w:b w:val="0"/>
                <w:sz w:val="17"/>
              </w:rPr>
              <w:t>Packet capture</w:t>
            </w:r>
          </w:p>
        </w:tc>
        <w:tc>
          <w:tcPr>
            <w:tcW w:type="dxa" w:w="3888"/>
            <w:vAlign w:val="center"/>
          </w:tcPr>
          <w:p>
            <w:r/>
            <w:r>
              <w:rPr>
                <w:b w:val="0"/>
                <w:sz w:val="17"/>
              </w:rPr>
              <w:t>libpcap/AF_PACKET; AF_XDP; DPDK where justified</w:t>
            </w:r>
          </w:p>
        </w:tc>
        <w:tc>
          <w:tcPr>
            <w:tcW w:type="dxa" w:w="4752"/>
            <w:vAlign w:val="center"/>
          </w:tcPr>
          <w:p>
            <w:r/>
            <w:r>
              <w:rPr>
                <w:b w:val="0"/>
                <w:sz w:val="17"/>
              </w:rPr>
              <w:t>Loss rate at target Mbps/PPS; CPU use; supported NIC/driver; operational complexity.</w:t>
            </w:r>
          </w:p>
        </w:tc>
      </w:tr>
      <w:tr>
        <w:tc>
          <w:tcPr>
            <w:tcW w:type="dxa" w:w="1728"/>
            <w:vAlign w:val="center"/>
          </w:tcPr>
          <w:p>
            <w:r/>
            <w:r>
              <w:rPr>
                <w:b w:val="0"/>
                <w:sz w:val="17"/>
              </w:rPr>
              <w:t>Flow ingest</w:t>
            </w:r>
          </w:p>
        </w:tc>
        <w:tc>
          <w:tcPr>
            <w:tcW w:type="dxa" w:w="3888"/>
            <w:vAlign w:val="center"/>
          </w:tcPr>
          <w:p>
            <w:r/>
            <w:r>
              <w:rPr>
                <w:b w:val="0"/>
                <w:sz w:val="17"/>
              </w:rPr>
              <w:t>IPFIX/NetFlow collectors and vendor adapters</w:t>
            </w:r>
          </w:p>
        </w:tc>
        <w:tc>
          <w:tcPr>
            <w:tcW w:type="dxa" w:w="4752"/>
            <w:vAlign w:val="center"/>
          </w:tcPr>
          <w:p>
            <w:r/>
            <w:r>
              <w:rPr>
                <w:b w:val="0"/>
                <w:sz w:val="17"/>
              </w:rPr>
              <w:t>Exporter compatibility, templates, sampling, loss visibility.</w:t>
            </w:r>
          </w:p>
        </w:tc>
      </w:tr>
      <w:tr>
        <w:tc>
          <w:tcPr>
            <w:tcW w:type="dxa" w:w="1728"/>
            <w:vAlign w:val="center"/>
          </w:tcPr>
          <w:p>
            <w:r/>
            <w:r>
              <w:rPr>
                <w:b w:val="0"/>
                <w:sz w:val="17"/>
              </w:rPr>
              <w:t>Buffering</w:t>
            </w:r>
          </w:p>
        </w:tc>
        <w:tc>
          <w:tcPr>
            <w:tcW w:type="dxa" w:w="3888"/>
            <w:vAlign w:val="center"/>
          </w:tcPr>
          <w:p>
            <w:r/>
            <w:r>
              <w:rPr>
                <w:b w:val="0"/>
                <w:sz w:val="17"/>
              </w:rPr>
              <w:t>Kafka or Redpanda; simpler durable queue if scale warrants</w:t>
            </w:r>
          </w:p>
        </w:tc>
        <w:tc>
          <w:tcPr>
            <w:tcW w:type="dxa" w:w="4752"/>
            <w:vAlign w:val="center"/>
          </w:tcPr>
          <w:p>
            <w:r/>
            <w:r>
              <w:rPr>
                <w:b w:val="0"/>
                <w:sz w:val="17"/>
              </w:rPr>
              <w:t>Burst absorption, replay, air-gap operations, cluster overhead.</w:t>
            </w:r>
          </w:p>
        </w:tc>
      </w:tr>
      <w:tr>
        <w:tc>
          <w:tcPr>
            <w:tcW w:type="dxa" w:w="1728"/>
            <w:vAlign w:val="center"/>
          </w:tcPr>
          <w:p>
            <w:r/>
            <w:r>
              <w:rPr>
                <w:b w:val="0"/>
                <w:sz w:val="17"/>
              </w:rPr>
              <w:t>Processing</w:t>
            </w:r>
          </w:p>
        </w:tc>
        <w:tc>
          <w:tcPr>
            <w:tcW w:type="dxa" w:w="3888"/>
            <w:vAlign w:val="center"/>
          </w:tcPr>
          <w:p>
            <w:r/>
            <w:r>
              <w:rPr>
                <w:b w:val="0"/>
                <w:sz w:val="17"/>
              </w:rPr>
              <w:t>Go/Java for services; Rust/C/C++ for critical capture paths where justified</w:t>
            </w:r>
          </w:p>
        </w:tc>
        <w:tc>
          <w:tcPr>
            <w:tcW w:type="dxa" w:w="4752"/>
            <w:vAlign w:val="center"/>
          </w:tcPr>
          <w:p>
            <w:r/>
            <w:r>
              <w:rPr>
                <w:b w:val="0"/>
                <w:sz w:val="17"/>
              </w:rPr>
              <w:t>Throughput, maintainability, team skills and debugging.</w:t>
            </w:r>
          </w:p>
        </w:tc>
      </w:tr>
      <w:tr>
        <w:tc>
          <w:tcPr>
            <w:tcW w:type="dxa" w:w="1728"/>
            <w:vAlign w:val="center"/>
          </w:tcPr>
          <w:p>
            <w:r/>
            <w:r>
              <w:rPr>
                <w:b w:val="0"/>
                <w:sz w:val="17"/>
              </w:rPr>
              <w:t>Protocol analysis</w:t>
            </w:r>
          </w:p>
        </w:tc>
        <w:tc>
          <w:tcPr>
            <w:tcW w:type="dxa" w:w="3888"/>
            <w:vAlign w:val="center"/>
          </w:tcPr>
          <w:p>
            <w:r/>
            <w:r>
              <w:rPr>
                <w:b w:val="0"/>
                <w:sz w:val="17"/>
              </w:rPr>
              <w:t>Zeek and custom analyzers where suitable</w:t>
            </w:r>
          </w:p>
        </w:tc>
        <w:tc>
          <w:tcPr>
            <w:tcW w:type="dxa" w:w="4752"/>
            <w:vAlign w:val="center"/>
          </w:tcPr>
          <w:p>
            <w:r/>
            <w:r>
              <w:rPr>
                <w:b w:val="0"/>
                <w:sz w:val="17"/>
              </w:rPr>
              <w:t>Protocol coverage, metadata quality, performance and packaging.</w:t>
            </w:r>
          </w:p>
        </w:tc>
      </w:tr>
      <w:tr>
        <w:tc>
          <w:tcPr>
            <w:tcW w:type="dxa" w:w="1728"/>
            <w:vAlign w:val="center"/>
          </w:tcPr>
          <w:p>
            <w:r/>
            <w:r>
              <w:rPr>
                <w:b w:val="0"/>
                <w:sz w:val="17"/>
              </w:rPr>
              <w:t>Search/analytics</w:t>
            </w:r>
          </w:p>
        </w:tc>
        <w:tc>
          <w:tcPr>
            <w:tcW w:type="dxa" w:w="3888"/>
            <w:vAlign w:val="center"/>
          </w:tcPr>
          <w:p>
            <w:r/>
            <w:r>
              <w:rPr>
                <w:b w:val="0"/>
                <w:sz w:val="17"/>
              </w:rPr>
              <w:t>OpenSearch or ClickHouse; possible split by workload</w:t>
            </w:r>
          </w:p>
        </w:tc>
        <w:tc>
          <w:tcPr>
            <w:tcW w:type="dxa" w:w="4752"/>
            <w:vAlign w:val="center"/>
          </w:tcPr>
          <w:p>
            <w:r/>
            <w:r>
              <w:rPr>
                <w:b w:val="0"/>
                <w:sz w:val="17"/>
              </w:rPr>
              <w:t>5M record benchmark, ingestion rate, storage amplification, query types.</w:t>
            </w:r>
          </w:p>
        </w:tc>
      </w:tr>
      <w:tr>
        <w:tc>
          <w:tcPr>
            <w:tcW w:type="dxa" w:w="1728"/>
            <w:vAlign w:val="center"/>
          </w:tcPr>
          <w:p>
            <w:r/>
            <w:r>
              <w:rPr>
                <w:b w:val="0"/>
                <w:sz w:val="17"/>
              </w:rPr>
              <w:t>Packet archive</w:t>
            </w:r>
          </w:p>
        </w:tc>
        <w:tc>
          <w:tcPr>
            <w:tcW w:type="dxa" w:w="3888"/>
            <w:vAlign w:val="center"/>
          </w:tcPr>
          <w:p>
            <w:r/>
            <w:r>
              <w:rPr>
                <w:b w:val="0"/>
                <w:sz w:val="17"/>
              </w:rPr>
              <w:t>Local high-throughput storage or on-prem S3-compatible object store</w:t>
            </w:r>
          </w:p>
        </w:tc>
        <w:tc>
          <w:tcPr>
            <w:tcW w:type="dxa" w:w="4752"/>
            <w:vAlign w:val="center"/>
          </w:tcPr>
          <w:p>
            <w:r/>
            <w:r>
              <w:rPr>
                <w:b w:val="0"/>
                <w:sz w:val="17"/>
              </w:rPr>
              <w:t>Sustained writes, retrieval, retention enforcement, recovery, offline support.</w:t>
            </w:r>
          </w:p>
        </w:tc>
      </w:tr>
      <w:tr>
        <w:tc>
          <w:tcPr>
            <w:tcW w:type="dxa" w:w="1728"/>
            <w:vAlign w:val="center"/>
          </w:tcPr>
          <w:p>
            <w:r/>
            <w:r>
              <w:rPr>
                <w:b w:val="0"/>
                <w:sz w:val="17"/>
              </w:rPr>
              <w:t>Configuration DB</w:t>
            </w:r>
          </w:p>
        </w:tc>
        <w:tc>
          <w:tcPr>
            <w:tcW w:type="dxa" w:w="3888"/>
            <w:vAlign w:val="center"/>
          </w:tcPr>
          <w:p>
            <w:r/>
            <w:r>
              <w:rPr>
                <w:b w:val="0"/>
                <w:sz w:val="17"/>
              </w:rPr>
              <w:t>PostgreSQL</w:t>
            </w:r>
          </w:p>
        </w:tc>
        <w:tc>
          <w:tcPr>
            <w:tcW w:type="dxa" w:w="4752"/>
            <w:vAlign w:val="center"/>
          </w:tcPr>
          <w:p>
            <w:r/>
            <w:r>
              <w:rPr>
                <w:b w:val="0"/>
                <w:sz w:val="17"/>
              </w:rPr>
              <w:t>Backup/restore, schema management, access control and availability.</w:t>
            </w:r>
          </w:p>
        </w:tc>
      </w:tr>
      <w:tr>
        <w:tc>
          <w:tcPr>
            <w:tcW w:type="dxa" w:w="1728"/>
            <w:vAlign w:val="center"/>
          </w:tcPr>
          <w:p>
            <w:r/>
            <w:r>
              <w:rPr>
                <w:b w:val="0"/>
                <w:sz w:val="17"/>
              </w:rPr>
              <w:t>Cache</w:t>
            </w:r>
          </w:p>
        </w:tc>
        <w:tc>
          <w:tcPr>
            <w:tcW w:type="dxa" w:w="3888"/>
            <w:vAlign w:val="center"/>
          </w:tcPr>
          <w:p>
            <w:r/>
            <w:r>
              <w:rPr>
                <w:b w:val="0"/>
                <w:sz w:val="17"/>
              </w:rPr>
              <w:t>Redis if measured need exists</w:t>
            </w:r>
          </w:p>
        </w:tc>
        <w:tc>
          <w:tcPr>
            <w:tcW w:type="dxa" w:w="4752"/>
            <w:vAlign w:val="center"/>
          </w:tcPr>
          <w:p>
            <w:r/>
            <w:r>
              <w:rPr>
                <w:b w:val="0"/>
                <w:sz w:val="17"/>
              </w:rPr>
              <w:t>Cache hit rate, invalidation, memory cost and failure behaviour.</w:t>
            </w:r>
          </w:p>
        </w:tc>
      </w:tr>
      <w:tr>
        <w:tc>
          <w:tcPr>
            <w:tcW w:type="dxa" w:w="1728"/>
            <w:vAlign w:val="center"/>
          </w:tcPr>
          <w:p>
            <w:r/>
            <w:r>
              <w:rPr>
                <w:b w:val="0"/>
                <w:sz w:val="17"/>
              </w:rPr>
              <w:t>Backend/UI</w:t>
            </w:r>
          </w:p>
        </w:tc>
        <w:tc>
          <w:tcPr>
            <w:tcW w:type="dxa" w:w="3888"/>
            <w:vAlign w:val="center"/>
          </w:tcPr>
          <w:p>
            <w:r/>
            <w:r>
              <w:rPr>
                <w:b w:val="0"/>
                <w:sz w:val="17"/>
              </w:rPr>
              <w:t>Go/Java service layer; React/TypeScript UI or organizational standard</w:t>
            </w:r>
          </w:p>
        </w:tc>
        <w:tc>
          <w:tcPr>
            <w:tcW w:type="dxa" w:w="4752"/>
            <w:vAlign w:val="center"/>
          </w:tcPr>
          <w:p>
            <w:r/>
            <w:r>
              <w:rPr>
                <w:b w:val="0"/>
                <w:sz w:val="17"/>
              </w:rPr>
              <w:t>Team competence, API performance, RBAC and maintainability.</w:t>
            </w:r>
          </w:p>
        </w:tc>
      </w:tr>
      <w:tr>
        <w:tc>
          <w:tcPr>
            <w:tcW w:type="dxa" w:w="1728"/>
            <w:vAlign w:val="center"/>
          </w:tcPr>
          <w:p>
            <w:r/>
            <w:r>
              <w:rPr>
                <w:b w:val="0"/>
                <w:sz w:val="17"/>
              </w:rPr>
              <w:t>Observability</w:t>
            </w:r>
          </w:p>
        </w:tc>
        <w:tc>
          <w:tcPr>
            <w:tcW w:type="dxa" w:w="3888"/>
            <w:vAlign w:val="center"/>
          </w:tcPr>
          <w:p>
            <w:r/>
            <w:r>
              <w:rPr>
                <w:b w:val="0"/>
                <w:sz w:val="17"/>
              </w:rPr>
              <w:t>Prometheus/Grafana and centralized local logs</w:t>
            </w:r>
          </w:p>
        </w:tc>
        <w:tc>
          <w:tcPr>
            <w:tcW w:type="dxa" w:w="4752"/>
            <w:vAlign w:val="center"/>
          </w:tcPr>
          <w:p>
            <w:r/>
            <w:r>
              <w:rPr>
                <w:b w:val="0"/>
                <w:sz w:val="17"/>
              </w:rPr>
              <w:t>Offline install, metrics coverage, retention and alert quality.</w:t>
            </w:r>
          </w:p>
        </w:tc>
      </w:tr>
      <w:tr>
        <w:tc>
          <w:tcPr>
            <w:tcW w:type="dxa" w:w="1728"/>
            <w:vAlign w:val="center"/>
          </w:tcPr>
          <w:p>
            <w:r/>
            <w:r>
              <w:rPr>
                <w:b w:val="0"/>
                <w:sz w:val="17"/>
              </w:rPr>
              <w:t>Deployment</w:t>
            </w:r>
          </w:p>
        </w:tc>
        <w:tc>
          <w:tcPr>
            <w:tcW w:type="dxa" w:w="3888"/>
            <w:vAlign w:val="center"/>
          </w:tcPr>
          <w:p>
            <w:r/>
            <w:r>
              <w:rPr>
                <w:b w:val="0"/>
                <w:sz w:val="17"/>
              </w:rPr>
              <w:t>System services or Kubernetes based on operational scale</w:t>
            </w:r>
          </w:p>
        </w:tc>
        <w:tc>
          <w:tcPr>
            <w:tcW w:type="dxa" w:w="4752"/>
            <w:vAlign w:val="center"/>
          </w:tcPr>
          <w:p>
            <w:r/>
            <w:r>
              <w:rPr>
                <w:b w:val="0"/>
                <w:sz w:val="17"/>
              </w:rPr>
              <w:t>Air-gap lifecycle, HA requirements, stateful operations, supportability.</w:t>
            </w:r>
          </w:p>
        </w:tc>
      </w:tr>
    </w:tbl>
    <w:p/>
    <w:p>
      <w:r>
        <w:t>Recommended decision process: build a small benchmark environment first. Avoid introducing Kafka, Kubernetes, multiple databases or ML infrastructure unless their benefits justify the operational cost. Packet capture and stateful storage need their own engineering treatment; orchestration alone does not make them highly available.</w:t>
      </w:r>
    </w:p>
    <w:p>
      <w:pPr>
        <w:pStyle w:val="Heading1"/>
      </w:pPr>
      <w:r>
        <w:t>11. Integration contracts</w:t>
      </w:r>
    </w:p>
    <w:p>
      <w:r>
        <w:t>Define a versioned common alert schema. Fields should include, where available:</w:t>
      </w:r>
    </w:p>
    <w:p>
      <w:pPr>
        <w:pStyle w:val="ListBullet"/>
        <w:spacing w:after="40"/>
      </w:pPr>
      <w:r>
        <w:t>event_id, incident_id, schema_version, detection_name/category, severity, confidence</w:t>
      </w:r>
    </w:p>
    <w:p>
      <w:pPr>
        <w:pStyle w:val="ListBullet"/>
        <w:spacing w:after="40"/>
      </w:pPr>
      <w:r>
        <w:t>first_seen, last_seen, source/destination IP, ports, protocol, zone, sensor and interface</w:t>
      </w:r>
    </w:p>
    <w:p>
      <w:pPr>
        <w:pStyle w:val="ListBullet"/>
        <w:spacing w:after="40"/>
      </w:pPr>
      <w:r>
        <w:t>asset identity, hostname, business context, application, country/geolocation context</w:t>
      </w:r>
    </w:p>
    <w:p>
      <w:pPr>
        <w:pStyle w:val="ListBullet"/>
        <w:spacing w:after="40"/>
      </w:pPr>
      <w:r>
        <w:t>observed behaviour, expected baseline, contributing features, rule/model version</w:t>
      </w:r>
    </w:p>
    <w:p>
      <w:pPr>
        <w:pStyle w:val="ListBullet"/>
        <w:spacing w:after="40"/>
      </w:pPr>
      <w:r>
        <w:t>threat-intelligence references, flow IDs, packet file/time references, evidence integrity metadata</w:t>
      </w:r>
    </w:p>
    <w:p>
      <w:pPr>
        <w:pStyle w:val="ListBullet"/>
        <w:spacing w:after="40"/>
      </w:pPr>
      <w:r>
        <w:t>recommended action, approval state, execution state and action result</w:t>
      </w:r>
    </w:p>
    <w:p>
      <w:r>
        <w:t>Use versioned APIs and/or message contracts appropriate to the existing SIEM. Retries must be idempotent. Keep event creation separate from action execution. Disruptive actions such as blocking or isolation should require explicit authorization and a logged response policy.</w:t>
      </w:r>
    </w:p>
    <w:p>
      <w:pPr>
        <w:pStyle w:val="Heading1"/>
      </w:pPr>
      <w:r>
        <w:t>12. RFP traceability matrix (initial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5F2"/>
          </w:tcPr>
          <w:p>
            <w:r/>
            <w:r>
              <w:rPr>
                <w:b/>
                <w:sz w:val="17"/>
              </w:rPr>
              <w:t>Req. IDs</w:t>
            </w:r>
          </w:p>
        </w:tc>
        <w:tc>
          <w:tcPr>
            <w:tcW w:type="dxa" w:w="2880"/>
            <w:vAlign w:val="center"/>
            <w:shd w:fill="D9E5F2"/>
          </w:tcPr>
          <w:p>
            <w:r/>
            <w:r>
              <w:rPr>
                <w:b/>
                <w:sz w:val="17"/>
              </w:rPr>
              <w:t>Requirement grouping</w:t>
            </w:r>
          </w:p>
        </w:tc>
        <w:tc>
          <w:tcPr>
            <w:tcW w:type="dxa" w:w="3744"/>
            <w:vAlign w:val="center"/>
            <w:shd w:fill="D9E5F2"/>
          </w:tcPr>
          <w:p>
            <w:r/>
            <w:r>
              <w:rPr>
                <w:b/>
                <w:sz w:val="17"/>
              </w:rPr>
              <w:t>Proposed implementation</w:t>
            </w:r>
          </w:p>
        </w:tc>
        <w:tc>
          <w:tcPr>
            <w:tcW w:type="dxa" w:w="2736"/>
            <w:vAlign w:val="center"/>
            <w:shd w:fill="D9E5F2"/>
          </w:tcPr>
          <w:p>
            <w:r/>
            <w:r>
              <w:rPr>
                <w:b/>
                <w:sz w:val="17"/>
              </w:rPr>
              <w:t>Evidence</w:t>
            </w:r>
          </w:p>
        </w:tc>
      </w:tr>
      <w:tr>
        <w:tc>
          <w:tcPr>
            <w:tcW w:type="dxa" w:w="936"/>
            <w:vAlign w:val="center"/>
          </w:tcPr>
          <w:p>
            <w:r/>
            <w:r>
              <w:rPr>
                <w:b w:val="0"/>
                <w:sz w:val="17"/>
              </w:rPr>
              <w:t>1–2</w:t>
            </w:r>
          </w:p>
        </w:tc>
        <w:tc>
          <w:tcPr>
            <w:tcW w:type="dxa" w:w="2880"/>
            <w:vAlign w:val="center"/>
          </w:tcPr>
          <w:p>
            <w:r/>
            <w:r>
              <w:rPr>
                <w:b w:val="0"/>
                <w:sz w:val="17"/>
              </w:rPr>
              <w:t>Three zones; centralized dashboard</w:t>
            </w:r>
          </w:p>
        </w:tc>
        <w:tc>
          <w:tcPr>
            <w:tcW w:type="dxa" w:w="3744"/>
            <w:vAlign w:val="center"/>
          </w:tcPr>
          <w:p>
            <w:r/>
            <w:r>
              <w:rPr>
                <w:b w:val="0"/>
                <w:sz w:val="17"/>
              </w:rPr>
              <w:t>Zone/asset model; sensor inventory; console</w:t>
            </w:r>
          </w:p>
        </w:tc>
        <w:tc>
          <w:tcPr>
            <w:tcW w:type="dxa" w:w="2736"/>
            <w:vAlign w:val="center"/>
          </w:tcPr>
          <w:p>
            <w:r/>
            <w:r>
              <w:rPr>
                <w:b w:val="0"/>
                <w:sz w:val="17"/>
              </w:rPr>
              <w:t>Multi-zone POC</w:t>
            </w:r>
          </w:p>
        </w:tc>
      </w:tr>
      <w:tr>
        <w:tc>
          <w:tcPr>
            <w:tcW w:type="dxa" w:w="936"/>
            <w:vAlign w:val="center"/>
          </w:tcPr>
          <w:p>
            <w:r/>
            <w:r>
              <w:rPr>
                <w:b w:val="0"/>
                <w:sz w:val="17"/>
              </w:rPr>
              <w:t>3–5</w:t>
            </w:r>
          </w:p>
        </w:tc>
        <w:tc>
          <w:tcPr>
            <w:tcW w:type="dxa" w:w="2880"/>
            <w:vAlign w:val="center"/>
          </w:tcPr>
          <w:p>
            <w:r/>
            <w:r>
              <w:rPr>
                <w:b w:val="0"/>
                <w:sz w:val="17"/>
              </w:rPr>
              <w:t>Malware/botnets; APT/Trojans; worm propagation</w:t>
            </w:r>
          </w:p>
        </w:tc>
        <w:tc>
          <w:tcPr>
            <w:tcW w:type="dxa" w:w="3744"/>
            <w:vAlign w:val="center"/>
          </w:tcPr>
          <w:p>
            <w:r/>
            <w:r>
              <w:rPr>
                <w:b w:val="0"/>
                <w:sz w:val="17"/>
              </w:rPr>
              <w:t>Indicators, protocol/behaviour analytics, graph and correlation</w:t>
            </w:r>
          </w:p>
        </w:tc>
        <w:tc>
          <w:tcPr>
            <w:tcW w:type="dxa" w:w="2736"/>
            <w:vAlign w:val="center"/>
          </w:tcPr>
          <w:p>
            <w:r/>
            <w:r>
              <w:rPr>
                <w:b w:val="0"/>
                <w:sz w:val="17"/>
              </w:rPr>
              <w:t>Controlled scenario tests; document visibility limits</w:t>
            </w:r>
          </w:p>
        </w:tc>
      </w:tr>
      <w:tr>
        <w:tc>
          <w:tcPr>
            <w:tcW w:type="dxa" w:w="936"/>
            <w:vAlign w:val="center"/>
          </w:tcPr>
          <w:p>
            <w:r/>
            <w:r>
              <w:rPr>
                <w:b w:val="0"/>
                <w:sz w:val="17"/>
              </w:rPr>
              <w:t>6–9</w:t>
            </w:r>
          </w:p>
        </w:tc>
        <w:tc>
          <w:tcPr>
            <w:tcW w:type="dxa" w:w="2880"/>
            <w:vAlign w:val="center"/>
          </w:tcPr>
          <w:p>
            <w:r/>
            <w:r>
              <w:rPr>
                <w:b w:val="0"/>
                <w:sz w:val="17"/>
              </w:rPr>
              <w:t>IP/pair/bandwidth analysis; real-time host/traffic analysis; common events; origin identification</w:t>
            </w:r>
          </w:p>
        </w:tc>
        <w:tc>
          <w:tcPr>
            <w:tcW w:type="dxa" w:w="3744"/>
            <w:vAlign w:val="center"/>
          </w:tcPr>
          <w:p>
            <w:r/>
            <w:r>
              <w:rPr>
                <w:b w:val="0"/>
                <w:sz w:val="17"/>
              </w:rPr>
              <w:t>Flow schema, analytics, asset context, incident evidence</w:t>
            </w:r>
          </w:p>
        </w:tc>
        <w:tc>
          <w:tcPr>
            <w:tcW w:type="dxa" w:w="2736"/>
            <w:vAlign w:val="center"/>
          </w:tcPr>
          <w:p>
            <w:r/>
            <w:r>
              <w:rPr>
                <w:b w:val="0"/>
                <w:sz w:val="17"/>
              </w:rPr>
              <w:t>Search and detection test cases</w:t>
            </w:r>
          </w:p>
        </w:tc>
      </w:tr>
      <w:tr>
        <w:tc>
          <w:tcPr>
            <w:tcW w:type="dxa" w:w="936"/>
            <w:vAlign w:val="center"/>
          </w:tcPr>
          <w:p>
            <w:r/>
            <w:r>
              <w:rPr>
                <w:b w:val="0"/>
                <w:sz w:val="17"/>
              </w:rPr>
              <w:t>10–11</w:t>
            </w:r>
          </w:p>
        </w:tc>
        <w:tc>
          <w:tcPr>
            <w:tcW w:type="dxa" w:w="2880"/>
            <w:vAlign w:val="center"/>
          </w:tcPr>
          <w:p>
            <w:r/>
            <w:r>
              <w:rPr>
                <w:b w:val="0"/>
                <w:sz w:val="17"/>
              </w:rPr>
              <w:t>Real-time mitigation suggestions; event/action list, slow attacks and limitations</w:t>
            </w:r>
          </w:p>
        </w:tc>
        <w:tc>
          <w:tcPr>
            <w:tcW w:type="dxa" w:w="3744"/>
            <w:vAlign w:val="center"/>
          </w:tcPr>
          <w:p>
            <w:r/>
            <w:r>
              <w:rPr>
                <w:b w:val="0"/>
                <w:sz w:val="17"/>
              </w:rPr>
              <w:t>Response playbooks; long-window analytics; limitations document</w:t>
            </w:r>
          </w:p>
        </w:tc>
        <w:tc>
          <w:tcPr>
            <w:tcW w:type="dxa" w:w="2736"/>
            <w:vAlign w:val="center"/>
          </w:tcPr>
          <w:p>
            <w:r/>
            <w:r>
              <w:rPr>
                <w:b w:val="0"/>
                <w:sz w:val="17"/>
              </w:rPr>
              <w:t>POC with low-and-slow scenario</w:t>
            </w:r>
          </w:p>
        </w:tc>
      </w:tr>
      <w:tr>
        <w:tc>
          <w:tcPr>
            <w:tcW w:type="dxa" w:w="936"/>
            <w:vAlign w:val="center"/>
          </w:tcPr>
          <w:p>
            <w:r/>
            <w:r>
              <w:rPr>
                <w:b w:val="0"/>
                <w:sz w:val="17"/>
              </w:rPr>
              <w:t>12–15</w:t>
            </w:r>
          </w:p>
        </w:tc>
        <w:tc>
          <w:tcPr>
            <w:tcW w:type="dxa" w:w="2880"/>
            <w:vAlign w:val="center"/>
          </w:tcPr>
          <w:p>
            <w:r/>
            <w:r>
              <w:rPr>
                <w:b w:val="0"/>
                <w:sz w:val="17"/>
              </w:rPr>
              <w:t>Long-lived connections; non-standard ports; unnecessary services; risk levels</w:t>
            </w:r>
          </w:p>
        </w:tc>
        <w:tc>
          <w:tcPr>
            <w:tcW w:type="dxa" w:w="3744"/>
            <w:vAlign w:val="center"/>
          </w:tcPr>
          <w:p>
            <w:r/>
            <w:r>
              <w:rPr>
                <w:b w:val="0"/>
                <w:sz w:val="17"/>
              </w:rPr>
              <w:t>Session features; protocol identification; service policy; severity model</w:t>
            </w:r>
          </w:p>
        </w:tc>
        <w:tc>
          <w:tcPr>
            <w:tcW w:type="dxa" w:w="2736"/>
            <w:vAlign w:val="center"/>
          </w:tcPr>
          <w:p>
            <w:r/>
            <w:r>
              <w:rPr>
                <w:b w:val="0"/>
                <w:sz w:val="17"/>
              </w:rPr>
              <w:t>Test traffic and severity mapping</w:t>
            </w:r>
          </w:p>
        </w:tc>
      </w:tr>
      <w:tr>
        <w:tc>
          <w:tcPr>
            <w:tcW w:type="dxa" w:w="936"/>
            <w:vAlign w:val="center"/>
          </w:tcPr>
          <w:p>
            <w:r/>
            <w:r>
              <w:rPr>
                <w:b w:val="0"/>
                <w:sz w:val="17"/>
              </w:rPr>
              <w:t>16–18</w:t>
            </w:r>
          </w:p>
        </w:tc>
        <w:tc>
          <w:tcPr>
            <w:tcW w:type="dxa" w:w="2880"/>
            <w:vAlign w:val="center"/>
          </w:tcPr>
          <w:p>
            <w:r/>
            <w:r>
              <w:rPr>
                <w:b w:val="0"/>
                <w:sz w:val="17"/>
              </w:rPr>
              <w:t>Physical/virtual analysis; passive centralized monitoring; threshold alerting</w:t>
            </w:r>
          </w:p>
        </w:tc>
        <w:tc>
          <w:tcPr>
            <w:tcW w:type="dxa" w:w="3744"/>
            <w:vAlign w:val="center"/>
          </w:tcPr>
          <w:p>
            <w:r/>
            <w:r>
              <w:rPr>
                <w:b w:val="0"/>
                <w:sz w:val="17"/>
              </w:rPr>
              <w:t>Sensors/collectors; virtual mirror sources; rules engine</w:t>
            </w:r>
          </w:p>
        </w:tc>
        <w:tc>
          <w:tcPr>
            <w:tcW w:type="dxa" w:w="2736"/>
            <w:vAlign w:val="center"/>
          </w:tcPr>
          <w:p>
            <w:r/>
            <w:r>
              <w:rPr>
                <w:b w:val="0"/>
                <w:sz w:val="17"/>
              </w:rPr>
              <w:t>Coverage and threshold tests</w:t>
            </w:r>
          </w:p>
        </w:tc>
      </w:tr>
      <w:tr>
        <w:tc>
          <w:tcPr>
            <w:tcW w:type="dxa" w:w="936"/>
            <w:vAlign w:val="center"/>
          </w:tcPr>
          <w:p>
            <w:r/>
            <w:r>
              <w:rPr>
                <w:b w:val="0"/>
                <w:sz w:val="17"/>
              </w:rPr>
              <w:t>19–25</w:t>
            </w:r>
          </w:p>
        </w:tc>
        <w:tc>
          <w:tcPr>
            <w:tcW w:type="dxa" w:w="2880"/>
            <w:vAlign w:val="center"/>
          </w:tcPr>
          <w:p>
            <w:r/>
            <w:r>
              <w:rPr>
                <w:b w:val="0"/>
                <w:sz w:val="17"/>
              </w:rPr>
              <w:t>Custom rules; risky apps; subnet/CIDR profiles; appliance compatibility; distributed SLDC; unknown patterns; integrations</w:t>
            </w:r>
          </w:p>
        </w:tc>
        <w:tc>
          <w:tcPr>
            <w:tcW w:type="dxa" w:w="3744"/>
            <w:vAlign w:val="center"/>
          </w:tcPr>
          <w:p>
            <w:r/>
            <w:r>
              <w:rPr>
                <w:b w:val="0"/>
                <w:sz w:val="17"/>
              </w:rPr>
              <w:t>Rule UI/API; zone model; connector adapters; graph/baseline analytics</w:t>
            </w:r>
          </w:p>
        </w:tc>
        <w:tc>
          <w:tcPr>
            <w:tcW w:type="dxa" w:w="2736"/>
            <w:vAlign w:val="center"/>
          </w:tcPr>
          <w:p>
            <w:r/>
            <w:r>
              <w:rPr>
                <w:b w:val="0"/>
                <w:sz w:val="17"/>
              </w:rPr>
              <w:t>Compatibility matrix and integration tests</w:t>
            </w:r>
          </w:p>
        </w:tc>
      </w:tr>
      <w:tr>
        <w:tc>
          <w:tcPr>
            <w:tcW w:type="dxa" w:w="936"/>
            <w:vAlign w:val="center"/>
          </w:tcPr>
          <w:p>
            <w:r/>
            <w:r>
              <w:rPr>
                <w:b w:val="0"/>
                <w:sz w:val="17"/>
              </w:rPr>
              <w:t>26–31</w:t>
            </w:r>
          </w:p>
        </w:tc>
        <w:tc>
          <w:tcPr>
            <w:tcW w:type="dxa" w:w="2880"/>
            <w:vAlign w:val="center"/>
          </w:tcPr>
          <w:p>
            <w:r/>
            <w:r>
              <w:rPr>
                <w:b w:val="0"/>
                <w:sz w:val="17"/>
              </w:rPr>
              <w:t>NetFlow and packets; application identification/tunnelling; TCP/UDP profiles; bandwidth graph; packet rate; hour/day/week</w:t>
            </w:r>
          </w:p>
        </w:tc>
        <w:tc>
          <w:tcPr>
            <w:tcW w:type="dxa" w:w="3744"/>
            <w:vAlign w:val="center"/>
          </w:tcPr>
          <w:p>
            <w:r/>
            <w:r>
              <w:rPr>
                <w:b w:val="0"/>
                <w:sz w:val="17"/>
              </w:rPr>
              <w:t>Flow/packet pipelines; protocol analyzers; metrics and aggregations</w:t>
            </w:r>
          </w:p>
        </w:tc>
        <w:tc>
          <w:tcPr>
            <w:tcW w:type="dxa" w:w="2736"/>
            <w:vAlign w:val="center"/>
          </w:tcPr>
          <w:p>
            <w:r/>
            <w:r>
              <w:rPr>
                <w:b w:val="0"/>
                <w:sz w:val="17"/>
              </w:rPr>
              <w:t>Capture, classification and dashboard tests</w:t>
            </w:r>
          </w:p>
        </w:tc>
      </w:tr>
      <w:tr>
        <w:tc>
          <w:tcPr>
            <w:tcW w:type="dxa" w:w="936"/>
            <w:vAlign w:val="center"/>
          </w:tcPr>
          <w:p>
            <w:r/>
            <w:r>
              <w:rPr>
                <w:b w:val="0"/>
                <w:sz w:val="17"/>
              </w:rPr>
              <w:t>32–35</w:t>
            </w:r>
          </w:p>
        </w:tc>
        <w:tc>
          <w:tcPr>
            <w:tcW w:type="dxa" w:w="2880"/>
            <w:vAlign w:val="center"/>
          </w:tcPr>
          <w:p>
            <w:r/>
            <w:r>
              <w:rPr>
                <w:b w:val="0"/>
                <w:sz w:val="17"/>
              </w:rPr>
              <w:t>New/vulnerable hosts; HTTP data-type visibility; threat intelligence; premises-only data</w:t>
            </w:r>
          </w:p>
        </w:tc>
        <w:tc>
          <w:tcPr>
            <w:tcW w:type="dxa" w:w="3744"/>
            <w:vAlign w:val="center"/>
          </w:tcPr>
          <w:p>
            <w:r/>
            <w:r>
              <w:rPr>
                <w:b w:val="0"/>
                <w:sz w:val="17"/>
              </w:rPr>
              <w:t>Asset discovery; vulnerability integration; protocol metadata subject to encryption; offline feeds and data controls</w:t>
            </w:r>
          </w:p>
        </w:tc>
        <w:tc>
          <w:tcPr>
            <w:tcW w:type="dxa" w:w="2736"/>
            <w:vAlign w:val="center"/>
          </w:tcPr>
          <w:p>
            <w:r/>
            <w:r>
              <w:rPr>
                <w:b w:val="0"/>
                <w:sz w:val="17"/>
              </w:rPr>
              <w:t>New-host, feed-import and data-egress tests</w:t>
            </w:r>
          </w:p>
        </w:tc>
      </w:tr>
      <w:tr>
        <w:tc>
          <w:tcPr>
            <w:tcW w:type="dxa" w:w="936"/>
            <w:vAlign w:val="center"/>
          </w:tcPr>
          <w:p>
            <w:r/>
            <w:r>
              <w:rPr>
                <w:b w:val="0"/>
                <w:sz w:val="17"/>
              </w:rPr>
              <w:t>36–39</w:t>
            </w:r>
          </w:p>
        </w:tc>
        <w:tc>
          <w:tcPr>
            <w:tcW w:type="dxa" w:w="2880"/>
            <w:vAlign w:val="center"/>
          </w:tcPr>
          <w:p>
            <w:r/>
            <w:r>
              <w:rPr>
                <w:b w:val="0"/>
                <w:sz w:val="17"/>
              </w:rPr>
              <w:t>5M records/180 sec; ML for unlimited hosts without additional license; capture; single-console log/raw packet investigation</w:t>
            </w:r>
          </w:p>
        </w:tc>
        <w:tc>
          <w:tcPr>
            <w:tcW w:type="dxa" w:w="3744"/>
            <w:vAlign w:val="center"/>
          </w:tcPr>
          <w:p>
            <w:r/>
            <w:r>
              <w:rPr>
                <w:b w:val="0"/>
                <w:sz w:val="17"/>
              </w:rPr>
              <w:t>Search tier; licensing proof; sensor tier; linked evidence workflow</w:t>
            </w:r>
          </w:p>
        </w:tc>
        <w:tc>
          <w:tcPr>
            <w:tcW w:type="dxa" w:w="2736"/>
            <w:vAlign w:val="center"/>
          </w:tcPr>
          <w:p>
            <w:r/>
            <w:r>
              <w:rPr>
                <w:b w:val="0"/>
                <w:sz w:val="17"/>
              </w:rPr>
              <w:t>Timed benchmark, license evidence and forensic demo</w:t>
            </w:r>
          </w:p>
        </w:tc>
      </w:tr>
      <w:tr>
        <w:tc>
          <w:tcPr>
            <w:tcW w:type="dxa" w:w="936"/>
            <w:vAlign w:val="center"/>
          </w:tcPr>
          <w:p>
            <w:r/>
            <w:r>
              <w:rPr>
                <w:b w:val="0"/>
                <w:sz w:val="17"/>
              </w:rPr>
              <w:t>40–42</w:t>
            </w:r>
          </w:p>
        </w:tc>
        <w:tc>
          <w:tcPr>
            <w:tcW w:type="dxa" w:w="2880"/>
            <w:vAlign w:val="center"/>
          </w:tcPr>
          <w:p>
            <w:r/>
            <w:r>
              <w:rPr>
                <w:b w:val="0"/>
                <w:sz w:val="17"/>
              </w:rPr>
              <w:t>Continuous monitoring and playback; unknown-country analysis and sandbox; raw 7-day and normalized 15-day retention; 512 Mbps at DC</w:t>
            </w:r>
          </w:p>
        </w:tc>
        <w:tc>
          <w:tcPr>
            <w:tcW w:type="dxa" w:w="3744"/>
            <w:vAlign w:val="center"/>
          </w:tcPr>
          <w:p>
            <w:r/>
            <w:r>
              <w:rPr>
                <w:b w:val="0"/>
                <w:sz w:val="17"/>
              </w:rPr>
              <w:t>PCAP archive; geolocation/context; sandbox connector; retention jobs; sensor capacity</w:t>
            </w:r>
          </w:p>
        </w:tc>
        <w:tc>
          <w:tcPr>
            <w:tcW w:type="dxa" w:w="2736"/>
            <w:vAlign w:val="center"/>
          </w:tcPr>
          <w:p>
            <w:r/>
            <w:r>
              <w:rPr>
                <w:b w:val="0"/>
                <w:sz w:val="17"/>
              </w:rPr>
              <w:t>End-to-end POC, retention checks and throughput test</w:t>
            </w:r>
          </w:p>
        </w:tc>
      </w:tr>
    </w:tbl>
    <w:p/>
    <w:p>
      <w:r>
        <w:t>This is an initial engineering mapping, not the formal tender response. The developer sheet instructs bidders to use exactly Yes, No, or Can Be in the compliance column, cite OEM datasheet/admin-guide evidence or remarks, and report any non-Yes response to the bid lead for Schedule-4. Do not mark roadmap items Yes.</w:t>
      </w:r>
    </w:p>
    <w:p>
      <w:pPr>
        <w:pStyle w:val="Heading1"/>
      </w:pPr>
      <w:r>
        <w:t>13. POC and acceptance plan</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5F2"/>
          </w:tcPr>
          <w:p>
            <w:r/>
            <w:r>
              <w:rPr>
                <w:b/>
                <w:sz w:val="17"/>
              </w:rPr>
              <w:t>Test</w:t>
            </w:r>
          </w:p>
        </w:tc>
        <w:tc>
          <w:tcPr>
            <w:tcW w:type="dxa" w:w="3456"/>
            <w:vAlign w:val="center"/>
            <w:shd w:fill="D9E5F2"/>
          </w:tcPr>
          <w:p>
            <w:r/>
            <w:r>
              <w:rPr>
                <w:b/>
                <w:sz w:val="17"/>
              </w:rPr>
              <w:t>Scenario</w:t>
            </w:r>
          </w:p>
        </w:tc>
        <w:tc>
          <w:tcPr>
            <w:tcW w:type="dxa" w:w="5904"/>
            <w:vAlign w:val="center"/>
            <w:shd w:fill="D9E5F2"/>
          </w:tcPr>
          <w:p>
            <w:r/>
            <w:r>
              <w:rPr>
                <w:b/>
                <w:sz w:val="17"/>
              </w:rPr>
              <w:t>Evidence / pass condition to define</w:t>
            </w:r>
          </w:p>
        </w:tc>
      </w:tr>
      <w:tr>
        <w:tc>
          <w:tcPr>
            <w:tcW w:type="dxa" w:w="936"/>
            <w:vAlign w:val="center"/>
          </w:tcPr>
          <w:p>
            <w:r/>
            <w:r>
              <w:rPr>
                <w:b w:val="0"/>
                <w:sz w:val="17"/>
              </w:rPr>
              <w:t>T1</w:t>
            </w:r>
          </w:p>
        </w:tc>
        <w:tc>
          <w:tcPr>
            <w:tcW w:type="dxa" w:w="3456"/>
            <w:vAlign w:val="center"/>
          </w:tcPr>
          <w:p>
            <w:r/>
            <w:r>
              <w:rPr>
                <w:b w:val="0"/>
                <w:sz w:val="17"/>
              </w:rPr>
              <w:t>Monitor three zones</w:t>
            </w:r>
          </w:p>
        </w:tc>
        <w:tc>
          <w:tcPr>
            <w:tcW w:type="dxa" w:w="5904"/>
            <w:vAlign w:val="center"/>
          </w:tcPr>
          <w:p>
            <w:r/>
            <w:r>
              <w:rPr>
                <w:b w:val="0"/>
                <w:sz w:val="17"/>
              </w:rPr>
              <w:t>Traffic coverage and zone visibility; agree loss threshold.</w:t>
            </w:r>
          </w:p>
        </w:tc>
      </w:tr>
      <w:tr>
        <w:tc>
          <w:tcPr>
            <w:tcW w:type="dxa" w:w="936"/>
            <w:vAlign w:val="center"/>
          </w:tcPr>
          <w:p>
            <w:r/>
            <w:r>
              <w:rPr>
                <w:b w:val="0"/>
                <w:sz w:val="17"/>
              </w:rPr>
              <w:t>T2</w:t>
            </w:r>
          </w:p>
        </w:tc>
        <w:tc>
          <w:tcPr>
            <w:tcW w:type="dxa" w:w="3456"/>
            <w:vAlign w:val="center"/>
          </w:tcPr>
          <w:p>
            <w:r/>
            <w:r>
              <w:rPr>
                <w:b w:val="0"/>
                <w:sz w:val="17"/>
              </w:rPr>
              <w:t>Scanning and traffic spike</w:t>
            </w:r>
          </w:p>
        </w:tc>
        <w:tc>
          <w:tcPr>
            <w:tcW w:type="dxa" w:w="5904"/>
            <w:vAlign w:val="center"/>
          </w:tcPr>
          <w:p>
            <w:r/>
            <w:r>
              <w:rPr>
                <w:b w:val="0"/>
                <w:sz w:val="17"/>
              </w:rPr>
              <w:t>Correct alert, supporting flows, source/target evidence and timestamps.</w:t>
            </w:r>
          </w:p>
        </w:tc>
      </w:tr>
      <w:tr>
        <w:tc>
          <w:tcPr>
            <w:tcW w:type="dxa" w:w="936"/>
            <w:vAlign w:val="center"/>
          </w:tcPr>
          <w:p>
            <w:r/>
            <w:r>
              <w:rPr>
                <w:b w:val="0"/>
                <w:sz w:val="17"/>
              </w:rPr>
              <w:t>T3</w:t>
            </w:r>
          </w:p>
        </w:tc>
        <w:tc>
          <w:tcPr>
            <w:tcW w:type="dxa" w:w="3456"/>
            <w:vAlign w:val="center"/>
          </w:tcPr>
          <w:p>
            <w:r/>
            <w:r>
              <w:rPr>
                <w:b w:val="0"/>
                <w:sz w:val="17"/>
              </w:rPr>
              <w:t>Behavioural baseline</w:t>
            </w:r>
          </w:p>
        </w:tc>
        <w:tc>
          <w:tcPr>
            <w:tcW w:type="dxa" w:w="5904"/>
            <w:vAlign w:val="center"/>
          </w:tcPr>
          <w:p>
            <w:r/>
            <w:r>
              <w:rPr>
                <w:b w:val="0"/>
                <w:sz w:val="17"/>
              </w:rPr>
              <w:t>Baseline established, deviation detected and explanation available.</w:t>
            </w:r>
          </w:p>
        </w:tc>
      </w:tr>
      <w:tr>
        <w:tc>
          <w:tcPr>
            <w:tcW w:type="dxa" w:w="936"/>
            <w:vAlign w:val="center"/>
          </w:tcPr>
          <w:p>
            <w:r/>
            <w:r>
              <w:rPr>
                <w:b w:val="0"/>
                <w:sz w:val="17"/>
              </w:rPr>
              <w:t>T4</w:t>
            </w:r>
          </w:p>
        </w:tc>
        <w:tc>
          <w:tcPr>
            <w:tcW w:type="dxa" w:w="3456"/>
            <w:vAlign w:val="center"/>
          </w:tcPr>
          <w:p>
            <w:r/>
            <w:r>
              <w:rPr>
                <w:b w:val="0"/>
                <w:sz w:val="17"/>
              </w:rPr>
              <w:t>Low-and-slow activity</w:t>
            </w:r>
          </w:p>
        </w:tc>
        <w:tc>
          <w:tcPr>
            <w:tcW w:type="dxa" w:w="5904"/>
            <w:vAlign w:val="center"/>
          </w:tcPr>
          <w:p>
            <w:r/>
            <w:r>
              <w:rPr>
                <w:b w:val="0"/>
                <w:sz w:val="17"/>
              </w:rPr>
              <w:t>Long-window correlation detects cumulative/periodic deviation.</w:t>
            </w:r>
          </w:p>
        </w:tc>
      </w:tr>
      <w:tr>
        <w:tc>
          <w:tcPr>
            <w:tcW w:type="dxa" w:w="936"/>
            <w:vAlign w:val="center"/>
          </w:tcPr>
          <w:p>
            <w:r/>
            <w:r>
              <w:rPr>
                <w:b w:val="0"/>
                <w:sz w:val="17"/>
              </w:rPr>
              <w:t>T5</w:t>
            </w:r>
          </w:p>
        </w:tc>
        <w:tc>
          <w:tcPr>
            <w:tcW w:type="dxa" w:w="3456"/>
            <w:vAlign w:val="center"/>
          </w:tcPr>
          <w:p>
            <w:r/>
            <w:r>
              <w:rPr>
                <w:b w:val="0"/>
                <w:sz w:val="17"/>
              </w:rPr>
              <w:t>Non-standard port/application</w:t>
            </w:r>
          </w:p>
        </w:tc>
        <w:tc>
          <w:tcPr>
            <w:tcW w:type="dxa" w:w="5904"/>
            <w:vAlign w:val="center"/>
          </w:tcPr>
          <w:p>
            <w:r/>
            <w:r>
              <w:rPr>
                <w:b w:val="0"/>
                <w:sz w:val="17"/>
              </w:rPr>
              <w:t>Correct classification for supported protocols; document encryption/visibility limits.</w:t>
            </w:r>
          </w:p>
        </w:tc>
      </w:tr>
      <w:tr>
        <w:tc>
          <w:tcPr>
            <w:tcW w:type="dxa" w:w="936"/>
            <w:vAlign w:val="center"/>
          </w:tcPr>
          <w:p>
            <w:r/>
            <w:r>
              <w:rPr>
                <w:b w:val="0"/>
                <w:sz w:val="17"/>
              </w:rPr>
              <w:t>T6</w:t>
            </w:r>
          </w:p>
        </w:tc>
        <w:tc>
          <w:tcPr>
            <w:tcW w:type="dxa" w:w="3456"/>
            <w:vAlign w:val="center"/>
          </w:tcPr>
          <w:p>
            <w:r/>
            <w:r>
              <w:rPr>
                <w:b w:val="0"/>
                <w:sz w:val="17"/>
              </w:rPr>
              <w:t>Forensic retrieval</w:t>
            </w:r>
          </w:p>
        </w:tc>
        <w:tc>
          <w:tcPr>
            <w:tcW w:type="dxa" w:w="5904"/>
            <w:vAlign w:val="center"/>
          </w:tcPr>
          <w:p>
            <w:r/>
            <w:r>
              <w:rPr>
                <w:b w:val="0"/>
                <w:sz w:val="17"/>
              </w:rPr>
              <w:t>Alert-to-flow-to-packet linkage; integrity and replay evidence.</w:t>
            </w:r>
          </w:p>
        </w:tc>
      </w:tr>
      <w:tr>
        <w:tc>
          <w:tcPr>
            <w:tcW w:type="dxa" w:w="936"/>
            <w:vAlign w:val="center"/>
          </w:tcPr>
          <w:p>
            <w:r/>
            <w:r>
              <w:rPr>
                <w:b w:val="0"/>
                <w:sz w:val="17"/>
              </w:rPr>
              <w:t>T7</w:t>
            </w:r>
          </w:p>
        </w:tc>
        <w:tc>
          <w:tcPr>
            <w:tcW w:type="dxa" w:w="3456"/>
            <w:vAlign w:val="center"/>
          </w:tcPr>
          <w:p>
            <w:r/>
            <w:r>
              <w:rPr>
                <w:b w:val="0"/>
                <w:sz w:val="17"/>
              </w:rPr>
              <w:t>5M-record benchmark</w:t>
            </w:r>
          </w:p>
        </w:tc>
        <w:tc>
          <w:tcPr>
            <w:tcW w:type="dxa" w:w="5904"/>
            <w:vAlign w:val="center"/>
          </w:tcPr>
          <w:p>
            <w:r/>
            <w:r>
              <w:rPr>
                <w:b w:val="0"/>
                <w:sz w:val="17"/>
              </w:rPr>
              <w:t>Pre-agreed query and dataset; elapsed time &lt;=180 seconds under defined test conditions.</w:t>
            </w:r>
          </w:p>
        </w:tc>
      </w:tr>
      <w:tr>
        <w:tc>
          <w:tcPr>
            <w:tcW w:type="dxa" w:w="936"/>
            <w:vAlign w:val="center"/>
          </w:tcPr>
          <w:p>
            <w:r/>
            <w:r>
              <w:rPr>
                <w:b w:val="0"/>
                <w:sz w:val="17"/>
              </w:rPr>
              <w:t>T8</w:t>
            </w:r>
          </w:p>
        </w:tc>
        <w:tc>
          <w:tcPr>
            <w:tcW w:type="dxa" w:w="3456"/>
            <w:vAlign w:val="center"/>
          </w:tcPr>
          <w:p>
            <w:r/>
            <w:r>
              <w:rPr>
                <w:b w:val="0"/>
                <w:sz w:val="17"/>
              </w:rPr>
              <w:t>512 Mbps capture</w:t>
            </w:r>
          </w:p>
        </w:tc>
        <w:tc>
          <w:tcPr>
            <w:tcW w:type="dxa" w:w="5904"/>
            <w:vAlign w:val="center"/>
          </w:tcPr>
          <w:p>
            <w:r/>
            <w:r>
              <w:rPr>
                <w:b w:val="0"/>
                <w:sz w:val="17"/>
              </w:rPr>
              <w:t>Sustained agreed traffic profile; capture loss and resource utilization within agreed limits.</w:t>
            </w:r>
          </w:p>
        </w:tc>
      </w:tr>
      <w:tr>
        <w:tc>
          <w:tcPr>
            <w:tcW w:type="dxa" w:w="936"/>
            <w:vAlign w:val="center"/>
          </w:tcPr>
          <w:p>
            <w:r/>
            <w:r>
              <w:rPr>
                <w:b w:val="0"/>
                <w:sz w:val="17"/>
              </w:rPr>
              <w:t>T9</w:t>
            </w:r>
          </w:p>
        </w:tc>
        <w:tc>
          <w:tcPr>
            <w:tcW w:type="dxa" w:w="3456"/>
            <w:vAlign w:val="center"/>
          </w:tcPr>
          <w:p>
            <w:r/>
            <w:r>
              <w:rPr>
                <w:b w:val="0"/>
                <w:sz w:val="17"/>
              </w:rPr>
              <w:t>Retention</w:t>
            </w:r>
          </w:p>
        </w:tc>
        <w:tc>
          <w:tcPr>
            <w:tcW w:type="dxa" w:w="5904"/>
            <w:vAlign w:val="center"/>
          </w:tcPr>
          <w:p>
            <w:r/>
            <w:r>
              <w:rPr>
                <w:b w:val="0"/>
                <w:sz w:val="17"/>
              </w:rPr>
              <w:t>Raw 7-day and normalized 15-day policy verified with documented definitions.</w:t>
            </w:r>
          </w:p>
        </w:tc>
      </w:tr>
      <w:tr>
        <w:tc>
          <w:tcPr>
            <w:tcW w:type="dxa" w:w="936"/>
            <w:vAlign w:val="center"/>
          </w:tcPr>
          <w:p>
            <w:r/>
            <w:r>
              <w:rPr>
                <w:b w:val="0"/>
                <w:sz w:val="17"/>
              </w:rPr>
              <w:t>T10</w:t>
            </w:r>
          </w:p>
        </w:tc>
        <w:tc>
          <w:tcPr>
            <w:tcW w:type="dxa" w:w="3456"/>
            <w:vAlign w:val="center"/>
          </w:tcPr>
          <w:p>
            <w:r/>
            <w:r>
              <w:rPr>
                <w:b w:val="0"/>
                <w:sz w:val="17"/>
              </w:rPr>
              <w:t>SIEM correlation</w:t>
            </w:r>
          </w:p>
        </w:tc>
        <w:tc>
          <w:tcPr>
            <w:tcW w:type="dxa" w:w="5904"/>
            <w:vAlign w:val="center"/>
          </w:tcPr>
          <w:p>
            <w:r/>
            <w:r>
              <w:rPr>
                <w:b w:val="0"/>
                <w:sz w:val="17"/>
              </w:rPr>
              <w:t>Alert delivery, event IDs, deduplication and end-to-end timing.</w:t>
            </w:r>
          </w:p>
        </w:tc>
      </w:tr>
      <w:tr>
        <w:tc>
          <w:tcPr>
            <w:tcW w:type="dxa" w:w="936"/>
            <w:vAlign w:val="center"/>
          </w:tcPr>
          <w:p>
            <w:r/>
            <w:r>
              <w:rPr>
                <w:b w:val="0"/>
                <w:sz w:val="17"/>
              </w:rPr>
              <w:t>T11</w:t>
            </w:r>
          </w:p>
        </w:tc>
        <w:tc>
          <w:tcPr>
            <w:tcW w:type="dxa" w:w="3456"/>
            <w:vAlign w:val="center"/>
          </w:tcPr>
          <w:p>
            <w:r/>
            <w:r>
              <w:rPr>
                <w:b w:val="0"/>
                <w:sz w:val="17"/>
              </w:rPr>
              <w:t>Failure recovery</w:t>
            </w:r>
          </w:p>
        </w:tc>
        <w:tc>
          <w:tcPr>
            <w:tcW w:type="dxa" w:w="5904"/>
            <w:vAlign w:val="center"/>
          </w:tcPr>
          <w:p>
            <w:r/>
            <w:r>
              <w:rPr>
                <w:b w:val="0"/>
                <w:sz w:val="17"/>
              </w:rPr>
              <w:t>Controlled component failure; recovery time, data loss and service impact measured.</w:t>
            </w:r>
          </w:p>
        </w:tc>
      </w:tr>
      <w:tr>
        <w:tc>
          <w:tcPr>
            <w:tcW w:type="dxa" w:w="936"/>
            <w:vAlign w:val="center"/>
          </w:tcPr>
          <w:p>
            <w:r/>
            <w:r>
              <w:rPr>
                <w:b w:val="0"/>
                <w:sz w:val="17"/>
              </w:rPr>
              <w:t>T12</w:t>
            </w:r>
          </w:p>
        </w:tc>
        <w:tc>
          <w:tcPr>
            <w:tcW w:type="dxa" w:w="3456"/>
            <w:vAlign w:val="center"/>
          </w:tcPr>
          <w:p>
            <w:r/>
            <w:r>
              <w:rPr>
                <w:b w:val="0"/>
                <w:sz w:val="17"/>
              </w:rPr>
              <w:t>Air-gap</w:t>
            </w:r>
          </w:p>
        </w:tc>
        <w:tc>
          <w:tcPr>
            <w:tcW w:type="dxa" w:w="5904"/>
            <w:vAlign w:val="center"/>
          </w:tcPr>
          <w:p>
            <w:r/>
            <w:r>
              <w:rPr>
                <w:b w:val="0"/>
                <w:sz w:val="17"/>
              </w:rPr>
              <w:t>Detection/search continues without external access; offline update process is audited.</w:t>
            </w:r>
          </w:p>
        </w:tc>
      </w:tr>
    </w:tbl>
    <w:p/>
    <w:p>
      <w:r>
        <w:t>All pass/fail thresholds must be agreed before testing. A dashboard demo alone is not evidence of capture throughput, search performance, retention, or high availability.</w:t>
      </w:r>
    </w:p>
    <w:p>
      <w:pPr>
        <w:pStyle w:val="Heading1"/>
      </w:pPr>
      <w:r>
        <w:t>14. Delivery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5F2"/>
          </w:tcPr>
          <w:p>
            <w:r/>
            <w:r>
              <w:rPr>
                <w:b/>
                <w:sz w:val="17"/>
              </w:rPr>
              <w:t>Phase</w:t>
            </w:r>
          </w:p>
        </w:tc>
        <w:tc>
          <w:tcPr>
            <w:tcW w:type="dxa" w:w="1656"/>
            <w:vAlign w:val="center"/>
            <w:shd w:fill="D9E5F2"/>
          </w:tcPr>
          <w:p>
            <w:r/>
            <w:r>
              <w:rPr>
                <w:b/>
                <w:sz w:val="17"/>
              </w:rPr>
              <w:t>Indicative duration</w:t>
            </w:r>
          </w:p>
        </w:tc>
        <w:tc>
          <w:tcPr>
            <w:tcW w:type="dxa" w:w="4320"/>
            <w:vAlign w:val="center"/>
            <w:shd w:fill="D9E5F2"/>
          </w:tcPr>
          <w:p>
            <w:r/>
            <w:r>
              <w:rPr>
                <w:b/>
                <w:sz w:val="17"/>
              </w:rPr>
              <w:t>Work</w:t>
            </w:r>
          </w:p>
        </w:tc>
        <w:tc>
          <w:tcPr>
            <w:tcW w:type="dxa" w:w="2520"/>
            <w:vAlign w:val="center"/>
            <w:shd w:fill="D9E5F2"/>
          </w:tcPr>
          <w:p>
            <w:r/>
            <w:r>
              <w:rPr>
                <w:b/>
                <w:sz w:val="17"/>
              </w:rPr>
              <w:t>Exit gate</w:t>
            </w:r>
          </w:p>
        </w:tc>
      </w:tr>
      <w:tr>
        <w:tc>
          <w:tcPr>
            <w:tcW w:type="dxa" w:w="1800"/>
            <w:vAlign w:val="center"/>
          </w:tcPr>
          <w:p>
            <w:r/>
            <w:r>
              <w:rPr>
                <w:b w:val="0"/>
                <w:sz w:val="17"/>
              </w:rPr>
              <w:t>1. Discovery/design</w:t>
            </w:r>
          </w:p>
        </w:tc>
        <w:tc>
          <w:tcPr>
            <w:tcW w:type="dxa" w:w="1656"/>
            <w:vAlign w:val="center"/>
          </w:tcPr>
          <w:p>
            <w:r/>
            <w:r>
              <w:rPr>
                <w:b w:val="0"/>
                <w:sz w:val="17"/>
              </w:rPr>
              <w:t>Weeks 1–2</w:t>
            </w:r>
          </w:p>
        </w:tc>
        <w:tc>
          <w:tcPr>
            <w:tcW w:type="dxa" w:w="4320"/>
            <w:vAlign w:val="center"/>
          </w:tcPr>
          <w:p>
            <w:r/>
            <w:r>
              <w:rPr>
                <w:b w:val="0"/>
                <w:sz w:val="17"/>
              </w:rPr>
              <w:t>Full tender review, network map, capacity inputs, schema, architecture decisions, test plan</w:t>
            </w:r>
          </w:p>
        </w:tc>
        <w:tc>
          <w:tcPr>
            <w:tcW w:type="dxa" w:w="2520"/>
            <w:vAlign w:val="center"/>
          </w:tcPr>
          <w:p>
            <w:r/>
            <w:r>
              <w:rPr>
                <w:b w:val="0"/>
                <w:sz w:val="17"/>
              </w:rPr>
              <w:t>Signed requirements and architecture baseline</w:t>
            </w:r>
          </w:p>
        </w:tc>
      </w:tr>
      <w:tr>
        <w:tc>
          <w:tcPr>
            <w:tcW w:type="dxa" w:w="1800"/>
            <w:vAlign w:val="center"/>
          </w:tcPr>
          <w:p>
            <w:r/>
            <w:r>
              <w:rPr>
                <w:b w:val="0"/>
                <w:sz w:val="17"/>
              </w:rPr>
              <w:t>2. Data foundation</w:t>
            </w:r>
          </w:p>
        </w:tc>
        <w:tc>
          <w:tcPr>
            <w:tcW w:type="dxa" w:w="1656"/>
            <w:vAlign w:val="center"/>
          </w:tcPr>
          <w:p>
            <w:r/>
            <w:r>
              <w:rPr>
                <w:b w:val="0"/>
                <w:sz w:val="17"/>
              </w:rPr>
              <w:t>Weeks 3–6</w:t>
            </w:r>
          </w:p>
        </w:tc>
        <w:tc>
          <w:tcPr>
            <w:tcW w:type="dxa" w:w="4320"/>
            <w:vAlign w:val="center"/>
          </w:tcPr>
          <w:p>
            <w:r/>
            <w:r>
              <w:rPr>
                <w:b w:val="0"/>
                <w:sz w:val="17"/>
              </w:rPr>
              <w:t>Flow/packet collection, normalization, durable ingest, storage and health monitoring</w:t>
            </w:r>
          </w:p>
        </w:tc>
        <w:tc>
          <w:tcPr>
            <w:tcW w:type="dxa" w:w="2520"/>
            <w:vAlign w:val="center"/>
          </w:tcPr>
          <w:p>
            <w:r/>
            <w:r>
              <w:rPr>
                <w:b w:val="0"/>
                <w:sz w:val="17"/>
              </w:rPr>
              <w:t>Verified capture/delivery and measured storage</w:t>
            </w:r>
          </w:p>
        </w:tc>
      </w:tr>
      <w:tr>
        <w:tc>
          <w:tcPr>
            <w:tcW w:type="dxa" w:w="1800"/>
            <w:vAlign w:val="center"/>
          </w:tcPr>
          <w:p>
            <w:r/>
            <w:r>
              <w:rPr>
                <w:b w:val="0"/>
                <w:sz w:val="17"/>
              </w:rPr>
              <w:t>3. Core detection</w:t>
            </w:r>
          </w:p>
        </w:tc>
        <w:tc>
          <w:tcPr>
            <w:tcW w:type="dxa" w:w="1656"/>
            <w:vAlign w:val="center"/>
          </w:tcPr>
          <w:p>
            <w:r/>
            <w:r>
              <w:rPr>
                <w:b w:val="0"/>
                <w:sz w:val="17"/>
              </w:rPr>
              <w:t>Weeks 7–10</w:t>
            </w:r>
          </w:p>
        </w:tc>
        <w:tc>
          <w:tcPr>
            <w:tcW w:type="dxa" w:w="4320"/>
            <w:vAlign w:val="center"/>
          </w:tcPr>
          <w:p>
            <w:r/>
            <w:r>
              <w:rPr>
                <w:b w:val="0"/>
                <w:sz w:val="17"/>
              </w:rPr>
              <w:t>Rules, thresholds, baselines, risk scoring, incident grouping</w:t>
            </w:r>
          </w:p>
        </w:tc>
        <w:tc>
          <w:tcPr>
            <w:tcW w:type="dxa" w:w="2520"/>
            <w:vAlign w:val="center"/>
          </w:tcPr>
          <w:p>
            <w:r/>
            <w:r>
              <w:rPr>
                <w:b w:val="0"/>
                <w:sz w:val="17"/>
              </w:rPr>
              <w:t>Repeatable detection tests and false-positive measurements</w:t>
            </w:r>
          </w:p>
        </w:tc>
      </w:tr>
      <w:tr>
        <w:tc>
          <w:tcPr>
            <w:tcW w:type="dxa" w:w="1800"/>
            <w:vAlign w:val="center"/>
          </w:tcPr>
          <w:p>
            <w:r/>
            <w:r>
              <w:rPr>
                <w:b w:val="0"/>
                <w:sz w:val="17"/>
              </w:rPr>
              <w:t>4. Console/integrations</w:t>
            </w:r>
          </w:p>
        </w:tc>
        <w:tc>
          <w:tcPr>
            <w:tcW w:type="dxa" w:w="1656"/>
            <w:vAlign w:val="center"/>
          </w:tcPr>
          <w:p>
            <w:r/>
            <w:r>
              <w:rPr>
                <w:b w:val="0"/>
                <w:sz w:val="17"/>
              </w:rPr>
              <w:t>Weeks 11–14</w:t>
            </w:r>
          </w:p>
        </w:tc>
        <w:tc>
          <w:tcPr>
            <w:tcW w:type="dxa" w:w="4320"/>
            <w:vAlign w:val="center"/>
          </w:tcPr>
          <w:p>
            <w:r/>
            <w:r>
              <w:rPr>
                <w:b w:val="0"/>
                <w:sz w:val="17"/>
              </w:rPr>
              <w:t>Dashboard, investigation, packet retrieval, SIEM and context integrations</w:t>
            </w:r>
          </w:p>
        </w:tc>
        <w:tc>
          <w:tcPr>
            <w:tcW w:type="dxa" w:w="2520"/>
            <w:vAlign w:val="center"/>
          </w:tcPr>
          <w:p>
            <w:r/>
            <w:r>
              <w:rPr>
                <w:b w:val="0"/>
                <w:sz w:val="17"/>
              </w:rPr>
              <w:t>End-to-end incident workflow</w:t>
            </w:r>
          </w:p>
        </w:tc>
      </w:tr>
      <w:tr>
        <w:tc>
          <w:tcPr>
            <w:tcW w:type="dxa" w:w="1800"/>
            <w:vAlign w:val="center"/>
          </w:tcPr>
          <w:p>
            <w:r/>
            <w:r>
              <w:rPr>
                <w:b w:val="0"/>
                <w:sz w:val="17"/>
              </w:rPr>
              <w:t>5. Performance/resilience</w:t>
            </w:r>
          </w:p>
        </w:tc>
        <w:tc>
          <w:tcPr>
            <w:tcW w:type="dxa" w:w="1656"/>
            <w:vAlign w:val="center"/>
          </w:tcPr>
          <w:p>
            <w:r/>
            <w:r>
              <w:rPr>
                <w:b w:val="0"/>
                <w:sz w:val="17"/>
              </w:rPr>
              <w:t>Weeks 15–18</w:t>
            </w:r>
          </w:p>
        </w:tc>
        <w:tc>
          <w:tcPr>
            <w:tcW w:type="dxa" w:w="4320"/>
            <w:vAlign w:val="center"/>
          </w:tcPr>
          <w:p>
            <w:r/>
            <w:r>
              <w:rPr>
                <w:b w:val="0"/>
                <w:sz w:val="17"/>
              </w:rPr>
              <w:t>512 Mbps profile, 5M query, retention, HA, air-gap and security testing</w:t>
            </w:r>
          </w:p>
        </w:tc>
        <w:tc>
          <w:tcPr>
            <w:tcW w:type="dxa" w:w="2520"/>
            <w:vAlign w:val="center"/>
          </w:tcPr>
          <w:p>
            <w:r/>
            <w:r>
              <w:rPr>
                <w:b w:val="0"/>
                <w:sz w:val="17"/>
              </w:rPr>
              <w:t>Documented benchmark and failure-test results</w:t>
            </w:r>
          </w:p>
        </w:tc>
      </w:tr>
      <w:tr>
        <w:tc>
          <w:tcPr>
            <w:tcW w:type="dxa" w:w="1800"/>
            <w:vAlign w:val="center"/>
          </w:tcPr>
          <w:p>
            <w:r/>
            <w:r>
              <w:rPr>
                <w:b w:val="0"/>
                <w:sz w:val="17"/>
              </w:rPr>
              <w:t>6. POC/handover</w:t>
            </w:r>
          </w:p>
        </w:tc>
        <w:tc>
          <w:tcPr>
            <w:tcW w:type="dxa" w:w="1656"/>
            <w:vAlign w:val="center"/>
          </w:tcPr>
          <w:p>
            <w:r/>
            <w:r>
              <w:rPr>
                <w:b w:val="0"/>
                <w:sz w:val="17"/>
              </w:rPr>
              <w:t>Weeks 19–22</w:t>
            </w:r>
          </w:p>
        </w:tc>
        <w:tc>
          <w:tcPr>
            <w:tcW w:type="dxa" w:w="4320"/>
            <w:vAlign w:val="center"/>
          </w:tcPr>
          <w:p>
            <w:r/>
            <w:r>
              <w:rPr>
                <w:b w:val="0"/>
                <w:sz w:val="17"/>
              </w:rPr>
              <w:t>POC, tuning, documentation, training, runbooks and compliance evidence</w:t>
            </w:r>
          </w:p>
        </w:tc>
        <w:tc>
          <w:tcPr>
            <w:tcW w:type="dxa" w:w="2520"/>
            <w:vAlign w:val="center"/>
          </w:tcPr>
          <w:p>
            <w:r/>
            <w:r>
              <w:rPr>
                <w:b w:val="0"/>
                <w:sz w:val="17"/>
              </w:rPr>
              <w:t>Acceptance evidence and operational handover</w:t>
            </w:r>
          </w:p>
        </w:tc>
      </w:tr>
    </w:tbl>
    <w:p/>
    <w:p>
      <w:r>
        <w:t>Durations are illustrative, not a commitment. Actual timing depends on staffing, procurement, existing code, hardware, access to traffic samples, and the full tender.</w:t>
      </w:r>
    </w:p>
    <w:p>
      <w:pPr>
        <w:pStyle w:val="Heading1"/>
      </w:pPr>
      <w:r>
        <w:t>15. Suggested ownership</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5F2"/>
          </w:tcPr>
          <w:p>
            <w:r/>
            <w:r>
              <w:rPr>
                <w:b/>
                <w:sz w:val="17"/>
              </w:rPr>
              <w:t>Role</w:t>
            </w:r>
          </w:p>
        </w:tc>
        <w:tc>
          <w:tcPr>
            <w:tcW w:type="dxa" w:w="7632"/>
            <w:vAlign w:val="center"/>
            <w:shd w:fill="D9E5F2"/>
          </w:tcPr>
          <w:p>
            <w:r/>
            <w:r>
              <w:rPr>
                <w:b/>
                <w:sz w:val="17"/>
              </w:rPr>
              <w:t>Accountability</w:t>
            </w:r>
          </w:p>
        </w:tc>
      </w:tr>
      <w:tr>
        <w:tc>
          <w:tcPr>
            <w:tcW w:type="dxa" w:w="2592"/>
            <w:vAlign w:val="center"/>
          </w:tcPr>
          <w:p>
            <w:r/>
            <w:r>
              <w:rPr>
                <w:b w:val="0"/>
                <w:sz w:val="17"/>
              </w:rPr>
              <w:t>Project/architecture lead</w:t>
            </w:r>
          </w:p>
        </w:tc>
        <w:tc>
          <w:tcPr>
            <w:tcW w:type="dxa" w:w="7632"/>
            <w:vAlign w:val="center"/>
          </w:tcPr>
          <w:p>
            <w:r/>
            <w:r>
              <w:rPr>
                <w:b w:val="0"/>
                <w:sz w:val="17"/>
              </w:rPr>
              <w:t>Requirement traceability, architecture decisions, risk log, integrations and acceptance.</w:t>
            </w:r>
          </w:p>
        </w:tc>
      </w:tr>
      <w:tr>
        <w:tc>
          <w:tcPr>
            <w:tcW w:type="dxa" w:w="2592"/>
            <w:vAlign w:val="center"/>
          </w:tcPr>
          <w:p>
            <w:r/>
            <w:r>
              <w:rPr>
                <w:b w:val="0"/>
                <w:sz w:val="17"/>
              </w:rPr>
              <w:t>Network engineering</w:t>
            </w:r>
          </w:p>
        </w:tc>
        <w:tc>
          <w:tcPr>
            <w:tcW w:type="dxa" w:w="7632"/>
            <w:vAlign w:val="center"/>
          </w:tcPr>
          <w:p>
            <w:r/>
            <w:r>
              <w:rPr>
                <w:b w:val="0"/>
                <w:sz w:val="17"/>
              </w:rPr>
              <w:t>Topology, observation points, exporters, sensors, traffic visibility and loss monitoring.</w:t>
            </w:r>
          </w:p>
        </w:tc>
      </w:tr>
      <w:tr>
        <w:tc>
          <w:tcPr>
            <w:tcW w:type="dxa" w:w="2592"/>
            <w:vAlign w:val="center"/>
          </w:tcPr>
          <w:p>
            <w:r/>
            <w:r>
              <w:rPr>
                <w:b w:val="0"/>
                <w:sz w:val="17"/>
              </w:rPr>
              <w:t>Backend/platform engineering</w:t>
            </w:r>
          </w:p>
        </w:tc>
        <w:tc>
          <w:tcPr>
            <w:tcW w:type="dxa" w:w="7632"/>
            <w:vAlign w:val="center"/>
          </w:tcPr>
          <w:p>
            <w:r/>
            <w:r>
              <w:rPr>
                <w:b w:val="0"/>
                <w:sz w:val="17"/>
              </w:rPr>
              <w:t>Collectors, ingest, normalization, APIs, incident lifecycle and configuration.</w:t>
            </w:r>
          </w:p>
        </w:tc>
      </w:tr>
      <w:tr>
        <w:tc>
          <w:tcPr>
            <w:tcW w:type="dxa" w:w="2592"/>
            <w:vAlign w:val="center"/>
          </w:tcPr>
          <w:p>
            <w:r/>
            <w:r>
              <w:rPr>
                <w:b w:val="0"/>
                <w:sz w:val="17"/>
              </w:rPr>
              <w:t>Data engineering</w:t>
            </w:r>
          </w:p>
        </w:tc>
        <w:tc>
          <w:tcPr>
            <w:tcW w:type="dxa" w:w="7632"/>
            <w:vAlign w:val="center"/>
          </w:tcPr>
          <w:p>
            <w:r/>
            <w:r>
              <w:rPr>
                <w:b w:val="0"/>
                <w:sz w:val="17"/>
              </w:rPr>
              <w:t>Search, indexing, packet archive, retention, query tuning and sizing.</w:t>
            </w:r>
          </w:p>
        </w:tc>
      </w:tr>
      <w:tr>
        <w:tc>
          <w:tcPr>
            <w:tcW w:type="dxa" w:w="2592"/>
            <w:vAlign w:val="center"/>
          </w:tcPr>
          <w:p>
            <w:r/>
            <w:r>
              <w:rPr>
                <w:b w:val="0"/>
                <w:sz w:val="17"/>
              </w:rPr>
              <w:t>Detection engineering</w:t>
            </w:r>
          </w:p>
        </w:tc>
        <w:tc>
          <w:tcPr>
            <w:tcW w:type="dxa" w:w="7632"/>
            <w:vAlign w:val="center"/>
          </w:tcPr>
          <w:p>
            <w:r/>
            <w:r>
              <w:rPr>
                <w:b w:val="0"/>
                <w:sz w:val="17"/>
              </w:rPr>
              <w:t>Rules, baselines, graph analytics, ML scoring, test scenarios and false-positive tuning.</w:t>
            </w:r>
          </w:p>
        </w:tc>
      </w:tr>
      <w:tr>
        <w:tc>
          <w:tcPr>
            <w:tcW w:type="dxa" w:w="2592"/>
            <w:vAlign w:val="center"/>
          </w:tcPr>
          <w:p>
            <w:r/>
            <w:r>
              <w:rPr>
                <w:b w:val="0"/>
                <w:sz w:val="17"/>
              </w:rPr>
              <w:t>Frontend engineering</w:t>
            </w:r>
          </w:p>
        </w:tc>
        <w:tc>
          <w:tcPr>
            <w:tcW w:type="dxa" w:w="7632"/>
            <w:vAlign w:val="center"/>
          </w:tcPr>
          <w:p>
            <w:r/>
            <w:r>
              <w:rPr>
                <w:b w:val="0"/>
                <w:sz w:val="17"/>
              </w:rPr>
              <w:t>Central console, dashboards, search, investigation, evidence views and reports.</w:t>
            </w:r>
          </w:p>
        </w:tc>
      </w:tr>
      <w:tr>
        <w:tc>
          <w:tcPr>
            <w:tcW w:type="dxa" w:w="2592"/>
            <w:vAlign w:val="center"/>
          </w:tcPr>
          <w:p>
            <w:r/>
            <w:r>
              <w:rPr>
                <w:b w:val="0"/>
                <w:sz w:val="17"/>
              </w:rPr>
              <w:t>DevOps/SRE</w:t>
            </w:r>
          </w:p>
        </w:tc>
        <w:tc>
          <w:tcPr>
            <w:tcW w:type="dxa" w:w="7632"/>
            <w:vAlign w:val="center"/>
          </w:tcPr>
          <w:p>
            <w:r/>
            <w:r>
              <w:rPr>
                <w:b w:val="0"/>
                <w:sz w:val="17"/>
              </w:rPr>
              <w:t>Deployment, HA, observability, backups, upgrades, capacity and disaster recovery.</w:t>
            </w:r>
          </w:p>
        </w:tc>
      </w:tr>
      <w:tr>
        <w:tc>
          <w:tcPr>
            <w:tcW w:type="dxa" w:w="2592"/>
            <w:vAlign w:val="center"/>
          </w:tcPr>
          <w:p>
            <w:r/>
            <w:r>
              <w:rPr>
                <w:b w:val="0"/>
                <w:sz w:val="17"/>
              </w:rPr>
              <w:t>QA/security</w:t>
            </w:r>
          </w:p>
        </w:tc>
        <w:tc>
          <w:tcPr>
            <w:tcW w:type="dxa" w:w="7632"/>
            <w:vAlign w:val="center"/>
          </w:tcPr>
          <w:p>
            <w:r/>
            <w:r>
              <w:rPr>
                <w:b w:val="0"/>
                <w:sz w:val="17"/>
              </w:rPr>
              <w:t>Functional, integration, performance, failure, security, air-gap and POC validation.</w:t>
            </w:r>
          </w:p>
        </w:tc>
      </w:tr>
      <w:tr>
        <w:tc>
          <w:tcPr>
            <w:tcW w:type="dxa" w:w="2592"/>
            <w:vAlign w:val="center"/>
          </w:tcPr>
          <w:p>
            <w:r/>
            <w:r>
              <w:rPr>
                <w:b w:val="0"/>
                <w:sz w:val="17"/>
              </w:rPr>
              <w:t>Bid/commercial/OEM owner</w:t>
            </w:r>
          </w:p>
        </w:tc>
        <w:tc>
          <w:tcPr>
            <w:tcW w:type="dxa" w:w="7632"/>
            <w:vAlign w:val="center"/>
          </w:tcPr>
          <w:p>
            <w:r/>
            <w:r>
              <w:rPr>
                <w:b w:val="0"/>
                <w:sz w:val="17"/>
              </w:rPr>
              <w:t>Formal Yes/No/Can Be responses, product evidence, licensing, warranty, EOSL and Schedule-4 deviations.</w:t>
            </w:r>
          </w:p>
        </w:tc>
      </w:tr>
    </w:tbl>
    <w:p/>
    <w:p>
      <w:pPr>
        <w:pStyle w:val="Heading1"/>
      </w:pPr>
      <w:r>
        <w:t>16. Missing inputs and stakeholder questions</w:t>
      </w:r>
    </w:p>
    <w:p>
      <w:pPr>
        <w:pStyle w:val="ListBullet"/>
        <w:spacing w:after="40"/>
      </w:pPr>
      <w:r>
        <w:t>Complete original tender (107 pages) and exact clauses for Schedule-9, Annexure-2, Schedule-4, Schedule-13, PQR and POC.</w:t>
      </w:r>
    </w:p>
    <w:p>
      <w:pPr>
        <w:pStyle w:val="ListBullet"/>
        <w:spacing w:after="40"/>
      </w:pPr>
      <w:r>
        <w:t>Actual network topology, three-zone definition, DC/Main LDC and SLDC sites, VLANs/subnets, traffic directions, TAP/SPAN feasibility.</w:t>
      </w:r>
    </w:p>
    <w:p>
      <w:pPr>
        <w:pStyle w:val="ListBullet"/>
        <w:spacing w:after="40"/>
      </w:pPr>
      <w:r>
        <w:t>Average/peak throughput, packets per second, packet-size distribution, concurrent flows, flow-export rate, sampling and burst duration.</w:t>
      </w:r>
    </w:p>
    <w:p>
      <w:pPr>
        <w:pStyle w:val="ListBullet"/>
        <w:spacing w:after="40"/>
      </w:pPr>
      <w:r>
        <w:t>Whether 512 Mbps is sustained, aggregate, per-interface or another benchmark basis.</w:t>
      </w:r>
    </w:p>
    <w:p>
      <w:pPr>
        <w:pStyle w:val="ListBullet"/>
        <w:spacing w:after="40"/>
      </w:pPr>
      <w:r>
        <w:t>Exact definition of “normalized packet data”; fields, granularity, retention and whether payload is included.</w:t>
      </w:r>
    </w:p>
    <w:p>
      <w:pPr>
        <w:pStyle w:val="ListBullet"/>
        <w:spacing w:after="40"/>
      </w:pPr>
      <w:r>
        <w:t>Definition of “retrieve 5M records”: query, render, export or full delivery; dataset and concurrency conditions.</w:t>
      </w:r>
    </w:p>
    <w:p>
      <w:pPr>
        <w:pStyle w:val="ListBullet"/>
        <w:spacing w:after="40"/>
      </w:pPr>
      <w:r>
        <w:t>Hardware/virtualization constraints, rack/power/network availability, NIC models, storage technology and failure domains.</w:t>
      </w:r>
    </w:p>
    <w:p>
      <w:pPr>
        <w:pStyle w:val="ListBullet"/>
        <w:spacing w:after="40"/>
      </w:pPr>
      <w:r>
        <w:t>Identity, vulnerability management, SIEM, SOAR, firewall, router, proxy, sandbox and threat-feed products/versions/APIs.</w:t>
      </w:r>
    </w:p>
    <w:p>
      <w:pPr>
        <w:pStyle w:val="ListBullet"/>
        <w:spacing w:after="40"/>
      </w:pPr>
      <w:r>
        <w:t>Air-gap boundary, approved import/export route, licensing activation, support model, offline updates and OEM access rules.</w:t>
      </w:r>
    </w:p>
    <w:p>
      <w:pPr>
        <w:pStyle w:val="ListBullet"/>
        <w:spacing w:after="40"/>
      </w:pPr>
      <w:r>
        <w:t>Required RTO/RPO, uptime measurement window, planned maintenance treatment and recovery-site expectations.</w:t>
      </w:r>
    </w:p>
    <w:p>
      <w:pPr>
        <w:pStyle w:val="ListBullet"/>
        <w:spacing w:after="40"/>
      </w:pPr>
      <w:r>
        <w:t>Expected host/asset count and interpretation of unlimited-host ML licensing.</w:t>
      </w:r>
    </w:p>
    <w:p>
      <w:pPr>
        <w:pStyle w:val="ListBullet"/>
        <w:spacing w:after="40"/>
      </w:pPr>
      <w:r>
        <w:t>Formal compliance ownership, OEM datasheets, POC date, acceptance authority, and commercial/deviation process.</w:t>
      </w:r>
    </w:p>
    <w:p>
      <w:pPr>
        <w:pStyle w:val="Heading1"/>
      </w:pPr>
      <w:r>
        <w:t>17. Recommended next actions (first 10 working days)</w:t>
      </w:r>
    </w:p>
    <w:p>
      <w:pPr>
        <w:pStyle w:val="ListNumber"/>
        <w:spacing w:after="40"/>
      </w:pPr>
      <w:r>
        <w:t>Day 1–2: Obtain the full original tender; build a clause-by-clause traceability matrix; flag all ambiguous clauses.</w:t>
      </w:r>
    </w:p>
    <w:p>
      <w:pPr>
        <w:pStyle w:val="ListNumber"/>
        <w:spacing w:after="40"/>
      </w:pPr>
      <w:r>
        <w:t>Day 1–3: Hold a network discovery session with OPTCL/network owners; collect diagrams, flow-exporter details and SPAN/TAP options.</w:t>
      </w:r>
    </w:p>
    <w:p>
      <w:pPr>
        <w:pStyle w:val="ListNumber"/>
        <w:spacing w:after="40"/>
      </w:pPr>
      <w:r>
        <w:t>Day 2–4: Request representative flow records and an approved packet sample or synthetic replay dataset.</w:t>
      </w:r>
    </w:p>
    <w:p>
      <w:pPr>
        <w:pStyle w:val="ListNumber"/>
        <w:spacing w:after="40"/>
      </w:pPr>
      <w:r>
        <w:t>Day 3–5: Define the 512 Mbps and 5M-record benchmark procedures before sizing hardware.</w:t>
      </w:r>
    </w:p>
    <w:p>
      <w:pPr>
        <w:pStyle w:val="ListNumber"/>
        <w:spacing w:after="40"/>
      </w:pPr>
      <w:r>
        <w:t>Day 3–6: Define canonical schemas for flow, packet metadata, alert, incident, asset, baseline and evidence references.</w:t>
      </w:r>
    </w:p>
    <w:p>
      <w:pPr>
        <w:pStyle w:val="ListNumber"/>
        <w:spacing w:after="40"/>
      </w:pPr>
      <w:r>
        <w:t>Day 4–7: Build a small proof-of-technology setup for capture, buffering, search, packet archive and offline installation.</w:t>
      </w:r>
    </w:p>
    <w:p>
      <w:pPr>
        <w:pStyle w:val="ListNumber"/>
        <w:spacing w:after="40"/>
      </w:pPr>
      <w:r>
        <w:t>Day 5–8: Test candidate capture and search/storage options with representative traffic; record CPU, memory, disk, packet loss and latency.</w:t>
      </w:r>
    </w:p>
    <w:p>
      <w:pPr>
        <w:pStyle w:val="ListNumber"/>
        <w:spacing w:after="40"/>
      </w:pPr>
      <w:r>
        <w:t>Day 6–8: Draft the air-gap threat-intelligence/software update process and map all possible external dependencies.</w:t>
      </w:r>
    </w:p>
    <w:p>
      <w:pPr>
        <w:pStyle w:val="ListNumber"/>
        <w:spacing w:after="40"/>
      </w:pPr>
      <w:r>
        <w:t>Day 7–9: Assign component owners, risks, dependencies, and acceptance-test ownership.</w:t>
      </w:r>
    </w:p>
    <w:p>
      <w:pPr>
        <w:pStyle w:val="ListNumber"/>
        <w:spacing w:after="40"/>
      </w:pPr>
      <w:r>
        <w:t>Day 9–10: Review architecture and capacity assumptions with the project lead, network team, security team, bid lead and OEM/commercial owner.</w:t>
      </w:r>
    </w:p>
    <w:p>
      <w:pPr>
        <w:pStyle w:val="Heading1"/>
      </w:pPr>
      <w:r>
        <w:t>18. Key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D9E5F2"/>
          </w:tcPr>
          <w:p>
            <w:r/>
            <w:r>
              <w:rPr>
                <w:b/>
                <w:sz w:val="17"/>
              </w:rPr>
              <w:t>Risk</w:t>
            </w:r>
          </w:p>
        </w:tc>
        <w:tc>
          <w:tcPr>
            <w:tcW w:type="dxa" w:w="2880"/>
            <w:vAlign w:val="center"/>
            <w:shd w:fill="D9E5F2"/>
          </w:tcPr>
          <w:p>
            <w:r/>
            <w:r>
              <w:rPr>
                <w:b/>
                <w:sz w:val="17"/>
              </w:rPr>
              <w:t>Impact</w:t>
            </w:r>
          </w:p>
        </w:tc>
        <w:tc>
          <w:tcPr>
            <w:tcW w:type="dxa" w:w="5040"/>
            <w:vAlign w:val="center"/>
            <w:shd w:fill="D9E5F2"/>
          </w:tcPr>
          <w:p>
            <w:r/>
            <w:r>
              <w:rPr>
                <w:b/>
                <w:sz w:val="17"/>
              </w:rPr>
              <w:t>Mitigation</w:t>
            </w:r>
          </w:p>
        </w:tc>
      </w:tr>
      <w:tr>
        <w:tc>
          <w:tcPr>
            <w:tcW w:type="dxa" w:w="2376"/>
            <w:vAlign w:val="center"/>
          </w:tcPr>
          <w:p>
            <w:r/>
            <w:r>
              <w:rPr>
                <w:b w:val="0"/>
                <w:sz w:val="17"/>
              </w:rPr>
              <w:t>Traffic profile unknown</w:t>
            </w:r>
          </w:p>
        </w:tc>
        <w:tc>
          <w:tcPr>
            <w:tcW w:type="dxa" w:w="2880"/>
            <w:vAlign w:val="center"/>
          </w:tcPr>
          <w:p>
            <w:r/>
            <w:r>
              <w:rPr>
                <w:b w:val="0"/>
                <w:sz w:val="17"/>
              </w:rPr>
              <w:t>Undersized capture/storage or unnecessary spend</w:t>
            </w:r>
          </w:p>
        </w:tc>
        <w:tc>
          <w:tcPr>
            <w:tcW w:type="dxa" w:w="5040"/>
            <w:vAlign w:val="center"/>
          </w:tcPr>
          <w:p>
            <w:r/>
            <w:r>
              <w:rPr>
                <w:b w:val="0"/>
                <w:sz w:val="17"/>
              </w:rPr>
              <w:t>Measure Mbps/PPS/flows; benchmark representative replay; add required 30% peak reserve.</w:t>
            </w:r>
          </w:p>
        </w:tc>
      </w:tr>
      <w:tr>
        <w:tc>
          <w:tcPr>
            <w:tcW w:type="dxa" w:w="2376"/>
            <w:vAlign w:val="center"/>
          </w:tcPr>
          <w:p>
            <w:r/>
            <w:r>
              <w:rPr>
                <w:b w:val="0"/>
                <w:sz w:val="17"/>
              </w:rPr>
              <w:t>RFP copy incomplete</w:t>
            </w:r>
          </w:p>
        </w:tc>
        <w:tc>
          <w:tcPr>
            <w:tcW w:type="dxa" w:w="2880"/>
            <w:vAlign w:val="center"/>
          </w:tcPr>
          <w:p>
            <w:r/>
            <w:r>
              <w:rPr>
                <w:b w:val="0"/>
                <w:sz w:val="17"/>
              </w:rPr>
              <w:t>Incorrect or incomplete contractual response</w:t>
            </w:r>
          </w:p>
        </w:tc>
        <w:tc>
          <w:tcPr>
            <w:tcW w:type="dxa" w:w="5040"/>
            <w:vAlign w:val="center"/>
          </w:tcPr>
          <w:p>
            <w:r/>
            <w:r>
              <w:rPr>
                <w:b w:val="0"/>
                <w:sz w:val="17"/>
              </w:rPr>
              <w:t>Obtain original tender and formal clause review.</w:t>
            </w:r>
          </w:p>
        </w:tc>
      </w:tr>
      <w:tr>
        <w:tc>
          <w:tcPr>
            <w:tcW w:type="dxa" w:w="2376"/>
            <w:vAlign w:val="center"/>
          </w:tcPr>
          <w:p>
            <w:r/>
            <w:r>
              <w:rPr>
                <w:b w:val="0"/>
                <w:sz w:val="17"/>
              </w:rPr>
              <w:t>Packet loss under load</w:t>
            </w:r>
          </w:p>
        </w:tc>
        <w:tc>
          <w:tcPr>
            <w:tcW w:type="dxa" w:w="2880"/>
            <w:vAlign w:val="center"/>
          </w:tcPr>
          <w:p>
            <w:r/>
            <w:r>
              <w:rPr>
                <w:b w:val="0"/>
                <w:sz w:val="17"/>
              </w:rPr>
              <w:t>Missed evidence and weakened detections</w:t>
            </w:r>
          </w:p>
        </w:tc>
        <w:tc>
          <w:tcPr>
            <w:tcW w:type="dxa" w:w="5040"/>
            <w:vAlign w:val="center"/>
          </w:tcPr>
          <w:p>
            <w:r/>
            <w:r>
              <w:rPr>
                <w:b w:val="0"/>
                <w:sz w:val="17"/>
              </w:rPr>
              <w:t>Sensor/NIC benchmark; queue and drop metrics; capacity alarms; validate failover coverage.</w:t>
            </w:r>
          </w:p>
        </w:tc>
      </w:tr>
      <w:tr>
        <w:tc>
          <w:tcPr>
            <w:tcW w:type="dxa" w:w="2376"/>
            <w:vAlign w:val="center"/>
          </w:tcPr>
          <w:p>
            <w:r/>
            <w:r>
              <w:rPr>
                <w:b w:val="0"/>
                <w:sz w:val="17"/>
              </w:rPr>
              <w:t>Search competes with detection</w:t>
            </w:r>
          </w:p>
        </w:tc>
        <w:tc>
          <w:tcPr>
            <w:tcW w:type="dxa" w:w="2880"/>
            <w:vAlign w:val="center"/>
          </w:tcPr>
          <w:p>
            <w:r/>
            <w:r>
              <w:rPr>
                <w:b w:val="0"/>
                <w:sz w:val="17"/>
              </w:rPr>
              <w:t>Delayed real-time alerts</w:t>
            </w:r>
          </w:p>
        </w:tc>
        <w:tc>
          <w:tcPr>
            <w:tcW w:type="dxa" w:w="5040"/>
            <w:vAlign w:val="center"/>
          </w:tcPr>
          <w:p>
            <w:r/>
            <w:r>
              <w:rPr>
                <w:b w:val="0"/>
                <w:sz w:val="17"/>
              </w:rPr>
              <w:t>Separate resources/queues; query concurrency controls; reserved capacity.</w:t>
            </w:r>
          </w:p>
        </w:tc>
      </w:tr>
      <w:tr>
        <w:tc>
          <w:tcPr>
            <w:tcW w:type="dxa" w:w="2376"/>
            <w:vAlign w:val="center"/>
          </w:tcPr>
          <w:p>
            <w:r/>
            <w:r>
              <w:rPr>
                <w:b w:val="0"/>
                <w:sz w:val="17"/>
              </w:rPr>
              <w:t>False positives or poisoned baseline</w:t>
            </w:r>
          </w:p>
        </w:tc>
        <w:tc>
          <w:tcPr>
            <w:tcW w:type="dxa" w:w="2880"/>
            <w:vAlign w:val="center"/>
          </w:tcPr>
          <w:p>
            <w:r/>
            <w:r>
              <w:rPr>
                <w:b w:val="0"/>
                <w:sz w:val="17"/>
              </w:rPr>
              <w:t>Analyst overload or missed threats</w:t>
            </w:r>
          </w:p>
        </w:tc>
        <w:tc>
          <w:tcPr>
            <w:tcW w:type="dxa" w:w="5040"/>
            <w:vAlign w:val="center"/>
          </w:tcPr>
          <w:p>
            <w:r/>
            <w:r>
              <w:rPr>
                <w:b w:val="0"/>
                <w:sz w:val="17"/>
              </w:rPr>
              <w:t>Cold-start controls, maintenance windows, feedback, versioned baselines and measured tuning.</w:t>
            </w:r>
          </w:p>
        </w:tc>
      </w:tr>
      <w:tr>
        <w:tc>
          <w:tcPr>
            <w:tcW w:type="dxa" w:w="2376"/>
            <w:vAlign w:val="center"/>
          </w:tcPr>
          <w:p>
            <w:r/>
            <w:r>
              <w:rPr>
                <w:b w:val="0"/>
                <w:sz w:val="17"/>
              </w:rPr>
              <w:t>Air-gap dependencies overlooked</w:t>
            </w:r>
          </w:p>
        </w:tc>
        <w:tc>
          <w:tcPr>
            <w:tcW w:type="dxa" w:w="2880"/>
            <w:vAlign w:val="center"/>
          </w:tcPr>
          <w:p>
            <w:r/>
            <w:r>
              <w:rPr>
                <w:b w:val="0"/>
                <w:sz w:val="17"/>
              </w:rPr>
              <w:t>Deployment or operations failure</w:t>
            </w:r>
          </w:p>
        </w:tc>
        <w:tc>
          <w:tcPr>
            <w:tcW w:type="dxa" w:w="5040"/>
            <w:vAlign w:val="center"/>
          </w:tcPr>
          <w:p>
            <w:r/>
            <w:r>
              <w:rPr>
                <w:b w:val="0"/>
                <w:sz w:val="17"/>
              </w:rPr>
              <w:t>Dependency inventory; offline package/feed workflow; network-egress validation.</w:t>
            </w:r>
          </w:p>
        </w:tc>
      </w:tr>
      <w:tr>
        <w:tc>
          <w:tcPr>
            <w:tcW w:type="dxa" w:w="2376"/>
            <w:vAlign w:val="center"/>
          </w:tcPr>
          <w:p>
            <w:r/>
            <w:r>
              <w:rPr>
                <w:b w:val="0"/>
                <w:sz w:val="17"/>
              </w:rPr>
              <w:t>Unclear ML licensing</w:t>
            </w:r>
          </w:p>
        </w:tc>
        <w:tc>
          <w:tcPr>
            <w:tcW w:type="dxa" w:w="2880"/>
            <w:vAlign w:val="center"/>
          </w:tcPr>
          <w:p>
            <w:r/>
            <w:r>
              <w:rPr>
                <w:b w:val="0"/>
                <w:sz w:val="17"/>
              </w:rPr>
              <w:t>Commercial non-compliance</w:t>
            </w:r>
          </w:p>
        </w:tc>
        <w:tc>
          <w:tcPr>
            <w:tcW w:type="dxa" w:w="5040"/>
            <w:vAlign w:val="center"/>
          </w:tcPr>
          <w:p>
            <w:r/>
            <w:r>
              <w:rPr>
                <w:b w:val="0"/>
                <w:sz w:val="17"/>
              </w:rPr>
              <w:t>Written license evidence and contractual confirmation before bid commitment.</w:t>
            </w:r>
          </w:p>
        </w:tc>
      </w:tr>
      <w:tr>
        <w:tc>
          <w:tcPr>
            <w:tcW w:type="dxa" w:w="2376"/>
            <w:vAlign w:val="center"/>
          </w:tcPr>
          <w:p>
            <w:r/>
            <w:r>
              <w:rPr>
                <w:b w:val="0"/>
                <w:sz w:val="17"/>
              </w:rPr>
              <w:t>Misleading detection claims</w:t>
            </w:r>
          </w:p>
        </w:tc>
        <w:tc>
          <w:tcPr>
            <w:tcW w:type="dxa" w:w="2880"/>
            <w:vAlign w:val="center"/>
          </w:tcPr>
          <w:p>
            <w:r/>
            <w:r>
              <w:rPr>
                <w:b w:val="0"/>
                <w:sz w:val="17"/>
              </w:rPr>
              <w:t>POC failure or security gaps</w:t>
            </w:r>
          </w:p>
        </w:tc>
        <w:tc>
          <w:tcPr>
            <w:tcW w:type="dxa" w:w="5040"/>
            <w:vAlign w:val="center"/>
          </w:tcPr>
          <w:p>
            <w:r/>
            <w:r>
              <w:rPr>
                <w:b w:val="0"/>
                <w:sz w:val="17"/>
              </w:rPr>
              <w:t>Use-case-specific test corpus and documented visibility/coverage limitations.</w:t>
            </w:r>
          </w:p>
        </w:tc>
      </w:tr>
      <w:tr>
        <w:tc>
          <w:tcPr>
            <w:tcW w:type="dxa" w:w="2376"/>
            <w:vAlign w:val="center"/>
          </w:tcPr>
          <w:p>
            <w:r/>
            <w:r>
              <w:rPr>
                <w:b w:val="0"/>
                <w:sz w:val="17"/>
              </w:rPr>
              <w:t>Single point of failure in shared dependencies</w:t>
            </w:r>
          </w:p>
        </w:tc>
        <w:tc>
          <w:tcPr>
            <w:tcW w:type="dxa" w:w="2880"/>
            <w:vAlign w:val="center"/>
          </w:tcPr>
          <w:p>
            <w:r/>
            <w:r>
              <w:rPr>
                <w:b w:val="0"/>
                <w:sz w:val="17"/>
              </w:rPr>
              <w:t>Availability failure</w:t>
            </w:r>
          </w:p>
        </w:tc>
        <w:tc>
          <w:tcPr>
            <w:tcW w:type="dxa" w:w="5040"/>
            <w:vAlign w:val="center"/>
          </w:tcPr>
          <w:p>
            <w:r/>
            <w:r>
              <w:rPr>
                <w:b w:val="0"/>
                <w:sz w:val="17"/>
              </w:rPr>
              <w:t>Failure-domain review across power, switches, storage, quorum, DNS/time and site recovery.</w:t>
            </w:r>
          </w:p>
        </w:tc>
      </w:tr>
    </w:tbl>
    <w:p/>
    <w:p>
      <w:pPr>
        <w:pStyle w:val="Heading1"/>
      </w:pPr>
      <w:r>
        <w:t>19. Definition of a successful first release</w:t>
      </w:r>
    </w:p>
    <w:p>
      <w:pPr>
        <w:pStyle w:val="ListBullet"/>
        <w:spacing w:after="40"/>
      </w:pPr>
      <w:r>
        <w:t>Receives and monitors approved flow and packet sources across at least three zones.</w:t>
      </w:r>
    </w:p>
    <w:p>
      <w:pPr>
        <w:pStyle w:val="ListBullet"/>
        <w:spacing w:after="40"/>
      </w:pPr>
      <w:r>
        <w:t>Captures the agreed 512 Mbps traffic profile without exceeding the agreed loss threshold.</w:t>
      </w:r>
    </w:p>
    <w:p>
      <w:pPr>
        <w:pStyle w:val="ListBullet"/>
        <w:spacing w:after="40"/>
      </w:pPr>
      <w:r>
        <w:t>Provides a centralized dashboard with alerts, asset context, time-based profiles and incident investigation.</w:t>
      </w:r>
    </w:p>
    <w:p>
      <w:pPr>
        <w:pStyle w:val="ListBullet"/>
        <w:spacing w:after="40"/>
      </w:pPr>
      <w:r>
        <w:t>Implements and demonstrates prioritized detection use cases with explainable evidence and measured false-positive performance.</w:t>
      </w:r>
    </w:p>
    <w:p>
      <w:pPr>
        <w:pStyle w:val="ListBullet"/>
        <w:spacing w:after="40"/>
      </w:pPr>
      <w:r>
        <w:t>Links alerts to searchable flow records and raw packet evidence in one analyst workflow.</w:t>
      </w:r>
    </w:p>
    <w:p>
      <w:pPr>
        <w:pStyle w:val="ListBullet"/>
        <w:spacing w:after="40"/>
      </w:pPr>
      <w:r>
        <w:t>Meets the defined 5M-record/180-second benchmark and 7-day raw/15-day normalized retention tests.</w:t>
      </w:r>
    </w:p>
    <w:p>
      <w:pPr>
        <w:pStyle w:val="ListBullet"/>
        <w:spacing w:after="40"/>
      </w:pPr>
      <w:r>
        <w:t>Integrates with the required SIEM and agreed supporting systems using documented, versioned interfaces.</w:t>
      </w:r>
    </w:p>
    <w:p>
      <w:pPr>
        <w:pStyle w:val="ListBullet"/>
        <w:spacing w:after="40"/>
      </w:pPr>
      <w:r>
        <w:t>Operates within the approved air-gapped boundary, including updates and threat-intelligence ingestion.</w:t>
      </w:r>
    </w:p>
    <w:p>
      <w:pPr>
        <w:pStyle w:val="ListBullet"/>
        <w:spacing w:after="40"/>
      </w:pPr>
      <w:r>
        <w:t>Demonstrates required redundancy, recovery, security controls, monitoring and 30% peak spare capacity as defined in the tender.</w:t>
      </w:r>
    </w:p>
    <w:p>
      <w:pPr>
        <w:pStyle w:val="ListBullet"/>
        <w:spacing w:after="40"/>
      </w:pPr>
      <w:r>
        <w:t>Has traceable evidence for every tender requirement, with all deviations escalated and formally handled.</w:t>
      </w:r>
    </w:p>
    <w:p>
      <w:pPr>
        <w:pStyle w:val="Heading1"/>
      </w:pPr>
      <w:r>
        <w:t>20. Final recommendation</w:t>
      </w:r>
    </w:p>
    <w:p>
      <w:r>
        <w:t>Start with requirements and traffic discovery, not with a database or ML model choice. The highest-risk engineering items are packet capture under real traffic, forensic search performance, raw/normalized retention sizing, air-gapped operations, and proof of each claimed detection capability. Use a modular architecture, keep flow analytics separate from raw packet storage, make detections explainable, and validate the system through repeatable POC tests. Final hardware sizing, stack selection, and compliance responses must wait for the complete tender, measured traffic profile, and confirmed product/licensing constraints.</w:t>
      </w:r>
    </w:p>
    <w:p/>
    <w:p>
      <w:pPr>
        <w:jc w:val="center"/>
      </w:pPr>
      <w:r>
        <w:rPr>
          <w:i/>
          <w:sz w:val="16"/>
        </w:rPr>
        <w:t>End of initial blueprint — validate against the original tender before contractual use.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