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Q3 Financial Report</w:t>
      </w:r>
    </w:p>
    <w:p>
      <w:r>
        <w:t>The company's total revenue for the third quarter of 2026 was exactly $42,750,000.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