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MetricGuard Product and Engineering Plan</w:t>
      </w:r>
    </w:p>
    <w:p>
      <w:pPr>
        <w:pStyle w:val="Subtitle"/>
      </w:pPr>
      <w:r>
        <w:t>KPI reconciliation and definition drift</w:t>
      </w:r>
    </w:p>
    <w:p>
      <w:r>
        <w:t>Prepared for Aditya Beecha  |  22 September 2026  |  Version 1.0</w:t>
      </w:r>
    </w:p>
    <w:p>
      <w:r>
        <w:t>Build a SQL reconciliation workbench first. Compare existing KPI definitions on a frozen dataset, show the records and rule changes behind the gap, and track changes against a reviewed definition. Add broader BI integrations after the core calculation is demonstrably reliable.</w:t>
      </w:r>
    </w:p>
    <w:p>
      <w:r>
        <w:t>This pack turns the starting concept into a bounded product and engineering specification. It covers the PRD, user experience, architecture, data and API contracts, reconciliation method, security, evaluation, demo data and delivery plan. It is intended to guide implementation and review before application coding begins.</w:t>
      </w:r>
    </w:p>
    <w:p>
      <w:r>
        <w:t>The recommendation preserves the strongest part of the idea: investigating inconsistent business answers when the underlying data is structurally valid. It corrects assumptions about equivalent metric names, missing filter context and unsupported causal explanations.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840"/>
      </w:tblGrid>
      <w:tr>
        <w:trPr>
          <w:cantSplit/>
          <w:tblHeader/>
        </w:trPr>
        <w:tc>
          <w:tcPr>
            <w:tcW w:type="dxa" w:w="3384"/>
            <w:vAlign w:val="center"/>
            <w:tcMar>
              <w:top w:w="90" w:type="dxa"/>
              <w:bottom w:w="90" w:type="dxa"/>
              <w:left w:w="90" w:type="dxa"/>
              <w:right w:w="90" w:type="dxa"/>
            </w:tcMar>
            <w:shd w:fill="DBE5ED"/>
          </w:tcPr>
          <w:p>
            <w:pPr>
              <w:spacing w:after="0" w:line="257" w:lineRule="auto"/>
            </w:pPr>
            <w:r>
              <w:rPr>
                <w:b/>
                <w:color w:val="000000"/>
                <w:sz w:val="18"/>
              </w:rPr>
              <w:t>Decision</w:t>
            </w:r>
          </w:p>
        </w:tc>
        <w:tc>
          <w:tcPr>
            <w:tcW w:type="dxa" w:w="6840"/>
            <w:vAlign w:val="center"/>
            <w:tcMar>
              <w:top w:w="90" w:type="dxa"/>
              <w:bottom w:w="90" w:type="dxa"/>
              <w:left w:w="90" w:type="dxa"/>
              <w:right w:w="90" w:type="dxa"/>
            </w:tcMar>
            <w:shd w:fill="DBE5ED"/>
          </w:tcPr>
          <w:p>
            <w:pPr>
              <w:spacing w:after="0" w:line="257" w:lineRule="auto"/>
            </w:pPr>
            <w:r>
              <w:rPr>
                <w:b/>
                <w:color w:val="000000"/>
                <w:sz w:val="18"/>
              </w:rPr>
              <w:t>Recommended first release</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Domain and input</w:t>
            </w:r>
          </w:p>
        </w:tc>
        <w:tc>
          <w:tcPr>
            <w:tcW w:type="dxa" w:w="6840"/>
            <w:vAlign w:val="center"/>
            <w:tcMar>
              <w:top w:w="90" w:type="dxa"/>
              <w:bottom w:w="90" w:type="dxa"/>
              <w:left w:w="90" w:type="dxa"/>
              <w:right w:w="90" w:type="dxa"/>
            </w:tcMar>
            <w:shd w:fill="FFFFFF"/>
          </w:tcPr>
          <w:p>
            <w:pPr>
              <w:spacing w:after="0" w:line="257" w:lineRule="auto"/>
            </w:pPr>
            <w:r>
              <w:rPr>
                <w:sz w:val="18"/>
              </w:rPr>
              <w:t>Synthetic retail data and a declared DuckDB SQL subset</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Core result</w:t>
            </w:r>
          </w:p>
        </w:tc>
        <w:tc>
          <w:tcPr>
            <w:tcW w:type="dxa" w:w="6840"/>
            <w:vAlign w:val="center"/>
            <w:tcMar>
              <w:top w:w="90" w:type="dxa"/>
              <w:bottom w:w="90" w:type="dxa"/>
              <w:left w:w="90" w:type="dxa"/>
              <w:right w:w="90" w:type="dxa"/>
            </w:tcMar>
            <w:shd w:fill="F6F8FA"/>
          </w:tcPr>
          <w:p>
            <w:pPr>
              <w:spacing w:after="0" w:line="257" w:lineRule="auto"/>
            </w:pPr>
            <w:r>
              <w:rPr>
                <w:sz w:val="18"/>
              </w:rPr>
              <w:t>Same-snapshot comparison with row evidence and an ordered value bridge</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Drift</w:t>
            </w:r>
          </w:p>
        </w:tc>
        <w:tc>
          <w:tcPr>
            <w:tcW w:type="dxa" w:w="6840"/>
            <w:vAlign w:val="center"/>
            <w:tcMar>
              <w:top w:w="90" w:type="dxa"/>
              <w:bottom w:w="90" w:type="dxa"/>
              <w:left w:w="90" w:type="dxa"/>
              <w:right w:w="90" w:type="dxa"/>
            </w:tcMar>
            <w:shd w:fill="FFFFFF"/>
          </w:tcPr>
          <w:p>
            <w:pPr>
              <w:spacing w:after="0" w:line="257" w:lineRule="auto"/>
            </w:pPr>
            <w:r>
              <w:rPr>
                <w:sz w:val="18"/>
              </w:rPr>
              <w:t>Immutable definition versions and fixed-data replay</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Human review</w:t>
            </w:r>
          </w:p>
        </w:tc>
        <w:tc>
          <w:tcPr>
            <w:tcW w:type="dxa" w:w="6840"/>
            <w:vAlign w:val="center"/>
            <w:tcMar>
              <w:top w:w="90" w:type="dxa"/>
              <w:bottom w:w="90" w:type="dxa"/>
              <w:left w:w="90" w:type="dxa"/>
              <w:right w:w="90" w:type="dxa"/>
            </w:tcMar>
            <w:shd w:fill="F6F8FA"/>
          </w:tcPr>
          <w:p>
            <w:pPr>
              <w:spacing w:after="0" w:line="257" w:lineRule="auto"/>
            </w:pPr>
            <w:r>
              <w:rPr>
                <w:sz w:val="18"/>
              </w:rPr>
              <w:t>Confirm intended metric relationships and scoped baselines</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AI</w:t>
            </w:r>
          </w:p>
        </w:tc>
        <w:tc>
          <w:tcPr>
            <w:tcW w:type="dxa" w:w="6840"/>
            <w:vAlign w:val="center"/>
            <w:tcMar>
              <w:top w:w="90" w:type="dxa"/>
              <w:bottom w:w="90" w:type="dxa"/>
              <w:left w:w="90" w:type="dxa"/>
              <w:right w:w="90" w:type="dxa"/>
            </w:tcMar>
            <w:shd w:fill="FFFFFF"/>
          </w:tcPr>
          <w:p>
            <w:pPr>
              <w:spacing w:after="0" w:line="257" w:lineRule="auto"/>
            </w:pPr>
            <w:r>
              <w:rPr>
                <w:sz w:val="18"/>
              </w:rPr>
              <w:t>Optional later for metadata suggestions; no dependency in the core</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Delivery</w:t>
            </w:r>
          </w:p>
        </w:tc>
        <w:tc>
          <w:tcPr>
            <w:tcW w:type="dxa" w:w="6840"/>
            <w:vAlign w:val="center"/>
            <w:tcMar>
              <w:top w:w="90" w:type="dxa"/>
              <w:bottom w:w="90" w:type="dxa"/>
              <w:left w:w="90" w:type="dxa"/>
              <w:right w:w="90" w:type="dxa"/>
            </w:tcMar>
            <w:shd w:fill="F6F8FA"/>
          </w:tcPr>
          <w:p>
            <w:pPr>
              <w:spacing w:after="0" w:line="257" w:lineRule="auto"/>
            </w:pPr>
            <w:r>
              <w:rPr>
                <w:sz w:val="18"/>
              </w:rPr>
              <w:t>Local application with a reproducible investigation and honest limitations</w:t>
            </w:r>
          </w:p>
        </w:tc>
      </w:tr>
    </w:tbl>
    <w:p>
      <w:pPr>
        <w:spacing w:after="20"/>
      </w:pPr>
    </w:p>
    <w:p>
      <w:r>
        <w:t>Status: proposed specification. Worked-example arithmetic has been checked independently. No application implementation, customer validation, product benchmark or deployment is claimed.</w:t>
      </w:r>
    </w:p>
    <w:p>
      <w:r>
        <w:br w:type="page"/>
      </w:r>
    </w:p>
    <w:p>
      <w:pPr>
        <w:pStyle w:val="Heading1"/>
      </w:pPr>
      <w:r>
        <w:t>Reading guide</w:t>
      </w:r>
    </w:p>
    <w:p>
      <w:r>
        <w:t>Start with chapters 1 and 4 to understand the product and its calculation method. Read chapters 3, 5 and 6 before implementing the engine. Use chapters 8 to 10 as the acceptance and delivery contract. The editable companion folder includes the chapter sources, diagrams, fixture CSV, SQL examples and proposed JSON contracts.</w:t>
      </w:r>
    </w:p>
    <w:p>
      <w:r>
        <w:t>1 Product refinement and PRD</w:t>
      </w:r>
    </w:p>
    <w:p>
      <w:r>
        <w:t>2 User journeys and screen specifications</w:t>
      </w:r>
    </w:p>
    <w:p>
      <w:r>
        <w:t>3 Metric contract and SQL support</w:t>
      </w:r>
    </w:p>
    <w:p>
      <w:r>
        <w:t>4 Reconciliation and semantic drift method</w:t>
      </w:r>
    </w:p>
    <w:p>
      <w:r>
        <w:t>5 Architecture and deployment</w:t>
      </w:r>
    </w:p>
    <w:p>
      <w:r>
        <w:t>6 Data model and API contracts</w:t>
      </w:r>
    </w:p>
    <w:p>
      <w:r>
        <w:t>7 Security and operational requirements</w:t>
      </w:r>
    </w:p>
    <w:p>
      <w:r>
        <w:t>8 Demo data and evaluation plan</w:t>
      </w:r>
    </w:p>
    <w:p>
      <w:r>
        <w:t>9 Backlog and delivery roadmap</w:t>
      </w:r>
    </w:p>
    <w:p>
      <w:r>
        <w:t>10 Decisions risks and coding handoff</w:t>
      </w:r>
    </w:p>
    <w:p>
      <w:r>
        <w:t>11 Sources and glossary</w:t>
      </w:r>
    </w:p>
    <w:p>
      <w:r>
        <w:t>Sources are cited as S1 to S8 beside relevant capability statements and listed with direct links in chapter 11. Architecture choices and numerical targets are design recommendations. The synthetic example is deliberately small enough to verify by hand.</w:t>
      </w:r>
    </w:p>
    <w:p>
      <w:r>
        <w:br w:type="page"/>
      </w:r>
    </w:p>
    <w:p>
      <w:pPr>
        <w:pStyle w:val="Heading1"/>
      </w:pPr>
      <w:r>
        <w:t>1 Product refinement and PRD</w:t>
      </w:r>
    </w:p>
    <w:p>
      <w:pPr>
        <w:pStyle w:val="Heading2"/>
      </w:pPr>
      <w:r>
        <w:t>Recommended product</w:t>
      </w:r>
    </w:p>
    <w:p>
      <w:r>
        <w:t>Build MetricGuard as a KPI reconciliation workbench with definition history. Its main job is to help an analyst answer four questions: are these numbers intended to mean the same thing, how do their definitions differ, how much does that difference matter on a controlled dataset, and what evidence supports the explanation?</w:t>
      </w:r>
    </w:p>
    <w:p>
      <w:r>
        <w:t>The first deliverable should be a working investigation from imported SQL to a reproducible reconciliation report. This suits a data analyst portfolio because the substance is SQL interpretation, metric design, variance analysis, validation and communicating evidence. A polished interface supports that work; it does not replace it.</w:t>
      </w:r>
    </w:p>
    <w:p>
      <w:r>
        <w:rPr>
          <w:b/>
        </w:rPr>
        <w:t>Recommended positioning:</w:t>
      </w:r>
      <w:r>
        <w:t xml:space="preserve"> MetricGuard compares existing SQL KPI definitions, quantifies their differences on the same data snapshot, and tracks changes against an approved definition.</w:t>
      </w:r>
    </w:p>
    <w:p>
      <w:r>
        <w:rPr>
          <w:b/>
        </w:rPr>
        <w:t>Longer term positioning:</w:t>
      </w:r>
      <w:r>
        <w:t xml:space="preserve"> Discover related metrics across analytics tools and help teams reconcile their implementations before or alongside adopting a semantic layer. This is a product hypothesis, not a verified unserved market.</w:t>
      </w:r>
    </w:p>
    <w:p>
      <w:pPr>
        <w:pStyle w:val="Heading2"/>
      </w:pPr>
      <w:r>
        <w:t>Corrections to the original concept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384"/>
        <w:gridCol w:w="4320"/>
      </w:tblGrid>
      <w:tr>
        <w:trPr>
          <w:cantSplit/>
          <w:tblHeader/>
        </w:trPr>
        <w:tc>
          <w:tcPr>
            <w:tcW w:type="dxa" w:w="2520"/>
            <w:vAlign w:val="center"/>
            <w:tcMar>
              <w:top w:w="90" w:type="dxa"/>
              <w:bottom w:w="90" w:type="dxa"/>
              <w:left w:w="90" w:type="dxa"/>
              <w:right w:w="90" w:type="dxa"/>
            </w:tcMar>
            <w:shd w:fill="DBE5ED"/>
          </w:tcPr>
          <w:p>
            <w:pPr>
              <w:spacing w:after="0" w:line="257" w:lineRule="auto"/>
            </w:pPr>
            <w:r>
              <w:rPr>
                <w:b/>
                <w:color w:val="000000"/>
                <w:sz w:val="18"/>
              </w:rPr>
              <w:t>Original assumption</w:t>
            </w:r>
          </w:p>
        </w:tc>
        <w:tc>
          <w:tcPr>
            <w:tcW w:type="dxa" w:w="3384"/>
            <w:vAlign w:val="center"/>
            <w:tcMar>
              <w:top w:w="90" w:type="dxa"/>
              <w:bottom w:w="90" w:type="dxa"/>
              <w:left w:w="90" w:type="dxa"/>
              <w:right w:w="90" w:type="dxa"/>
            </w:tcMar>
            <w:shd w:fill="DBE5ED"/>
          </w:tcPr>
          <w:p>
            <w:pPr>
              <w:spacing w:after="0" w:line="257" w:lineRule="auto"/>
            </w:pPr>
            <w:r>
              <w:rPr>
                <w:b/>
                <w:color w:val="000000"/>
                <w:sz w:val="18"/>
              </w:rPr>
              <w:t>Correction</w:t>
            </w:r>
          </w:p>
        </w:tc>
        <w:tc>
          <w:tcPr>
            <w:tcW w:type="dxa" w:w="4320"/>
            <w:vAlign w:val="center"/>
            <w:tcMar>
              <w:top w:w="90" w:type="dxa"/>
              <w:bottom w:w="90" w:type="dxa"/>
              <w:left w:w="90" w:type="dxa"/>
              <w:right w:w="90" w:type="dxa"/>
            </w:tcMar>
            <w:shd w:fill="DBE5ED"/>
          </w:tcPr>
          <w:p>
            <w:pPr>
              <w:spacing w:after="0" w:line="257" w:lineRule="auto"/>
            </w:pPr>
            <w:r>
              <w:rPr>
                <w:b/>
                <w:color w:val="000000"/>
                <w:sz w:val="18"/>
              </w:rPr>
              <w:t>Product consequence</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Similar names imply the same KPI</w:t>
            </w:r>
          </w:p>
        </w:tc>
        <w:tc>
          <w:tcPr>
            <w:tcW w:type="dxa" w:w="3384"/>
            <w:vAlign w:val="center"/>
            <w:tcMar>
              <w:top w:w="90" w:type="dxa"/>
              <w:bottom w:w="90" w:type="dxa"/>
              <w:left w:w="90" w:type="dxa"/>
              <w:right w:w="90" w:type="dxa"/>
            </w:tcMar>
            <w:shd w:fill="FFFFFF"/>
          </w:tcPr>
          <w:p>
            <w:pPr>
              <w:spacing w:after="0" w:line="257" w:lineRule="auto"/>
            </w:pPr>
            <w:r>
              <w:rPr>
                <w:sz w:val="18"/>
              </w:rPr>
              <w:t>Net sales, booked sales and recognized revenue may be intentionally different</w:t>
            </w:r>
          </w:p>
        </w:tc>
        <w:tc>
          <w:tcPr>
            <w:tcW w:type="dxa" w:w="4320"/>
            <w:vAlign w:val="center"/>
            <w:tcMar>
              <w:top w:w="90" w:type="dxa"/>
              <w:bottom w:w="90" w:type="dxa"/>
              <w:left w:w="90" w:type="dxa"/>
              <w:right w:w="90" w:type="dxa"/>
            </w:tcMar>
            <w:shd w:fill="FFFFFF"/>
          </w:tcPr>
          <w:p>
            <w:pPr>
              <w:spacing w:after="0" w:line="257" w:lineRule="auto"/>
            </w:pPr>
            <w:r>
              <w:rPr>
                <w:sz w:val="18"/>
              </w:rPr>
              <w:t>Suggest related concepts and ask an analyst to confirm the intended relationship</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Completed equals not Cancelled</w:t>
            </w:r>
          </w:p>
        </w:tc>
        <w:tc>
          <w:tcPr>
            <w:tcW w:type="dxa" w:w="3384"/>
            <w:vAlign w:val="center"/>
            <w:tcMar>
              <w:top w:w="90" w:type="dxa"/>
              <w:bottom w:w="90" w:type="dxa"/>
              <w:left w:w="90" w:type="dxa"/>
              <w:right w:w="90" w:type="dxa"/>
            </w:tcMar>
            <w:shd w:fill="F6F8FA"/>
          </w:tcPr>
          <w:p>
            <w:pPr>
              <w:spacing w:after="0" w:line="257" w:lineRule="auto"/>
            </w:pPr>
            <w:r>
              <w:rPr>
                <w:sz w:val="18"/>
              </w:rPr>
              <w:t>Not Cancelled can include Pending and other statuses; SQL NULL also needs explicit treatment</w:t>
            </w:r>
          </w:p>
        </w:tc>
        <w:tc>
          <w:tcPr>
            <w:tcW w:type="dxa" w:w="4320"/>
            <w:vAlign w:val="center"/>
            <w:tcMar>
              <w:top w:w="90" w:type="dxa"/>
              <w:bottom w:w="90" w:type="dxa"/>
              <w:left w:w="90" w:type="dxa"/>
              <w:right w:w="90" w:type="dxa"/>
            </w:tcMar>
            <w:shd w:fill="F6F8FA"/>
          </w:tcPr>
          <w:p>
            <w:pPr>
              <w:spacing w:after="0" w:line="257" w:lineRule="auto"/>
            </w:pPr>
            <w:r>
              <w:rPr>
                <w:sz w:val="18"/>
              </w:rPr>
              <w:t>Show the exact predicate and affected statuses</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Date attribution can be inferred from the example</w:t>
            </w:r>
          </w:p>
        </w:tc>
        <w:tc>
          <w:tcPr>
            <w:tcW w:type="dxa" w:w="3384"/>
            <w:vAlign w:val="center"/>
            <w:tcMar>
              <w:top w:w="90" w:type="dxa"/>
              <w:bottom w:w="90" w:type="dxa"/>
              <w:left w:w="90" w:type="dxa"/>
              <w:right w:w="90" w:type="dxa"/>
            </w:tcMar>
            <w:shd w:fill="FFFFFF"/>
          </w:tcPr>
          <w:p>
            <w:pPr>
              <w:spacing w:after="0" w:line="257" w:lineRule="auto"/>
            </w:pPr>
            <w:r>
              <w:rPr>
                <w:sz w:val="18"/>
              </w:rPr>
              <w:t>The original snippets contain no date predicate</w:t>
            </w:r>
          </w:p>
        </w:tc>
        <w:tc>
          <w:tcPr>
            <w:tcW w:type="dxa" w:w="4320"/>
            <w:vAlign w:val="center"/>
            <w:tcMar>
              <w:top w:w="90" w:type="dxa"/>
              <w:bottom w:w="90" w:type="dxa"/>
              <w:left w:w="90" w:type="dxa"/>
              <w:right w:w="90" w:type="dxa"/>
            </w:tcMar>
            <w:shd w:fill="FFFFFF"/>
          </w:tcPr>
          <w:p>
            <w:pPr>
              <w:spacing w:after="0" w:line="257" w:lineRule="auto"/>
            </w:pPr>
            <w:r>
              <w:rPr>
                <w:sz w:val="18"/>
              </w:rPr>
              <w:t>Require date field, period and timezone metadata or mark them unknown</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Different totals imply a definition problem</w:t>
            </w:r>
          </w:p>
        </w:tc>
        <w:tc>
          <w:tcPr>
            <w:tcW w:type="dxa" w:w="3384"/>
            <w:vAlign w:val="center"/>
            <w:tcMar>
              <w:top w:w="90" w:type="dxa"/>
              <w:bottom w:w="90" w:type="dxa"/>
              <w:left w:w="90" w:type="dxa"/>
              <w:right w:w="90" w:type="dxa"/>
            </w:tcMar>
            <w:shd w:fill="F6F8FA"/>
          </w:tcPr>
          <w:p>
            <w:pPr>
              <w:spacing w:after="0" w:line="257" w:lineRule="auto"/>
            </w:pPr>
            <w:r>
              <w:rPr>
                <w:sz w:val="18"/>
              </w:rPr>
              <w:t>Different snapshots, permissions, scope or source transformations can also change totals</w:t>
            </w:r>
          </w:p>
        </w:tc>
        <w:tc>
          <w:tcPr>
            <w:tcW w:type="dxa" w:w="4320"/>
            <w:vAlign w:val="center"/>
            <w:tcMar>
              <w:top w:w="90" w:type="dxa"/>
              <w:bottom w:w="90" w:type="dxa"/>
              <w:left w:w="90" w:type="dxa"/>
              <w:right w:w="90" w:type="dxa"/>
            </w:tcMar>
            <w:shd w:fill="F6F8FA"/>
          </w:tcPr>
          <w:p>
            <w:pPr>
              <w:spacing w:after="0" w:line="257" w:lineRule="auto"/>
            </w:pPr>
            <w:r>
              <w:rPr>
                <w:sz w:val="18"/>
              </w:rPr>
              <w:t>Check comparability before attributing an impact</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Matching totals prove matching definitions</w:t>
            </w:r>
          </w:p>
        </w:tc>
        <w:tc>
          <w:tcPr>
            <w:tcW w:type="dxa" w:w="3384"/>
            <w:vAlign w:val="center"/>
            <w:tcMar>
              <w:top w:w="90" w:type="dxa"/>
              <w:bottom w:w="90" w:type="dxa"/>
              <w:left w:w="90" w:type="dxa"/>
              <w:right w:w="90" w:type="dxa"/>
            </w:tcMar>
            <w:shd w:fill="FFFFFF"/>
          </w:tcPr>
          <w:p>
            <w:pPr>
              <w:spacing w:after="0" w:line="257" w:lineRule="auto"/>
            </w:pPr>
            <w:r>
              <w:rPr>
                <w:sz w:val="18"/>
              </w:rPr>
              <w:t>Different formulas can agree on a dataset with no refunds or pending orders</w:t>
            </w:r>
          </w:p>
        </w:tc>
        <w:tc>
          <w:tcPr>
            <w:tcW w:type="dxa" w:w="4320"/>
            <w:vAlign w:val="center"/>
            <w:tcMar>
              <w:top w:w="90" w:type="dxa"/>
              <w:bottom w:w="90" w:type="dxa"/>
              <w:left w:w="90" w:type="dxa"/>
              <w:right w:w="90" w:type="dxa"/>
            </w:tcMar>
            <w:shd w:fill="FFFFFF"/>
          </w:tcPr>
          <w:p>
            <w:pPr>
              <w:spacing w:after="0" w:line="257" w:lineRule="auto"/>
            </w:pPr>
            <w:r>
              <w:rPr>
                <w:sz w:val="18"/>
              </w:rPr>
              <w:t>Show definition status separately from observed value status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An LLM can explain the gap</w:t>
            </w:r>
          </w:p>
        </w:tc>
        <w:tc>
          <w:tcPr>
            <w:tcW w:type="dxa" w:w="3384"/>
            <w:vAlign w:val="center"/>
            <w:tcMar>
              <w:top w:w="90" w:type="dxa"/>
              <w:bottom w:w="90" w:type="dxa"/>
              <w:left w:w="90" w:type="dxa"/>
              <w:right w:w="90" w:type="dxa"/>
            </w:tcMar>
            <w:shd w:fill="F6F8FA"/>
          </w:tcPr>
          <w:p>
            <w:pPr>
              <w:spacing w:after="0" w:line="257" w:lineRule="auto"/>
            </w:pPr>
            <w:r>
              <w:rPr>
                <w:sz w:val="18"/>
              </w:rPr>
              <w:t>It can invent causes and percentages</w:t>
            </w:r>
          </w:p>
        </w:tc>
        <w:tc>
          <w:tcPr>
            <w:tcW w:type="dxa" w:w="4320"/>
            <w:vAlign w:val="center"/>
            <w:tcMar>
              <w:top w:w="90" w:type="dxa"/>
              <w:bottom w:w="90" w:type="dxa"/>
              <w:left w:w="90" w:type="dxa"/>
              <w:right w:w="90" w:type="dxa"/>
            </w:tcMar>
            <w:shd w:fill="F6F8FA"/>
          </w:tcPr>
          <w:p>
            <w:pPr>
              <w:spacing w:after="0" w:line="257" w:lineRule="auto"/>
            </w:pPr>
            <w:r>
              <w:rPr>
                <w:sz w:val="18"/>
              </w:rPr>
              <w:t>Compute evidence first; use templates for the initial release</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Contributions are inherently unique</w:t>
            </w:r>
          </w:p>
        </w:tc>
        <w:tc>
          <w:tcPr>
            <w:tcW w:type="dxa" w:w="3384"/>
            <w:vAlign w:val="center"/>
            <w:tcMar>
              <w:top w:w="90" w:type="dxa"/>
              <w:bottom w:w="90" w:type="dxa"/>
              <w:left w:w="90" w:type="dxa"/>
              <w:right w:w="90" w:type="dxa"/>
            </w:tcMar>
            <w:shd w:fill="FFFFFF"/>
          </w:tcPr>
          <w:p>
            <w:pPr>
              <w:spacing w:after="0" w:line="257" w:lineRule="auto"/>
            </w:pPr>
            <w:r>
              <w:rPr>
                <w:sz w:val="18"/>
              </w:rPr>
              <w:t>Refunds, filters and date rules can interact</w:t>
            </w:r>
          </w:p>
        </w:tc>
        <w:tc>
          <w:tcPr>
            <w:tcW w:type="dxa" w:w="4320"/>
            <w:vAlign w:val="center"/>
            <w:tcMar>
              <w:top w:w="90" w:type="dxa"/>
              <w:bottom w:w="90" w:type="dxa"/>
              <w:left w:w="90" w:type="dxa"/>
              <w:right w:w="90" w:type="dxa"/>
            </w:tcMar>
            <w:shd w:fill="FFFFFF"/>
          </w:tcPr>
          <w:p>
            <w:pPr>
              <w:spacing w:after="0" w:line="257" w:lineRule="auto"/>
            </w:pPr>
            <w:r>
              <w:rPr>
                <w:sz w:val="18"/>
              </w:rPr>
              <w:t>Declare the decomposition method and its order</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All BI formulas are easy to translate</w:t>
            </w:r>
          </w:p>
        </w:tc>
        <w:tc>
          <w:tcPr>
            <w:tcW w:type="dxa" w:w="3384"/>
            <w:vAlign w:val="center"/>
            <w:tcMar>
              <w:top w:w="90" w:type="dxa"/>
              <w:bottom w:w="90" w:type="dxa"/>
              <w:left w:w="90" w:type="dxa"/>
              <w:right w:w="90" w:type="dxa"/>
            </w:tcMar>
            <w:shd w:fill="F6F8FA"/>
          </w:tcPr>
          <w:p>
            <w:pPr>
              <w:spacing w:after="0" w:line="257" w:lineRule="auto"/>
            </w:pPr>
            <w:r>
              <w:rPr>
                <w:sz w:val="18"/>
              </w:rPr>
              <w:t>DAX depends on model context; spreadsheets have their own evaluation behavior</w:t>
            </w:r>
          </w:p>
        </w:tc>
        <w:tc>
          <w:tcPr>
            <w:tcW w:type="dxa" w:w="4320"/>
            <w:vAlign w:val="center"/>
            <w:tcMar>
              <w:top w:w="90" w:type="dxa"/>
              <w:bottom w:w="90" w:type="dxa"/>
              <w:left w:w="90" w:type="dxa"/>
              <w:right w:w="90" w:type="dxa"/>
            </w:tcMar>
            <w:shd w:fill="F6F8FA"/>
          </w:tcPr>
          <w:p>
            <w:pPr>
              <w:spacing w:after="0" w:line="257" w:lineRule="auto"/>
            </w:pPr>
            <w:r>
              <w:rPr>
                <w:sz w:val="18"/>
              </w:rPr>
              <w:t>Start with SQL and add explicitly bounded adapters</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There should be one canonical Revenue</w:t>
            </w:r>
          </w:p>
        </w:tc>
        <w:tc>
          <w:tcPr>
            <w:tcW w:type="dxa" w:w="3384"/>
            <w:vAlign w:val="center"/>
            <w:tcMar>
              <w:top w:w="90" w:type="dxa"/>
              <w:bottom w:w="90" w:type="dxa"/>
              <w:left w:w="90" w:type="dxa"/>
              <w:right w:w="90" w:type="dxa"/>
            </w:tcMar>
            <w:shd w:fill="FFFFFF"/>
          </w:tcPr>
          <w:p>
            <w:pPr>
              <w:spacing w:after="0" w:line="257" w:lineRule="auto"/>
            </w:pPr>
            <w:r>
              <w:rPr>
                <w:sz w:val="18"/>
              </w:rPr>
              <w:t>Several definitions can be valid for different business purposes</w:t>
            </w:r>
          </w:p>
        </w:tc>
        <w:tc>
          <w:tcPr>
            <w:tcW w:type="dxa" w:w="4320"/>
            <w:vAlign w:val="center"/>
            <w:tcMar>
              <w:top w:w="90" w:type="dxa"/>
              <w:bottom w:w="90" w:type="dxa"/>
              <w:left w:w="90" w:type="dxa"/>
              <w:right w:w="90" w:type="dxa"/>
            </w:tcMar>
            <w:shd w:fill="FFFFFF"/>
          </w:tcPr>
          <w:p>
            <w:pPr>
              <w:spacing w:after="0" w:line="257" w:lineRule="auto"/>
            </w:pPr>
            <w:r>
              <w:rPr>
                <w:sz w:val="18"/>
              </w:rPr>
              <w:t>Approve definitions within a stated scope and allow intentional variants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A changed definition tells when meaning changed</w:t>
            </w:r>
          </w:p>
        </w:tc>
        <w:tc>
          <w:tcPr>
            <w:tcW w:type="dxa" w:w="3384"/>
            <w:vAlign w:val="center"/>
            <w:tcMar>
              <w:top w:w="90" w:type="dxa"/>
              <w:bottom w:w="90" w:type="dxa"/>
              <w:left w:w="90" w:type="dxa"/>
              <w:right w:w="90" w:type="dxa"/>
            </w:tcMar>
            <w:shd w:fill="F6F8FA"/>
          </w:tcPr>
          <w:p>
            <w:pPr>
              <w:spacing w:after="0" w:line="257" w:lineRule="auto"/>
            </w:pPr>
            <w:r>
              <w:rPr>
                <w:sz w:val="18"/>
              </w:rPr>
              <w:t>Import timestamps only show when MetricGuard observed a change</w:t>
            </w:r>
          </w:p>
        </w:tc>
        <w:tc>
          <w:tcPr>
            <w:tcW w:type="dxa" w:w="4320"/>
            <w:vAlign w:val="center"/>
            <w:tcMar>
              <w:top w:w="90" w:type="dxa"/>
              <w:bottom w:w="90" w:type="dxa"/>
              <w:left w:w="90" w:type="dxa"/>
              <w:right w:w="90" w:type="dxa"/>
            </w:tcMar>
            <w:shd w:fill="F6F8FA"/>
          </w:tcPr>
          <w:p>
            <w:pPr>
              <w:spacing w:after="0" w:line="257" w:lineRule="auto"/>
            </w:pPr>
            <w:r>
              <w:rPr>
                <w:sz w:val="18"/>
              </w:rPr>
              <w:t>Separate observed time, source change time and business effective time</w:t>
            </w:r>
          </w:p>
        </w:tc>
      </w:tr>
    </w:tbl>
    <w:p>
      <w:pPr>
        <w:spacing w:after="20"/>
      </w:pPr>
    </w:p>
    <w:p>
      <w:r>
        <w:t>Use single quotes for SQL string literals. Label the finance example as an illustrative paid net sales definition; payment alone does not establish an accounting revenue recognition policy.</w:t>
      </w:r>
    </w:p>
    <w:p>
      <w:pPr>
        <w:pStyle w:val="Heading2"/>
      </w:pPr>
      <w:r>
        <w:t>Problem and users</w:t>
      </w:r>
    </w:p>
    <w:p>
      <w:r>
        <w:t>The immediate problem is repeated manual investigation when reports with apparently related KPI names disagree. The work includes finding the queries, resolving hidden filters, checking refresh cutoffs and identifying the rows that contribute to the gap. Anomaly detection can signal a change without establishing why it happened.</w:t>
      </w:r>
    </w:p>
    <w:p>
      <w:r>
        <w:t>The primary user is a data or BI analyst investigating a specific discrepancy. A second role, the metric owner, decides what the KPI should mean and whether a difference is intentional. A reviewer consumes the evidence and checks the proposed resolution. In the local portfolio release one person may act in all three roles; the interface must not imply independent approval occurred.</w:t>
      </w:r>
    </w:p>
    <w:p>
      <w:r>
        <w:t>The best initial setting is one online retail business with an order-level extract and several SQL reports. This keeps the business meaning understandable while exposing realistic refunds, order statuses and date attribution issues. Avoid presenting that setting as representative of all industries.</w:t>
      </w:r>
    </w:p>
    <w:p>
      <w:r>
        <w:rPr>
          <w:b/>
        </w:rPr>
        <w:t>Job to be done:</w:t>
      </w:r>
      <w:r>
        <w:t xml:space="preserve"> When two revenue reports disagree, help me isolate the definition differences on comparable data, show the contributing records, and document the accepted interpretation so that the same dispute is easier to resolve next time.</w:t>
      </w:r>
    </w:p>
    <w:p>
      <w:pPr>
        <w:pStyle w:val="Heading2"/>
      </w:pPr>
      <w:r>
        <w:t>Existing alternatives and differentiation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384"/>
        <w:gridCol w:w="4320"/>
      </w:tblGrid>
      <w:tr>
        <w:trPr>
          <w:cantSplit/>
          <w:tblHeader/>
        </w:trPr>
        <w:tc>
          <w:tcPr>
            <w:tcW w:type="dxa" w:w="2520"/>
            <w:vAlign w:val="center"/>
            <w:tcMar>
              <w:top w:w="90" w:type="dxa"/>
              <w:bottom w:w="90" w:type="dxa"/>
              <w:left w:w="90" w:type="dxa"/>
              <w:right w:w="90" w:type="dxa"/>
            </w:tcMar>
            <w:shd w:fill="DBE5ED"/>
          </w:tcPr>
          <w:p>
            <w:pPr>
              <w:spacing w:after="0" w:line="257" w:lineRule="auto"/>
            </w:pPr>
            <w:r>
              <w:rPr>
                <w:b/>
                <w:color w:val="000000"/>
                <w:sz w:val="18"/>
              </w:rPr>
              <w:t>Approach</w:t>
            </w:r>
          </w:p>
        </w:tc>
        <w:tc>
          <w:tcPr>
            <w:tcW w:type="dxa" w:w="3384"/>
            <w:vAlign w:val="center"/>
            <w:tcMar>
              <w:top w:w="90" w:type="dxa"/>
              <w:bottom w:w="90" w:type="dxa"/>
              <w:left w:w="90" w:type="dxa"/>
              <w:right w:w="90" w:type="dxa"/>
            </w:tcMar>
            <w:shd w:fill="DBE5ED"/>
          </w:tcPr>
          <w:p>
            <w:pPr>
              <w:spacing w:after="0" w:line="257" w:lineRule="auto"/>
            </w:pPr>
            <w:r>
              <w:rPr>
                <w:b/>
                <w:color w:val="000000"/>
                <w:sz w:val="18"/>
              </w:rPr>
              <w:t>Established purpose</w:t>
            </w:r>
          </w:p>
        </w:tc>
        <w:tc>
          <w:tcPr>
            <w:tcW w:type="dxa" w:w="4320"/>
            <w:vAlign w:val="center"/>
            <w:tcMar>
              <w:top w:w="90" w:type="dxa"/>
              <w:bottom w:w="90" w:type="dxa"/>
              <w:left w:w="90" w:type="dxa"/>
              <w:right w:w="90" w:type="dxa"/>
            </w:tcMar>
            <w:shd w:fill="DBE5ED"/>
          </w:tcPr>
          <w:p>
            <w:pPr>
              <w:spacing w:after="0" w:line="257" w:lineRule="auto"/>
            </w:pPr>
            <w:r>
              <w:rPr>
                <w:b/>
                <w:color w:val="000000"/>
                <w:sz w:val="18"/>
              </w:rPr>
              <w:t>MetricGuard design implication</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dbt Semantic Layer</w:t>
            </w:r>
          </w:p>
        </w:tc>
        <w:tc>
          <w:tcPr>
            <w:tcW w:type="dxa" w:w="3384"/>
            <w:vAlign w:val="center"/>
            <w:tcMar>
              <w:top w:w="90" w:type="dxa"/>
              <w:bottom w:w="90" w:type="dxa"/>
              <w:left w:w="90" w:type="dxa"/>
              <w:right w:w="90" w:type="dxa"/>
            </w:tcMar>
            <w:shd w:fill="FFFFFF"/>
          </w:tcPr>
          <w:p>
            <w:pPr>
              <w:spacing w:after="0" w:line="257" w:lineRule="auto"/>
            </w:pPr>
            <w:r>
              <w:rPr>
                <w:sz w:val="18"/>
              </w:rPr>
              <w:t>Central definition and querying of metrics using MetricFlow [S1]</w:t>
            </w:r>
          </w:p>
        </w:tc>
        <w:tc>
          <w:tcPr>
            <w:tcW w:type="dxa" w:w="4320"/>
            <w:vAlign w:val="center"/>
            <w:tcMar>
              <w:top w:w="90" w:type="dxa"/>
              <w:bottom w:w="90" w:type="dxa"/>
              <w:left w:w="90" w:type="dxa"/>
              <w:right w:w="90" w:type="dxa"/>
            </w:tcMar>
            <w:shd w:fill="FFFFFF"/>
          </w:tcPr>
          <w:p>
            <w:pPr>
              <w:spacing w:after="0" w:line="257" w:lineRule="auto"/>
            </w:pPr>
            <w:r>
              <w:rPr>
                <w:sz w:val="18"/>
              </w:rPr>
              <w:t>Complement adoption by investigating existing definitions and exporting an approved specification</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Soda observability and contracts</w:t>
            </w:r>
          </w:p>
        </w:tc>
        <w:tc>
          <w:tcPr>
            <w:tcW w:type="dxa" w:w="3384"/>
            <w:vAlign w:val="center"/>
            <w:tcMar>
              <w:top w:w="90" w:type="dxa"/>
              <w:bottom w:w="90" w:type="dxa"/>
              <w:left w:w="90" w:type="dxa"/>
              <w:right w:w="90" w:type="dxa"/>
            </w:tcMar>
            <w:shd w:fill="F6F8FA"/>
          </w:tcPr>
          <w:p>
            <w:pPr>
              <w:spacing w:after="0" w:line="257" w:lineRule="auto"/>
            </w:pPr>
            <w:r>
              <w:rPr>
                <w:sz w:val="18"/>
              </w:rPr>
              <w:t>Monitor data behavior and verify declared expectations [S2]</w:t>
            </w:r>
          </w:p>
        </w:tc>
        <w:tc>
          <w:tcPr>
            <w:tcW w:type="dxa" w:w="4320"/>
            <w:vAlign w:val="center"/>
            <w:tcMar>
              <w:top w:w="90" w:type="dxa"/>
              <w:bottom w:w="90" w:type="dxa"/>
              <w:left w:w="90" w:type="dxa"/>
              <w:right w:w="90" w:type="dxa"/>
            </w:tcMar>
            <w:shd w:fill="F6F8FA"/>
          </w:tcPr>
          <w:p>
            <w:pPr>
              <w:spacing w:after="0" w:line="257" w:lineRule="auto"/>
            </w:pPr>
            <w:r>
              <w:rPr>
                <w:sz w:val="18"/>
              </w:rPr>
              <w:t>Reuse the expectation concept but make the investigation begin with existing logic</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Datafold data diff and monitors</w:t>
            </w:r>
          </w:p>
        </w:tc>
        <w:tc>
          <w:tcPr>
            <w:tcW w:type="dxa" w:w="3384"/>
            <w:vAlign w:val="center"/>
            <w:tcMar>
              <w:top w:w="90" w:type="dxa"/>
              <w:bottom w:w="90" w:type="dxa"/>
              <w:left w:w="90" w:type="dxa"/>
              <w:right w:w="90" w:type="dxa"/>
            </w:tcMar>
            <w:shd w:fill="FFFFFF"/>
          </w:tcPr>
          <w:p>
            <w:pPr>
              <w:spacing w:after="0" w:line="257" w:lineRule="auto"/>
            </w:pPr>
            <w:r>
              <w:rPr>
                <w:sz w:val="18"/>
              </w:rPr>
              <w:t>Compare datasets and monitor changes [S3]</w:t>
            </w:r>
          </w:p>
        </w:tc>
        <w:tc>
          <w:tcPr>
            <w:tcW w:type="dxa" w:w="4320"/>
            <w:vAlign w:val="center"/>
            <w:tcMar>
              <w:top w:w="90" w:type="dxa"/>
              <w:bottom w:w="90" w:type="dxa"/>
              <w:left w:w="90" w:type="dxa"/>
              <w:right w:w="90" w:type="dxa"/>
            </w:tcMar>
            <w:shd w:fill="FFFFFF"/>
          </w:tcPr>
          <w:p>
            <w:pPr>
              <w:spacing w:after="0" w:line="257" w:lineRule="auto"/>
            </w:pPr>
            <w:r>
              <w:rPr>
                <w:sz w:val="18"/>
              </w:rPr>
              <w:t>A data diff is adjacent; add metric intent, rule differences and evidence connecting rules to values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SQLGlot</w:t>
            </w:r>
          </w:p>
        </w:tc>
        <w:tc>
          <w:tcPr>
            <w:tcW w:type="dxa" w:w="3384"/>
            <w:vAlign w:val="center"/>
            <w:tcMar>
              <w:top w:w="90" w:type="dxa"/>
              <w:bottom w:w="90" w:type="dxa"/>
              <w:left w:w="90" w:type="dxa"/>
              <w:right w:w="90" w:type="dxa"/>
            </w:tcMar>
            <w:shd w:fill="F6F8FA"/>
          </w:tcPr>
          <w:p>
            <w:pPr>
              <w:spacing w:after="0" w:line="257" w:lineRule="auto"/>
            </w:pPr>
            <w:r>
              <w:rPr>
                <w:sz w:val="18"/>
              </w:rPr>
              <w:t>Parse, inspect, transform and compare SQL structures [S4]</w:t>
            </w:r>
          </w:p>
        </w:tc>
        <w:tc>
          <w:tcPr>
            <w:tcW w:type="dxa" w:w="4320"/>
            <w:vAlign w:val="center"/>
            <w:tcMar>
              <w:top w:w="90" w:type="dxa"/>
              <w:bottom w:w="90" w:type="dxa"/>
              <w:left w:w="90" w:type="dxa"/>
              <w:right w:w="90" w:type="dxa"/>
            </w:tcMar>
            <w:shd w:fill="F6F8FA"/>
          </w:tcPr>
          <w:p>
            <w:pPr>
              <w:spacing w:after="0" w:line="257" w:lineRule="auto"/>
            </w:pPr>
            <w:r>
              <w:rPr>
                <w:sz w:val="18"/>
              </w:rPr>
              <w:t>Use it as a component, not as evidence that all business meanings are understood</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Manual SQL and spreadsheet reconciliation</w:t>
            </w:r>
          </w:p>
        </w:tc>
        <w:tc>
          <w:tcPr>
            <w:tcW w:type="dxa" w:w="3384"/>
            <w:vAlign w:val="center"/>
            <w:tcMar>
              <w:top w:w="90" w:type="dxa"/>
              <w:bottom w:w="90" w:type="dxa"/>
              <w:left w:w="90" w:type="dxa"/>
              <w:right w:w="90" w:type="dxa"/>
            </w:tcMar>
            <w:shd w:fill="FFFFFF"/>
          </w:tcPr>
          <w:p>
            <w:pPr>
              <w:spacing w:after="0" w:line="257" w:lineRule="auto"/>
            </w:pPr>
            <w:r>
              <w:rPr>
                <w:sz w:val="18"/>
              </w:rPr>
              <w:t>Flexible investigation by an analyst</w:t>
            </w:r>
          </w:p>
        </w:tc>
        <w:tc>
          <w:tcPr>
            <w:tcW w:type="dxa" w:w="4320"/>
            <w:vAlign w:val="center"/>
            <w:tcMar>
              <w:top w:w="90" w:type="dxa"/>
              <w:bottom w:w="90" w:type="dxa"/>
              <w:left w:w="90" w:type="dxa"/>
              <w:right w:w="90" w:type="dxa"/>
            </w:tcMar>
            <w:shd w:fill="FFFFFF"/>
          </w:tcPr>
          <w:p>
            <w:pPr>
              <w:spacing w:after="0" w:line="257" w:lineRule="auto"/>
            </w:pPr>
            <w:r>
              <w:rPr>
                <w:sz w:val="18"/>
              </w:rPr>
              <w:t>Reduce repeated setup while preserving the analyst's ability to inspect every calculation</w:t>
            </w:r>
          </w:p>
        </w:tc>
      </w:tr>
    </w:tbl>
    <w:p>
      <w:pPr>
        <w:spacing w:after="20"/>
      </w:pPr>
    </w:p>
    <w:p>
      <w:r>
        <w:t>These sources establish overlap. They do not establish that competing products cannot perform a particular investigation. The defensible portfolio contribution is the end-to-end workflow and its evaluated limits, not a claim to have invented metric governance.</w:t>
      </w:r>
    </w:p>
    <w:p>
      <w:pPr>
        <w:pStyle w:val="Heading2"/>
      </w:pPr>
      <w:r>
        <w:t>Outcomes and success measures</w:t>
      </w:r>
    </w:p>
    <w:p>
      <w:r>
        <w:t>The primary outcome is a completed, reproducible reconciliation case with a reviewed relationship between definitions. A successful investigation can conclude that the metrics are intentionally different or that there is insufficient evidence; it need not conclude that a report is wrong.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384"/>
        <w:gridCol w:w="4320"/>
      </w:tblGrid>
      <w:tr>
        <w:trPr>
          <w:cantSplit/>
          <w:tblHeader/>
        </w:trPr>
        <w:tc>
          <w:tcPr>
            <w:tcW w:type="dxa" w:w="2520"/>
            <w:vAlign w:val="center"/>
            <w:tcMar>
              <w:top w:w="90" w:type="dxa"/>
              <w:bottom w:w="90" w:type="dxa"/>
              <w:left w:w="90" w:type="dxa"/>
              <w:right w:w="90" w:type="dxa"/>
            </w:tcMar>
            <w:shd w:fill="DBE5ED"/>
          </w:tcPr>
          <w:p>
            <w:pPr>
              <w:spacing w:after="0" w:line="257" w:lineRule="auto"/>
            </w:pPr>
            <w:r>
              <w:rPr>
                <w:b/>
                <w:color w:val="000000"/>
                <w:sz w:val="18"/>
              </w:rPr>
              <w:t>Measure</w:t>
            </w:r>
          </w:p>
        </w:tc>
        <w:tc>
          <w:tcPr>
            <w:tcW w:type="dxa" w:w="3384"/>
            <w:vAlign w:val="center"/>
            <w:tcMar>
              <w:top w:w="90" w:type="dxa"/>
              <w:bottom w:w="90" w:type="dxa"/>
              <w:left w:w="90" w:type="dxa"/>
              <w:right w:w="90" w:type="dxa"/>
            </w:tcMar>
            <w:shd w:fill="DBE5ED"/>
          </w:tcPr>
          <w:p>
            <w:pPr>
              <w:spacing w:after="0" w:line="257" w:lineRule="auto"/>
            </w:pPr>
            <w:r>
              <w:rPr>
                <w:b/>
                <w:color w:val="000000"/>
                <w:sz w:val="18"/>
              </w:rPr>
              <w:t>Proposed release gate</w:t>
            </w:r>
          </w:p>
        </w:tc>
        <w:tc>
          <w:tcPr>
            <w:tcW w:type="dxa" w:w="4320"/>
            <w:vAlign w:val="center"/>
            <w:tcMar>
              <w:top w:w="90" w:type="dxa"/>
              <w:bottom w:w="90" w:type="dxa"/>
              <w:left w:w="90" w:type="dxa"/>
              <w:right w:w="90" w:type="dxa"/>
            </w:tcMar>
            <w:shd w:fill="DBE5ED"/>
          </w:tcPr>
          <w:p>
            <w:pPr>
              <w:spacing w:after="0" w:line="257" w:lineRule="auto"/>
            </w:pPr>
            <w:r>
              <w:rPr>
                <w:b/>
                <w:color w:val="000000"/>
                <w:sz w:val="18"/>
              </w:rPr>
              <w:t>How to measure</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Supported fixture correctness</w:t>
            </w:r>
          </w:p>
        </w:tc>
        <w:tc>
          <w:tcPr>
            <w:tcW w:type="dxa" w:w="3384"/>
            <w:vAlign w:val="center"/>
            <w:tcMar>
              <w:top w:w="90" w:type="dxa"/>
              <w:bottom w:w="90" w:type="dxa"/>
              <w:left w:w="90" w:type="dxa"/>
              <w:right w:w="90" w:type="dxa"/>
            </w:tcMar>
            <w:shd w:fill="FFFFFF"/>
          </w:tcPr>
          <w:p>
            <w:pPr>
              <w:spacing w:after="0" w:line="257" w:lineRule="auto"/>
            </w:pPr>
            <w:r>
              <w:rPr>
                <w:sz w:val="18"/>
              </w:rPr>
              <w:t>All declared supported golden cases match expected results</w:t>
            </w:r>
          </w:p>
        </w:tc>
        <w:tc>
          <w:tcPr>
            <w:tcW w:type="dxa" w:w="4320"/>
            <w:vAlign w:val="center"/>
            <w:tcMar>
              <w:top w:w="90" w:type="dxa"/>
              <w:bottom w:w="90" w:type="dxa"/>
              <w:left w:w="90" w:type="dxa"/>
              <w:right w:w="90" w:type="dxa"/>
            </w:tcMar>
            <w:shd w:fill="FFFFFF"/>
          </w:tcPr>
          <w:p>
            <w:pPr>
              <w:spacing w:after="0" w:line="257" w:lineRule="auto"/>
            </w:pPr>
            <w:r>
              <w:rPr>
                <w:sz w:val="18"/>
              </w:rPr>
              <w:t>Fixed SQL, data and expected values in version control</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Unsupported behavior</w:t>
            </w:r>
          </w:p>
        </w:tc>
        <w:tc>
          <w:tcPr>
            <w:tcW w:type="dxa" w:w="3384"/>
            <w:vAlign w:val="center"/>
            <w:tcMar>
              <w:top w:w="90" w:type="dxa"/>
              <w:bottom w:w="90" w:type="dxa"/>
              <w:left w:w="90" w:type="dxa"/>
              <w:right w:w="90" w:type="dxa"/>
            </w:tcMar>
            <w:shd w:fill="F6F8FA"/>
          </w:tcPr>
          <w:p>
            <w:pPr>
              <w:spacing w:after="0" w:line="257" w:lineRule="auto"/>
            </w:pPr>
            <w:r>
              <w:rPr>
                <w:sz w:val="18"/>
              </w:rPr>
              <w:t>No unsupported test is marked equivalent or fully explained</w:t>
            </w:r>
          </w:p>
        </w:tc>
        <w:tc>
          <w:tcPr>
            <w:tcW w:type="dxa" w:w="4320"/>
            <w:vAlign w:val="center"/>
            <w:tcMar>
              <w:top w:w="90" w:type="dxa"/>
              <w:bottom w:w="90" w:type="dxa"/>
              <w:left w:w="90" w:type="dxa"/>
              <w:right w:w="90" w:type="dxa"/>
            </w:tcMar>
            <w:shd w:fill="F6F8FA"/>
          </w:tcPr>
          <w:p>
            <w:pPr>
              <w:spacing w:after="0" w:line="257" w:lineRule="auto"/>
            </w:pPr>
            <w:r>
              <w:rPr>
                <w:sz w:val="18"/>
              </w:rPr>
              <w:t>Negative and adversarial corpus</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Additive reconciliation</w:t>
            </w:r>
          </w:p>
        </w:tc>
        <w:tc>
          <w:tcPr>
            <w:tcW w:type="dxa" w:w="3384"/>
            <w:vAlign w:val="center"/>
            <w:tcMar>
              <w:top w:w="90" w:type="dxa"/>
              <w:bottom w:w="90" w:type="dxa"/>
              <w:left w:w="90" w:type="dxa"/>
              <w:right w:w="90" w:type="dxa"/>
            </w:tcMar>
            <w:shd w:fill="FFFFFF"/>
          </w:tcPr>
          <w:p>
            <w:pPr>
              <w:spacing w:after="0" w:line="257" w:lineRule="auto"/>
            </w:pPr>
            <w:r>
              <w:rPr>
                <w:sz w:val="18"/>
              </w:rPr>
              <w:t>Endpoint gap equals the sum of row contributions to one paisa</w:t>
            </w:r>
          </w:p>
        </w:tc>
        <w:tc>
          <w:tcPr>
            <w:tcW w:type="dxa" w:w="4320"/>
            <w:vAlign w:val="center"/>
            <w:tcMar>
              <w:top w:w="90" w:type="dxa"/>
              <w:bottom w:w="90" w:type="dxa"/>
              <w:left w:w="90" w:type="dxa"/>
              <w:right w:w="90" w:type="dxa"/>
            </w:tcMar>
            <w:shd w:fill="FFFFFF"/>
          </w:tcPr>
          <w:p>
            <w:pPr>
              <w:spacing w:after="0" w:line="257" w:lineRule="auto"/>
            </w:pPr>
            <w:r>
              <w:rPr>
                <w:sz w:val="18"/>
              </w:rPr>
              <w:t>Independent decimal arithmetic oracle</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Repeatability</w:t>
            </w:r>
          </w:p>
        </w:tc>
        <w:tc>
          <w:tcPr>
            <w:tcW w:type="dxa" w:w="3384"/>
            <w:vAlign w:val="center"/>
            <w:tcMar>
              <w:top w:w="90" w:type="dxa"/>
              <w:bottom w:w="90" w:type="dxa"/>
              <w:left w:w="90" w:type="dxa"/>
              <w:right w:w="90" w:type="dxa"/>
            </w:tcMar>
            <w:shd w:fill="F6F8FA"/>
          </w:tcPr>
          <w:p>
            <w:pPr>
              <w:spacing w:after="0" w:line="257" w:lineRule="auto"/>
            </w:pPr>
            <w:r>
              <w:rPr>
                <w:sz w:val="18"/>
              </w:rPr>
              <w:t>Identical versions, data and configuration produce identical numeric evidence</w:t>
            </w:r>
          </w:p>
        </w:tc>
        <w:tc>
          <w:tcPr>
            <w:tcW w:type="dxa" w:w="4320"/>
            <w:vAlign w:val="center"/>
            <w:tcMar>
              <w:top w:w="90" w:type="dxa"/>
              <w:bottom w:w="90" w:type="dxa"/>
              <w:left w:w="90" w:type="dxa"/>
              <w:right w:w="90" w:type="dxa"/>
            </w:tcMar>
            <w:shd w:fill="F6F8FA"/>
          </w:tcPr>
          <w:p>
            <w:pPr>
              <w:spacing w:after="0" w:line="257" w:lineRule="auto"/>
            </w:pPr>
            <w:r>
              <w:rPr>
                <w:sz w:val="18"/>
              </w:rPr>
              <w:t>Re-run test with stored hashes</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Candidate suggestion usefulness</w:t>
            </w:r>
          </w:p>
        </w:tc>
        <w:tc>
          <w:tcPr>
            <w:tcW w:type="dxa" w:w="3384"/>
            <w:vAlign w:val="center"/>
            <w:tcMar>
              <w:top w:w="90" w:type="dxa"/>
              <w:bottom w:w="90" w:type="dxa"/>
              <w:left w:w="90" w:type="dxa"/>
              <w:right w:w="90" w:type="dxa"/>
            </w:tcMar>
            <w:shd w:fill="FFFFFF"/>
          </w:tcPr>
          <w:p>
            <w:pPr>
              <w:spacing w:after="0" w:line="257" w:lineRule="auto"/>
            </w:pPr>
            <w:r>
              <w:rPr>
                <w:sz w:val="18"/>
              </w:rPr>
              <w:t>At least 90 percent precision on the top ranked held-out pairs</w:t>
            </w:r>
          </w:p>
        </w:tc>
        <w:tc>
          <w:tcPr>
            <w:tcW w:type="dxa" w:w="4320"/>
            <w:vAlign w:val="center"/>
            <w:tcMar>
              <w:top w:w="90" w:type="dxa"/>
              <w:bottom w:w="90" w:type="dxa"/>
              <w:left w:w="90" w:type="dxa"/>
              <w:right w:w="90" w:type="dxa"/>
            </w:tcMar>
            <w:shd w:fill="FFFFFF"/>
          </w:tcPr>
          <w:p>
            <w:pPr>
              <w:spacing w:after="0" w:line="257" w:lineRule="auto"/>
            </w:pPr>
            <w:r>
              <w:rPr>
                <w:sz w:val="18"/>
              </w:rPr>
              <w:t>Report sample size, recall and pair labels; target only</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Investigation usability</w:t>
            </w:r>
          </w:p>
        </w:tc>
        <w:tc>
          <w:tcPr>
            <w:tcW w:type="dxa" w:w="3384"/>
            <w:vAlign w:val="center"/>
            <w:tcMar>
              <w:top w:w="90" w:type="dxa"/>
              <w:bottom w:w="90" w:type="dxa"/>
              <w:left w:w="90" w:type="dxa"/>
              <w:right w:w="90" w:type="dxa"/>
            </w:tcMar>
            <w:shd w:fill="F6F8FA"/>
          </w:tcPr>
          <w:p>
            <w:pPr>
              <w:spacing w:after="0" w:line="257" w:lineRule="auto"/>
            </w:pPr>
            <w:r>
              <w:rPr>
                <w:sz w:val="18"/>
              </w:rPr>
              <w:t>At least four of five pilot users complete the core task without help</w:t>
            </w:r>
          </w:p>
        </w:tc>
        <w:tc>
          <w:tcPr>
            <w:tcW w:type="dxa" w:w="4320"/>
            <w:vAlign w:val="center"/>
            <w:tcMar>
              <w:top w:w="90" w:type="dxa"/>
              <w:bottom w:w="90" w:type="dxa"/>
              <w:left w:w="90" w:type="dxa"/>
              <w:right w:w="90" w:type="dxa"/>
            </w:tcMar>
            <w:shd w:fill="F6F8FA"/>
          </w:tcPr>
          <w:p>
            <w:pPr>
              <w:spacing w:after="0" w:line="257" w:lineRule="auto"/>
            </w:pPr>
            <w:r>
              <w:rPr>
                <w:sz w:val="18"/>
              </w:rPr>
              <w:t>Small formative pilot; disclose that it is not a population estimate</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Analyst effort</w:t>
            </w:r>
          </w:p>
        </w:tc>
        <w:tc>
          <w:tcPr>
            <w:tcW w:type="dxa" w:w="3384"/>
            <w:vAlign w:val="center"/>
            <w:tcMar>
              <w:top w:w="90" w:type="dxa"/>
              <w:bottom w:w="90" w:type="dxa"/>
              <w:left w:w="90" w:type="dxa"/>
              <w:right w:w="90" w:type="dxa"/>
            </w:tcMar>
            <w:shd w:fill="FFFFFF"/>
          </w:tcPr>
          <w:p>
            <w:pPr>
              <w:spacing w:after="0" w:line="257" w:lineRule="auto"/>
            </w:pPr>
            <w:r>
              <w:rPr>
                <w:sz w:val="18"/>
              </w:rPr>
              <w:t>Record completion time and wrong conclusions versus a manual baseline</w:t>
            </w:r>
          </w:p>
        </w:tc>
        <w:tc>
          <w:tcPr>
            <w:tcW w:type="dxa" w:w="4320"/>
            <w:vAlign w:val="center"/>
            <w:tcMar>
              <w:top w:w="90" w:type="dxa"/>
              <w:bottom w:w="90" w:type="dxa"/>
              <w:left w:w="90" w:type="dxa"/>
              <w:right w:w="90" w:type="dxa"/>
            </w:tcMar>
            <w:shd w:fill="FFFFFF"/>
          </w:tcPr>
          <w:p>
            <w:pPr>
              <w:spacing w:after="0" w:line="257" w:lineRule="auto"/>
            </w:pPr>
            <w:r>
              <w:rPr>
                <w:sz w:val="18"/>
              </w:rPr>
              <w:t>Same task, counterbalanced order where practical; no savings claim before testing</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Performance</w:t>
            </w:r>
          </w:p>
        </w:tc>
        <w:tc>
          <w:tcPr>
            <w:tcW w:type="dxa" w:w="3384"/>
            <w:vAlign w:val="center"/>
            <w:tcMar>
              <w:top w:w="90" w:type="dxa"/>
              <w:bottom w:w="90" w:type="dxa"/>
              <w:left w:w="90" w:type="dxa"/>
              <w:right w:w="90" w:type="dxa"/>
            </w:tcMar>
            <w:shd w:fill="F6F8FA"/>
          </w:tcPr>
          <w:p>
            <w:pPr>
              <w:spacing w:after="0" w:line="257" w:lineRule="auto"/>
            </w:pPr>
            <w:r>
              <w:rPr>
                <w:sz w:val="18"/>
              </w:rPr>
              <w:t>Define an initial 30 second target for the standard 100000-row case</w:t>
            </w:r>
          </w:p>
        </w:tc>
        <w:tc>
          <w:tcPr>
            <w:tcW w:type="dxa" w:w="4320"/>
            <w:vAlign w:val="center"/>
            <w:tcMar>
              <w:top w:w="90" w:type="dxa"/>
              <w:bottom w:w="90" w:type="dxa"/>
              <w:left w:w="90" w:type="dxa"/>
              <w:right w:w="90" w:type="dxa"/>
            </w:tcMar>
            <w:shd w:fill="F6F8FA"/>
          </w:tcPr>
          <w:p>
            <w:pPr>
              <w:spacing w:after="0" w:line="257" w:lineRule="auto"/>
            </w:pPr>
            <w:r>
              <w:rPr>
                <w:sz w:val="18"/>
              </w:rPr>
              <w:t>Fixed hardware, warm and cold runs; revise after a measured spike</w:t>
            </w:r>
          </w:p>
        </w:tc>
      </w:tr>
    </w:tbl>
    <w:p>
      <w:pPr>
        <w:spacing w:after="20"/>
      </w:pPr>
    </w:p>
    <w:p>
      <w:r>
        <w:t>Do not combine these into a single opaque trust score. The interface should separately show import coverage, context completeness, definition differences, numeric impact and review status.</w:t>
      </w:r>
    </w:p>
    <w:p>
      <w:pPr>
        <w:pStyle w:val="Heading2"/>
      </w:pPr>
      <w:r>
        <w:t>Scope by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384"/>
        <w:gridCol w:w="4320"/>
      </w:tblGrid>
      <w:tr>
        <w:trPr>
          <w:cantSplit/>
          <w:tblHeader/>
        </w:trPr>
        <w:tc>
          <w:tcPr>
            <w:tcW w:type="dxa" w:w="2520"/>
            <w:vAlign w:val="center"/>
            <w:tcMar>
              <w:top w:w="90" w:type="dxa"/>
              <w:bottom w:w="90" w:type="dxa"/>
              <w:left w:w="90" w:type="dxa"/>
              <w:right w:w="90" w:type="dxa"/>
            </w:tcMar>
            <w:shd w:fill="DBE5ED"/>
          </w:tcPr>
          <w:p>
            <w:pPr>
              <w:spacing w:after="0" w:line="257" w:lineRule="auto"/>
            </w:pPr>
            <w:r>
              <w:rPr>
                <w:b/>
                <w:color w:val="000000"/>
                <w:sz w:val="18"/>
              </w:rPr>
              <w:t>Capability</w:t>
            </w:r>
          </w:p>
        </w:tc>
        <w:tc>
          <w:tcPr>
            <w:tcW w:type="dxa" w:w="3384"/>
            <w:vAlign w:val="center"/>
            <w:tcMar>
              <w:top w:w="90" w:type="dxa"/>
              <w:bottom w:w="90" w:type="dxa"/>
              <w:left w:w="90" w:type="dxa"/>
              <w:right w:w="90" w:type="dxa"/>
            </w:tcMar>
            <w:shd w:fill="DBE5ED"/>
          </w:tcPr>
          <w:p>
            <w:pPr>
              <w:spacing w:after="0" w:line="257" w:lineRule="auto"/>
            </w:pPr>
            <w:r>
              <w:rPr>
                <w:b/>
                <w:color w:val="000000"/>
                <w:sz w:val="18"/>
              </w:rPr>
              <w:t>MVP</w:t>
            </w:r>
          </w:p>
        </w:tc>
        <w:tc>
          <w:tcPr>
            <w:tcW w:type="dxa" w:w="4320"/>
            <w:vAlign w:val="center"/>
            <w:tcMar>
              <w:top w:w="90" w:type="dxa"/>
              <w:bottom w:w="90" w:type="dxa"/>
              <w:left w:w="90" w:type="dxa"/>
              <w:right w:w="90" w:type="dxa"/>
            </w:tcMar>
            <w:shd w:fill="DBE5ED"/>
          </w:tcPr>
          <w:p>
            <w:pPr>
              <w:spacing w:after="0" w:line="257" w:lineRule="auto"/>
            </w:pPr>
            <w:r>
              <w:rPr>
                <w:b/>
                <w:color w:val="000000"/>
                <w:sz w:val="18"/>
              </w:rPr>
              <w:t>Later increment</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SQL definitions</w:t>
            </w:r>
          </w:p>
        </w:tc>
        <w:tc>
          <w:tcPr>
            <w:tcW w:type="dxa" w:w="3384"/>
            <w:vAlign w:val="center"/>
            <w:tcMar>
              <w:top w:w="90" w:type="dxa"/>
              <w:bottom w:w="90" w:type="dxa"/>
              <w:left w:w="90" w:type="dxa"/>
              <w:right w:w="90" w:type="dxa"/>
            </w:tcMar>
            <w:shd w:fill="FFFFFF"/>
          </w:tcPr>
          <w:p>
            <w:pPr>
              <w:spacing w:after="0" w:line="257" w:lineRule="auto"/>
            </w:pPr>
            <w:r>
              <w:rPr>
                <w:sz w:val="18"/>
              </w:rPr>
              <w:t>Upload or paste the supported DuckDB SQL subset</w:t>
            </w:r>
          </w:p>
        </w:tc>
        <w:tc>
          <w:tcPr>
            <w:tcW w:type="dxa" w:w="4320"/>
            <w:vAlign w:val="center"/>
            <w:tcMar>
              <w:top w:w="90" w:type="dxa"/>
              <w:bottom w:w="90" w:type="dxa"/>
              <w:left w:w="90" w:type="dxa"/>
              <w:right w:w="90" w:type="dxa"/>
            </w:tcMar>
            <w:shd w:fill="FFFFFF"/>
          </w:tcPr>
          <w:p>
            <w:pPr>
              <w:spacing w:after="0" w:line="257" w:lineRule="auto"/>
            </w:pPr>
            <w:r>
              <w:rPr>
                <w:sz w:val="18"/>
              </w:rPr>
              <w:t>Tested PostgreSQL and warehouse dialect adapters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Data</w:t>
            </w:r>
          </w:p>
        </w:tc>
        <w:tc>
          <w:tcPr>
            <w:tcW w:type="dxa" w:w="3384"/>
            <w:vAlign w:val="center"/>
            <w:tcMar>
              <w:top w:w="90" w:type="dxa"/>
              <w:bottom w:w="90" w:type="dxa"/>
              <w:left w:w="90" w:type="dxa"/>
              <w:right w:w="90" w:type="dxa"/>
            </w:tcMar>
            <w:shd w:fill="F6F8FA"/>
          </w:tcPr>
          <w:p>
            <w:pPr>
              <w:spacing w:after="0" w:line="257" w:lineRule="auto"/>
            </w:pPr>
            <w:r>
              <w:rPr>
                <w:sz w:val="18"/>
              </w:rPr>
              <w:t>One immutable flat snapshot per run, CSV or Parquet input</w:t>
            </w:r>
          </w:p>
        </w:tc>
        <w:tc>
          <w:tcPr>
            <w:tcW w:type="dxa" w:w="4320"/>
            <w:vAlign w:val="center"/>
            <w:tcMar>
              <w:top w:w="90" w:type="dxa"/>
              <w:bottom w:w="90" w:type="dxa"/>
              <w:left w:w="90" w:type="dxa"/>
              <w:right w:w="90" w:type="dxa"/>
            </w:tcMar>
            <w:shd w:fill="F6F8FA"/>
          </w:tcPr>
          <w:p>
            <w:pPr>
              <w:spacing w:after="0" w:line="257" w:lineRule="auto"/>
            </w:pPr>
            <w:r>
              <w:rPr>
                <w:sz w:val="18"/>
              </w:rPr>
              <w:t>Controlled warehouse snapshots and cross-source mapping</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Matching</w:t>
            </w:r>
          </w:p>
        </w:tc>
        <w:tc>
          <w:tcPr>
            <w:tcW w:type="dxa" w:w="3384"/>
            <w:vAlign w:val="center"/>
            <w:tcMar>
              <w:top w:w="90" w:type="dxa"/>
              <w:bottom w:w="90" w:type="dxa"/>
              <w:left w:w="90" w:type="dxa"/>
              <w:right w:w="90" w:type="dxa"/>
            </w:tcMar>
            <w:shd w:fill="FFFFFF"/>
          </w:tcPr>
          <w:p>
            <w:pPr>
              <w:spacing w:after="0" w:line="257" w:lineRule="auto"/>
            </w:pPr>
            <w:r>
              <w:rPr>
                <w:sz w:val="18"/>
              </w:rPr>
              <w:t>Deterministic candidate suggestions plus human review</w:t>
            </w:r>
          </w:p>
        </w:tc>
        <w:tc>
          <w:tcPr>
            <w:tcW w:type="dxa" w:w="4320"/>
            <w:vAlign w:val="center"/>
            <w:tcMar>
              <w:top w:w="90" w:type="dxa"/>
              <w:bottom w:w="90" w:type="dxa"/>
              <w:left w:w="90" w:type="dxa"/>
              <w:right w:w="90" w:type="dxa"/>
            </w:tcMar>
            <w:shd w:fill="FFFFFF"/>
          </w:tcPr>
          <w:p>
            <w:pPr>
              <w:spacing w:after="0" w:line="257" w:lineRule="auto"/>
            </w:pPr>
            <w:r>
              <w:rPr>
                <w:sz w:val="18"/>
              </w:rPr>
              <w:t>Optional metadata embeddings if evaluation shows value</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Metric types</w:t>
            </w:r>
          </w:p>
        </w:tc>
        <w:tc>
          <w:tcPr>
            <w:tcW w:type="dxa" w:w="3384"/>
            <w:vAlign w:val="center"/>
            <w:tcMar>
              <w:top w:w="90" w:type="dxa"/>
              <w:bottom w:w="90" w:type="dxa"/>
              <w:left w:w="90" w:type="dxa"/>
              <w:right w:w="90" w:type="dxa"/>
            </w:tcMar>
            <w:shd w:fill="F6F8FA"/>
          </w:tcPr>
          <w:p>
            <w:pPr>
              <w:spacing w:after="0" w:line="257" w:lineRule="auto"/>
            </w:pPr>
            <w:r>
              <w:rPr>
                <w:sz w:val="18"/>
              </w:rPr>
              <w:t>SUM, COUNT and single-column COUNT DISTINCT</w:t>
            </w:r>
          </w:p>
        </w:tc>
        <w:tc>
          <w:tcPr>
            <w:tcW w:type="dxa" w:w="4320"/>
            <w:vAlign w:val="center"/>
            <w:tcMar>
              <w:top w:w="90" w:type="dxa"/>
              <w:bottom w:w="90" w:type="dxa"/>
              <w:left w:w="90" w:type="dxa"/>
              <w:right w:w="90" w:type="dxa"/>
            </w:tcMar>
            <w:shd w:fill="F6F8FA"/>
          </w:tcPr>
          <w:p>
            <w:pPr>
              <w:spacing w:after="0" w:line="257" w:lineRule="auto"/>
            </w:pPr>
            <w:r>
              <w:rPr>
                <w:sz w:val="18"/>
              </w:rPr>
              <w:t>Ratios, averages, funnels and non-additive metrics</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Explanation</w:t>
            </w:r>
          </w:p>
        </w:tc>
        <w:tc>
          <w:tcPr>
            <w:tcW w:type="dxa" w:w="3384"/>
            <w:vAlign w:val="center"/>
            <w:tcMar>
              <w:top w:w="90" w:type="dxa"/>
              <w:bottom w:w="90" w:type="dxa"/>
              <w:left w:w="90" w:type="dxa"/>
              <w:right w:w="90" w:type="dxa"/>
            </w:tcMar>
            <w:shd w:fill="FFFFFF"/>
          </w:tcPr>
          <w:p>
            <w:pPr>
              <w:spacing w:after="0" w:line="257" w:lineRule="auto"/>
            </w:pPr>
            <w:r>
              <w:rPr>
                <w:sz w:val="18"/>
              </w:rPr>
              <w:t>Row contributions for SUM and ordered rule bridge</w:t>
            </w:r>
          </w:p>
        </w:tc>
        <w:tc>
          <w:tcPr>
            <w:tcW w:type="dxa" w:w="4320"/>
            <w:vAlign w:val="center"/>
            <w:tcMar>
              <w:top w:w="90" w:type="dxa"/>
              <w:bottom w:w="90" w:type="dxa"/>
              <w:left w:w="90" w:type="dxa"/>
              <w:right w:w="90" w:type="dxa"/>
            </w:tcMar>
            <w:shd w:fill="FFFFFF"/>
          </w:tcPr>
          <w:p>
            <w:pPr>
              <w:spacing w:after="0" w:line="257" w:lineRule="auto"/>
            </w:pPr>
            <w:r>
              <w:rPr>
                <w:sz w:val="18"/>
              </w:rPr>
              <w:t>Exact Shapley attribution for a bounded set of valid rule switches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Drift</w:t>
            </w:r>
          </w:p>
        </w:tc>
        <w:tc>
          <w:tcPr>
            <w:tcW w:type="dxa" w:w="3384"/>
            <w:vAlign w:val="center"/>
            <w:tcMar>
              <w:top w:w="90" w:type="dxa"/>
              <w:bottom w:w="90" w:type="dxa"/>
              <w:left w:w="90" w:type="dxa"/>
              <w:right w:w="90" w:type="dxa"/>
            </w:tcMar>
            <w:shd w:fill="F6F8FA"/>
          </w:tcPr>
          <w:p>
            <w:pPr>
              <w:spacing w:after="0" w:line="257" w:lineRule="auto"/>
            </w:pPr>
            <w:r>
              <w:rPr>
                <w:sz w:val="18"/>
              </w:rPr>
              <w:t>Definition versions, explicit comparison and manual replay</w:t>
            </w:r>
          </w:p>
        </w:tc>
        <w:tc>
          <w:tcPr>
            <w:tcW w:type="dxa" w:w="4320"/>
            <w:vAlign w:val="center"/>
            <w:tcMar>
              <w:top w:w="90" w:type="dxa"/>
              <w:bottom w:w="90" w:type="dxa"/>
              <w:left w:w="90" w:type="dxa"/>
              <w:right w:w="90" w:type="dxa"/>
            </w:tcMar>
            <w:shd w:fill="F6F8FA"/>
          </w:tcPr>
          <w:p>
            <w:pPr>
              <w:spacing w:after="0" w:line="257" w:lineRule="auto"/>
            </w:pPr>
            <w:r>
              <w:rPr>
                <w:sz w:val="18"/>
              </w:rPr>
              <w:t>Scheduled monitoring and repository integration</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Governance</w:t>
            </w:r>
          </w:p>
        </w:tc>
        <w:tc>
          <w:tcPr>
            <w:tcW w:type="dxa" w:w="3384"/>
            <w:vAlign w:val="center"/>
            <w:tcMar>
              <w:top w:w="90" w:type="dxa"/>
              <w:bottom w:w="90" w:type="dxa"/>
              <w:left w:w="90" w:type="dxa"/>
              <w:right w:w="90" w:type="dxa"/>
            </w:tcMar>
            <w:shd w:fill="FFFFFF"/>
          </w:tcPr>
          <w:p>
            <w:pPr>
              <w:spacing w:after="0" w:line="257" w:lineRule="auto"/>
            </w:pPr>
            <w:r>
              <w:rPr>
                <w:sz w:val="18"/>
              </w:rPr>
              <w:t>Local owner decision and scoped approved baseline</w:t>
            </w:r>
          </w:p>
        </w:tc>
        <w:tc>
          <w:tcPr>
            <w:tcW w:type="dxa" w:w="4320"/>
            <w:vAlign w:val="center"/>
            <w:tcMar>
              <w:top w:w="90" w:type="dxa"/>
              <w:bottom w:w="90" w:type="dxa"/>
              <w:left w:w="90" w:type="dxa"/>
              <w:right w:w="90" w:type="dxa"/>
            </w:tcMar>
            <w:shd w:fill="FFFFFF"/>
          </w:tcPr>
          <w:p>
            <w:pPr>
              <w:spacing w:after="0" w:line="257" w:lineRule="auto"/>
            </w:pPr>
            <w:r>
              <w:rPr>
                <w:sz w:val="18"/>
              </w:rPr>
              <w:t>Authenticated roles, review workflow and notifications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Power BI</w:t>
            </w:r>
          </w:p>
        </w:tc>
        <w:tc>
          <w:tcPr>
            <w:tcW w:type="dxa" w:w="3384"/>
            <w:vAlign w:val="center"/>
            <w:tcMar>
              <w:top w:w="90" w:type="dxa"/>
              <w:bottom w:w="90" w:type="dxa"/>
              <w:left w:w="90" w:type="dxa"/>
              <w:right w:w="90" w:type="dxa"/>
            </w:tcMar>
            <w:shd w:fill="F6F8FA"/>
          </w:tcPr>
          <w:p>
            <w:pPr>
              <w:spacing w:after="0" w:line="257" w:lineRule="auto"/>
            </w:pPr>
            <w:r>
              <w:rPr>
                <w:sz w:val="18"/>
              </w:rPr>
              <w:t>Product roadmap only; screenshots are not executable evidence</w:t>
            </w:r>
          </w:p>
        </w:tc>
        <w:tc>
          <w:tcPr>
            <w:tcW w:type="dxa" w:w="4320"/>
            <w:vAlign w:val="center"/>
            <w:tcMar>
              <w:top w:w="90" w:type="dxa"/>
              <w:bottom w:w="90" w:type="dxa"/>
              <w:left w:w="90" w:type="dxa"/>
              <w:right w:w="90" w:type="dxa"/>
            </w:tcMar>
            <w:shd w:fill="F6F8FA"/>
          </w:tcPr>
          <w:p>
            <w:pPr>
              <w:spacing w:after="0" w:line="257" w:lineRule="auto"/>
            </w:pPr>
            <w:r>
              <w:rPr>
                <w:sz w:val="18"/>
              </w:rPr>
              <w:t>TMDL metadata import, then native DAX execution with full context</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dbt</w:t>
            </w:r>
          </w:p>
        </w:tc>
        <w:tc>
          <w:tcPr>
            <w:tcW w:type="dxa" w:w="3384"/>
            <w:vAlign w:val="center"/>
            <w:tcMar>
              <w:top w:w="90" w:type="dxa"/>
              <w:bottom w:w="90" w:type="dxa"/>
              <w:left w:w="90" w:type="dxa"/>
              <w:right w:w="90" w:type="dxa"/>
            </w:tcMar>
            <w:shd w:fill="FFFFFF"/>
          </w:tcPr>
          <w:p>
            <w:pPr>
              <w:spacing w:after="0" w:line="257" w:lineRule="auto"/>
            </w:pPr>
            <w:r>
              <w:rPr>
                <w:sz w:val="18"/>
              </w:rPr>
              <w:t>Compiled SQL may be pasted if it fits the subset</w:t>
            </w:r>
          </w:p>
        </w:tc>
        <w:tc>
          <w:tcPr>
            <w:tcW w:type="dxa" w:w="4320"/>
            <w:vAlign w:val="center"/>
            <w:tcMar>
              <w:top w:w="90" w:type="dxa"/>
              <w:bottom w:w="90" w:type="dxa"/>
              <w:left w:w="90" w:type="dxa"/>
              <w:right w:w="90" w:type="dxa"/>
            </w:tcMar>
            <w:shd w:fill="FFFFFF"/>
          </w:tcPr>
          <w:p>
            <w:pPr>
              <w:spacing w:after="0" w:line="257" w:lineRule="auto"/>
            </w:pPr>
            <w:r>
              <w:rPr>
                <w:sz w:val="18"/>
              </w:rPr>
              <w:t>Manifest import with version-aware lineage and SQL handling</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Excel</w:t>
            </w:r>
          </w:p>
        </w:tc>
        <w:tc>
          <w:tcPr>
            <w:tcW w:type="dxa" w:w="3384"/>
            <w:vAlign w:val="center"/>
            <w:tcMar>
              <w:top w:w="90" w:type="dxa"/>
              <w:bottom w:w="90" w:type="dxa"/>
              <w:left w:w="90" w:type="dxa"/>
              <w:right w:w="90" w:type="dxa"/>
            </w:tcMar>
            <w:shd w:fill="F6F8FA"/>
          </w:tcPr>
          <w:p>
            <w:pPr>
              <w:spacing w:after="0" w:line="257" w:lineRule="auto"/>
            </w:pPr>
            <w:r>
              <w:rPr>
                <w:sz w:val="18"/>
              </w:rPr>
              <w:t>CSV export treated as data, without formula evaluation</w:t>
            </w:r>
          </w:p>
        </w:tc>
        <w:tc>
          <w:tcPr>
            <w:tcW w:type="dxa" w:w="4320"/>
            <w:vAlign w:val="center"/>
            <w:tcMar>
              <w:top w:w="90" w:type="dxa"/>
              <w:bottom w:w="90" w:type="dxa"/>
              <w:left w:w="90" w:type="dxa"/>
              <w:right w:w="90" w:type="dxa"/>
            </w:tcMar>
            <w:shd w:fill="F6F8FA"/>
          </w:tcPr>
          <w:p>
            <w:pPr>
              <w:spacing w:after="0" w:line="257" w:lineRule="auto"/>
            </w:pPr>
            <w:r>
              <w:rPr>
                <w:sz w:val="18"/>
              </w:rPr>
              <w:t>Bounded formula metadata extraction before any calculation support</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Deployment</w:t>
            </w:r>
          </w:p>
        </w:tc>
        <w:tc>
          <w:tcPr>
            <w:tcW w:type="dxa" w:w="3384"/>
            <w:vAlign w:val="center"/>
            <w:tcMar>
              <w:top w:w="90" w:type="dxa"/>
              <w:bottom w:w="90" w:type="dxa"/>
              <w:left w:w="90" w:type="dxa"/>
              <w:right w:w="90" w:type="dxa"/>
            </w:tcMar>
            <w:shd w:fill="FFFFFF"/>
          </w:tcPr>
          <w:p>
            <w:pPr>
              <w:spacing w:after="0" w:line="257" w:lineRule="auto"/>
            </w:pPr>
            <w:r>
              <w:rPr>
                <w:sz w:val="18"/>
              </w:rPr>
              <w:t>Local application and reproducible synthetic demonstration</w:t>
            </w:r>
          </w:p>
        </w:tc>
        <w:tc>
          <w:tcPr>
            <w:tcW w:type="dxa" w:w="4320"/>
            <w:vAlign w:val="center"/>
            <w:tcMar>
              <w:top w:w="90" w:type="dxa"/>
              <w:bottom w:w="90" w:type="dxa"/>
              <w:left w:w="90" w:type="dxa"/>
              <w:right w:w="90" w:type="dxa"/>
            </w:tcMar>
            <w:shd w:fill="FFFFFF"/>
          </w:tcPr>
          <w:p>
            <w:pPr>
              <w:spacing w:after="0" w:line="257" w:lineRule="auto"/>
            </w:pPr>
            <w:r>
              <w:rPr>
                <w:sz w:val="18"/>
              </w:rPr>
              <w:t>Hosted private pilot; public demo can use precomputed results</w:t>
            </w:r>
          </w:p>
        </w:tc>
      </w:tr>
    </w:tbl>
    <w:p>
      <w:pPr>
        <w:spacing w:after="20"/>
      </w:pPr>
    </w:p>
    <w:p>
      <w:r>
        <w:rPr>
          <w:b/>
        </w:rPr>
        <w:t>Explicit exclusions for the first release:</w:t>
      </w:r>
      <w:r>
        <w:t xml:space="preserve"> arbitrary joins and CTEs, arbitrary DAX or Excel evaluation, automatic production corrections, universal SQL equivalence proofs, financial accounting certification, enterprise multitenancy, complex warehouse connectivity and an LLM-driven SQL execution agent.</w:t>
      </w:r>
    </w:p>
    <w:p>
      <w:pPr>
        <w:pStyle w:val="Heading2"/>
      </w:pPr>
      <w:r>
        <w:t>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312"/>
        <w:gridCol w:w="6120"/>
      </w:tblGrid>
      <w:tr>
        <w:trPr>
          <w:cantSplit/>
          <w:tblHeader/>
        </w:trPr>
        <w:tc>
          <w:tcPr>
            <w:tcW w:type="dxa" w:w="792"/>
            <w:vAlign w:val="center"/>
            <w:tcMar>
              <w:top w:w="90" w:type="dxa"/>
              <w:bottom w:w="90" w:type="dxa"/>
              <w:left w:w="90" w:type="dxa"/>
              <w:right w:w="90" w:type="dxa"/>
            </w:tcMar>
            <w:shd w:fill="DBE5ED"/>
          </w:tcPr>
          <w:p>
            <w:pPr>
              <w:spacing w:after="0" w:line="257" w:lineRule="auto"/>
              <w:jc w:val="center"/>
            </w:pPr>
            <w:r>
              <w:rPr>
                <w:b/>
                <w:color w:val="000000"/>
                <w:sz w:val="18"/>
              </w:rPr>
              <w:t>ID</w:t>
            </w:r>
          </w:p>
        </w:tc>
        <w:tc>
          <w:tcPr>
            <w:tcW w:type="dxa" w:w="3312"/>
            <w:vAlign w:val="center"/>
            <w:tcMar>
              <w:top w:w="90" w:type="dxa"/>
              <w:bottom w:w="90" w:type="dxa"/>
              <w:left w:w="90" w:type="dxa"/>
              <w:right w:w="90" w:type="dxa"/>
            </w:tcMar>
            <w:shd w:fill="DBE5ED"/>
          </w:tcPr>
          <w:p>
            <w:pPr>
              <w:spacing w:after="0" w:line="257" w:lineRule="auto"/>
            </w:pPr>
            <w:r>
              <w:rPr>
                <w:b/>
                <w:color w:val="000000"/>
                <w:sz w:val="18"/>
              </w:rPr>
              <w:t>Requirement</w:t>
            </w:r>
          </w:p>
        </w:tc>
        <w:tc>
          <w:tcPr>
            <w:tcW w:type="dxa" w:w="6120"/>
            <w:vAlign w:val="center"/>
            <w:tcMar>
              <w:top w:w="90" w:type="dxa"/>
              <w:bottom w:w="90" w:type="dxa"/>
              <w:left w:w="90" w:type="dxa"/>
              <w:right w:w="90" w:type="dxa"/>
            </w:tcMar>
            <w:shd w:fill="DBE5ED"/>
          </w:tcPr>
          <w:p>
            <w:pPr>
              <w:spacing w:after="0" w:line="257" w:lineRule="auto"/>
            </w:pPr>
            <w:r>
              <w:rPr>
                <w:b/>
                <w:color w:val="000000"/>
                <w:sz w:val="18"/>
              </w:rPr>
              <w:t>Acceptance condition</w:t>
            </w:r>
          </w:p>
        </w:tc>
      </w:tr>
      <w:tr>
        <w:trPr>
          <w:cantSplit/>
        </w:trPr>
        <w:tc>
          <w:tcPr>
            <w:tcW w:type="dxa" w:w="792"/>
            <w:vAlign w:val="center"/>
            <w:tcMar>
              <w:top w:w="90" w:type="dxa"/>
              <w:bottom w:w="90" w:type="dxa"/>
              <w:left w:w="90" w:type="dxa"/>
              <w:right w:w="90" w:type="dxa"/>
            </w:tcMar>
            <w:shd w:fill="FFFFFF"/>
          </w:tcPr>
          <w:p>
            <w:pPr>
              <w:spacing w:after="0" w:line="257" w:lineRule="auto"/>
              <w:jc w:val="center"/>
            </w:pPr>
            <w:r>
              <w:rPr>
                <w:sz w:val="18"/>
              </w:rPr>
              <w:t>FR01</w:t>
            </w:r>
          </w:p>
        </w:tc>
        <w:tc>
          <w:tcPr>
            <w:tcW w:type="dxa" w:w="3312"/>
            <w:vAlign w:val="center"/>
            <w:tcMar>
              <w:top w:w="90" w:type="dxa"/>
              <w:bottom w:w="90" w:type="dxa"/>
              <w:left w:w="90" w:type="dxa"/>
              <w:right w:w="90" w:type="dxa"/>
            </w:tcMar>
            <w:shd w:fill="FFFFFF"/>
          </w:tcPr>
          <w:p>
            <w:pPr>
              <w:spacing w:after="0" w:line="257" w:lineRule="auto"/>
            </w:pPr>
            <w:r>
              <w:rPr>
                <w:sz w:val="18"/>
              </w:rPr>
              <w:t>Import definitions and record provenance</w:t>
            </w:r>
          </w:p>
        </w:tc>
        <w:tc>
          <w:tcPr>
            <w:tcW w:type="dxa" w:w="6120"/>
            <w:vAlign w:val="center"/>
            <w:tcMar>
              <w:top w:w="90" w:type="dxa"/>
              <w:bottom w:w="90" w:type="dxa"/>
              <w:left w:w="90" w:type="dxa"/>
              <w:right w:w="90" w:type="dxa"/>
            </w:tcMar>
            <w:shd w:fill="FFFFFF"/>
          </w:tcPr>
          <w:p>
            <w:pPr>
              <w:spacing w:after="0" w:line="257" w:lineRule="auto"/>
            </w:pPr>
            <w:r>
              <w:rPr>
                <w:sz w:val="18"/>
              </w:rPr>
              <w:t>Every definition retains original text, dialect, source label, version and import time</w:t>
            </w:r>
          </w:p>
        </w:tc>
      </w:tr>
      <w:tr>
        <w:trPr>
          <w:cantSplit/>
        </w:trPr>
        <w:tc>
          <w:tcPr>
            <w:tcW w:type="dxa" w:w="792"/>
            <w:vAlign w:val="center"/>
            <w:tcMar>
              <w:top w:w="90" w:type="dxa"/>
              <w:bottom w:w="90" w:type="dxa"/>
              <w:left w:w="90" w:type="dxa"/>
              <w:right w:w="90" w:type="dxa"/>
            </w:tcMar>
            <w:shd w:fill="F6F8FA"/>
          </w:tcPr>
          <w:p>
            <w:pPr>
              <w:spacing w:after="0" w:line="257" w:lineRule="auto"/>
              <w:jc w:val="center"/>
            </w:pPr>
            <w:r>
              <w:rPr>
                <w:sz w:val="18"/>
              </w:rPr>
              <w:t>FR02</w:t>
            </w:r>
          </w:p>
        </w:tc>
        <w:tc>
          <w:tcPr>
            <w:tcW w:type="dxa" w:w="3312"/>
            <w:vAlign w:val="center"/>
            <w:tcMar>
              <w:top w:w="90" w:type="dxa"/>
              <w:bottom w:w="90" w:type="dxa"/>
              <w:left w:w="90" w:type="dxa"/>
              <w:right w:w="90" w:type="dxa"/>
            </w:tcMar>
            <w:shd w:fill="F6F8FA"/>
          </w:tcPr>
          <w:p>
            <w:pPr>
              <w:spacing w:after="0" w:line="257" w:lineRule="auto"/>
            </w:pPr>
            <w:r>
              <w:rPr>
                <w:sz w:val="18"/>
              </w:rPr>
              <w:t>Parse and classify support</w:t>
            </w:r>
          </w:p>
        </w:tc>
        <w:tc>
          <w:tcPr>
            <w:tcW w:type="dxa" w:w="6120"/>
            <w:vAlign w:val="center"/>
            <w:tcMar>
              <w:top w:w="90" w:type="dxa"/>
              <w:bottom w:w="90" w:type="dxa"/>
              <w:left w:w="90" w:type="dxa"/>
              <w:right w:w="90" w:type="dxa"/>
            </w:tcMar>
            <w:shd w:fill="F6F8FA"/>
          </w:tcPr>
          <w:p>
            <w:pPr>
              <w:spacing w:after="0" w:line="257" w:lineRule="auto"/>
            </w:pPr>
            <w:r>
              <w:rPr>
                <w:sz w:val="18"/>
              </w:rPr>
              <w:t>Every import is executable, metadata only, needs context, or unsupported, with a reason</w:t>
            </w:r>
          </w:p>
        </w:tc>
      </w:tr>
      <w:tr>
        <w:trPr>
          <w:cantSplit/>
        </w:trPr>
        <w:tc>
          <w:tcPr>
            <w:tcW w:type="dxa" w:w="792"/>
            <w:vAlign w:val="center"/>
            <w:tcMar>
              <w:top w:w="90" w:type="dxa"/>
              <w:bottom w:w="90" w:type="dxa"/>
              <w:left w:w="90" w:type="dxa"/>
              <w:right w:w="90" w:type="dxa"/>
            </w:tcMar>
            <w:shd w:fill="FFFFFF"/>
          </w:tcPr>
          <w:p>
            <w:pPr>
              <w:spacing w:after="0" w:line="257" w:lineRule="auto"/>
              <w:jc w:val="center"/>
            </w:pPr>
            <w:r>
              <w:rPr>
                <w:sz w:val="18"/>
              </w:rPr>
              <w:t>FR03</w:t>
            </w:r>
          </w:p>
        </w:tc>
        <w:tc>
          <w:tcPr>
            <w:tcW w:type="dxa" w:w="3312"/>
            <w:vAlign w:val="center"/>
            <w:tcMar>
              <w:top w:w="90" w:type="dxa"/>
              <w:bottom w:w="90" w:type="dxa"/>
              <w:left w:w="90" w:type="dxa"/>
              <w:right w:w="90" w:type="dxa"/>
            </w:tcMar>
            <w:shd w:fill="FFFFFF"/>
          </w:tcPr>
          <w:p>
            <w:pPr>
              <w:spacing w:after="0" w:line="257" w:lineRule="auto"/>
            </w:pPr>
            <w:r>
              <w:rPr>
                <w:sz w:val="18"/>
              </w:rPr>
              <w:t>Propose related metrics</w:t>
            </w:r>
          </w:p>
        </w:tc>
        <w:tc>
          <w:tcPr>
            <w:tcW w:type="dxa" w:w="6120"/>
            <w:vAlign w:val="center"/>
            <w:tcMar>
              <w:top w:w="90" w:type="dxa"/>
              <w:bottom w:w="90" w:type="dxa"/>
              <w:left w:w="90" w:type="dxa"/>
              <w:right w:w="90" w:type="dxa"/>
            </w:tcMar>
            <w:shd w:fill="FFFFFF"/>
          </w:tcPr>
          <w:p>
            <w:pPr>
              <w:spacing w:after="0" w:line="257" w:lineRule="auto"/>
            </w:pPr>
            <w:r>
              <w:rPr>
                <w:sz w:val="18"/>
              </w:rPr>
              <w:t>Suggestions show the name and structural evidence; none is auto-approved</w:t>
            </w:r>
          </w:p>
        </w:tc>
      </w:tr>
      <w:tr>
        <w:trPr>
          <w:cantSplit/>
        </w:trPr>
        <w:tc>
          <w:tcPr>
            <w:tcW w:type="dxa" w:w="792"/>
            <w:vAlign w:val="center"/>
            <w:tcMar>
              <w:top w:w="90" w:type="dxa"/>
              <w:bottom w:w="90" w:type="dxa"/>
              <w:left w:w="90" w:type="dxa"/>
              <w:right w:w="90" w:type="dxa"/>
            </w:tcMar>
            <w:shd w:fill="F6F8FA"/>
          </w:tcPr>
          <w:p>
            <w:pPr>
              <w:spacing w:after="0" w:line="257" w:lineRule="auto"/>
              <w:jc w:val="center"/>
            </w:pPr>
            <w:r>
              <w:rPr>
                <w:sz w:val="18"/>
              </w:rPr>
              <w:t>FR04</w:t>
            </w:r>
          </w:p>
        </w:tc>
        <w:tc>
          <w:tcPr>
            <w:tcW w:type="dxa" w:w="3312"/>
            <w:vAlign w:val="center"/>
            <w:tcMar>
              <w:top w:w="90" w:type="dxa"/>
              <w:bottom w:w="90" w:type="dxa"/>
              <w:left w:w="90" w:type="dxa"/>
              <w:right w:w="90" w:type="dxa"/>
            </w:tcMar>
            <w:shd w:fill="F6F8FA"/>
          </w:tcPr>
          <w:p>
            <w:pPr>
              <w:spacing w:after="0" w:line="257" w:lineRule="auto"/>
            </w:pPr>
            <w:r>
              <w:rPr>
                <w:sz w:val="18"/>
              </w:rPr>
              <w:t>Confirm comparison context</w:t>
            </w:r>
          </w:p>
        </w:tc>
        <w:tc>
          <w:tcPr>
            <w:tcW w:type="dxa" w:w="6120"/>
            <w:vAlign w:val="center"/>
            <w:tcMar>
              <w:top w:w="90" w:type="dxa"/>
              <w:bottom w:w="90" w:type="dxa"/>
              <w:left w:w="90" w:type="dxa"/>
              <w:right w:w="90" w:type="dxa"/>
            </w:tcMar>
            <w:shd w:fill="F6F8FA"/>
          </w:tcPr>
          <w:p>
            <w:pPr>
              <w:spacing w:after="0" w:line="257" w:lineRule="auto"/>
            </w:pPr>
            <w:r>
              <w:rPr>
                <w:sz w:val="18"/>
              </w:rPr>
              <w:t>Currency, grain, snapshot, period and scope checks run before execution</w:t>
            </w:r>
          </w:p>
        </w:tc>
      </w:tr>
      <w:tr>
        <w:trPr>
          <w:cantSplit/>
        </w:trPr>
        <w:tc>
          <w:tcPr>
            <w:tcW w:type="dxa" w:w="792"/>
            <w:vAlign w:val="center"/>
            <w:tcMar>
              <w:top w:w="90" w:type="dxa"/>
              <w:bottom w:w="90" w:type="dxa"/>
              <w:left w:w="90" w:type="dxa"/>
              <w:right w:w="90" w:type="dxa"/>
            </w:tcMar>
            <w:shd w:fill="FFFFFF"/>
          </w:tcPr>
          <w:p>
            <w:pPr>
              <w:spacing w:after="0" w:line="257" w:lineRule="auto"/>
              <w:jc w:val="center"/>
            </w:pPr>
            <w:r>
              <w:rPr>
                <w:sz w:val="18"/>
              </w:rPr>
              <w:t>FR05</w:t>
            </w:r>
          </w:p>
        </w:tc>
        <w:tc>
          <w:tcPr>
            <w:tcW w:type="dxa" w:w="3312"/>
            <w:vAlign w:val="center"/>
            <w:tcMar>
              <w:top w:w="90" w:type="dxa"/>
              <w:bottom w:w="90" w:type="dxa"/>
              <w:left w:w="90" w:type="dxa"/>
              <w:right w:w="90" w:type="dxa"/>
            </w:tcMar>
            <w:shd w:fill="FFFFFF"/>
          </w:tcPr>
          <w:p>
            <w:pPr>
              <w:spacing w:after="0" w:line="257" w:lineRule="auto"/>
            </w:pPr>
            <w:r>
              <w:rPr>
                <w:sz w:val="18"/>
              </w:rPr>
              <w:t>Compare definitions</w:t>
            </w:r>
          </w:p>
        </w:tc>
        <w:tc>
          <w:tcPr>
            <w:tcW w:type="dxa" w:w="6120"/>
            <w:vAlign w:val="center"/>
            <w:tcMar>
              <w:top w:w="90" w:type="dxa"/>
              <w:bottom w:w="90" w:type="dxa"/>
              <w:left w:w="90" w:type="dxa"/>
              <w:right w:w="90" w:type="dxa"/>
            </w:tcMar>
            <w:shd w:fill="FFFFFF"/>
          </w:tcPr>
          <w:p>
            <w:pPr>
              <w:spacing w:after="0" w:line="257" w:lineRule="auto"/>
            </w:pPr>
            <w:r>
              <w:rPr>
                <w:sz w:val="18"/>
              </w:rPr>
              <w:t>Changes to amount expression, predicate and time field remain visible even when totals match</w:t>
            </w:r>
          </w:p>
        </w:tc>
      </w:tr>
      <w:tr>
        <w:trPr>
          <w:cantSplit/>
        </w:trPr>
        <w:tc>
          <w:tcPr>
            <w:tcW w:type="dxa" w:w="792"/>
            <w:vAlign w:val="center"/>
            <w:tcMar>
              <w:top w:w="90" w:type="dxa"/>
              <w:bottom w:w="90" w:type="dxa"/>
              <w:left w:w="90" w:type="dxa"/>
              <w:right w:w="90" w:type="dxa"/>
            </w:tcMar>
            <w:shd w:fill="F6F8FA"/>
          </w:tcPr>
          <w:p>
            <w:pPr>
              <w:spacing w:after="0" w:line="257" w:lineRule="auto"/>
              <w:jc w:val="center"/>
            </w:pPr>
            <w:r>
              <w:rPr>
                <w:sz w:val="18"/>
              </w:rPr>
              <w:t>FR06</w:t>
            </w:r>
          </w:p>
        </w:tc>
        <w:tc>
          <w:tcPr>
            <w:tcW w:type="dxa" w:w="3312"/>
            <w:vAlign w:val="center"/>
            <w:tcMar>
              <w:top w:w="90" w:type="dxa"/>
              <w:bottom w:w="90" w:type="dxa"/>
              <w:left w:w="90" w:type="dxa"/>
              <w:right w:w="90" w:type="dxa"/>
            </w:tcMar>
            <w:shd w:fill="F6F8FA"/>
          </w:tcPr>
          <w:p>
            <w:pPr>
              <w:spacing w:after="0" w:line="257" w:lineRule="auto"/>
            </w:pPr>
            <w:r>
              <w:rPr>
                <w:sz w:val="18"/>
              </w:rPr>
              <w:t>Execute a comparison</w:t>
            </w:r>
          </w:p>
        </w:tc>
        <w:tc>
          <w:tcPr>
            <w:tcW w:type="dxa" w:w="6120"/>
            <w:vAlign w:val="center"/>
            <w:tcMar>
              <w:top w:w="90" w:type="dxa"/>
              <w:bottom w:w="90" w:type="dxa"/>
              <w:left w:w="90" w:type="dxa"/>
              <w:right w:w="90" w:type="dxa"/>
            </w:tcMar>
            <w:shd w:fill="F6F8FA"/>
          </w:tcPr>
          <w:p>
            <w:pPr>
              <w:spacing w:after="0" w:line="257" w:lineRule="auto"/>
            </w:pPr>
            <w:r>
              <w:rPr>
                <w:sz w:val="18"/>
              </w:rPr>
              <w:t>Both definitions run on the same frozen snapshot with a stored context</w:t>
            </w:r>
          </w:p>
        </w:tc>
      </w:tr>
      <w:tr>
        <w:trPr>
          <w:cantSplit/>
        </w:trPr>
        <w:tc>
          <w:tcPr>
            <w:tcW w:type="dxa" w:w="792"/>
            <w:vAlign w:val="center"/>
            <w:tcMar>
              <w:top w:w="90" w:type="dxa"/>
              <w:bottom w:w="90" w:type="dxa"/>
              <w:left w:w="90" w:type="dxa"/>
              <w:right w:w="90" w:type="dxa"/>
            </w:tcMar>
            <w:shd w:fill="FFFFFF"/>
          </w:tcPr>
          <w:p>
            <w:pPr>
              <w:spacing w:after="0" w:line="257" w:lineRule="auto"/>
              <w:jc w:val="center"/>
            </w:pPr>
            <w:r>
              <w:rPr>
                <w:sz w:val="18"/>
              </w:rPr>
              <w:t>FR07</w:t>
            </w:r>
          </w:p>
        </w:tc>
        <w:tc>
          <w:tcPr>
            <w:tcW w:type="dxa" w:w="3312"/>
            <w:vAlign w:val="center"/>
            <w:tcMar>
              <w:top w:w="90" w:type="dxa"/>
              <w:bottom w:w="90" w:type="dxa"/>
              <w:left w:w="90" w:type="dxa"/>
              <w:right w:w="90" w:type="dxa"/>
            </w:tcMar>
            <w:shd w:fill="FFFFFF"/>
          </w:tcPr>
          <w:p>
            <w:pPr>
              <w:spacing w:after="0" w:line="257" w:lineRule="auto"/>
            </w:pPr>
            <w:r>
              <w:rPr>
                <w:sz w:val="18"/>
              </w:rPr>
              <w:t>Explain supported gaps</w:t>
            </w:r>
          </w:p>
        </w:tc>
        <w:tc>
          <w:tcPr>
            <w:tcW w:type="dxa" w:w="6120"/>
            <w:vAlign w:val="center"/>
            <w:tcMar>
              <w:top w:w="90" w:type="dxa"/>
              <w:bottom w:w="90" w:type="dxa"/>
              <w:left w:w="90" w:type="dxa"/>
              <w:right w:w="90" w:type="dxa"/>
            </w:tcMar>
            <w:shd w:fill="FFFFFF"/>
          </w:tcPr>
          <w:p>
            <w:pPr>
              <w:spacing w:after="0" w:line="257" w:lineRule="auto"/>
            </w:pPr>
            <w:r>
              <w:rPr>
                <w:sz w:val="18"/>
              </w:rPr>
              <w:t>Report endpoints, signed contributions, method, samples and any unexplained amount</w:t>
            </w:r>
          </w:p>
        </w:tc>
      </w:tr>
      <w:tr>
        <w:trPr>
          <w:cantSplit/>
        </w:trPr>
        <w:tc>
          <w:tcPr>
            <w:tcW w:type="dxa" w:w="792"/>
            <w:vAlign w:val="center"/>
            <w:tcMar>
              <w:top w:w="90" w:type="dxa"/>
              <w:bottom w:w="90" w:type="dxa"/>
              <w:left w:w="90" w:type="dxa"/>
              <w:right w:w="90" w:type="dxa"/>
            </w:tcMar>
            <w:shd w:fill="F6F8FA"/>
          </w:tcPr>
          <w:p>
            <w:pPr>
              <w:spacing w:after="0" w:line="257" w:lineRule="auto"/>
              <w:jc w:val="center"/>
            </w:pPr>
            <w:r>
              <w:rPr>
                <w:sz w:val="18"/>
              </w:rPr>
              <w:t>FR08</w:t>
            </w:r>
          </w:p>
        </w:tc>
        <w:tc>
          <w:tcPr>
            <w:tcW w:type="dxa" w:w="3312"/>
            <w:vAlign w:val="center"/>
            <w:tcMar>
              <w:top w:w="90" w:type="dxa"/>
              <w:bottom w:w="90" w:type="dxa"/>
              <w:left w:w="90" w:type="dxa"/>
              <w:right w:w="90" w:type="dxa"/>
            </w:tcMar>
            <w:shd w:fill="F6F8FA"/>
          </w:tcPr>
          <w:p>
            <w:pPr>
              <w:spacing w:after="0" w:line="257" w:lineRule="auto"/>
            </w:pPr>
            <w:r>
              <w:rPr>
                <w:sz w:val="18"/>
              </w:rPr>
              <w:t>Track definition drift</w:t>
            </w:r>
          </w:p>
        </w:tc>
        <w:tc>
          <w:tcPr>
            <w:tcW w:type="dxa" w:w="6120"/>
            <w:vAlign w:val="center"/>
            <w:tcMar>
              <w:top w:w="90" w:type="dxa"/>
              <w:bottom w:w="90" w:type="dxa"/>
              <w:left w:w="90" w:type="dxa"/>
              <w:right w:w="90" w:type="dxa"/>
            </w:tcMar>
            <w:shd w:fill="F6F8FA"/>
          </w:tcPr>
          <w:p>
            <w:pPr>
              <w:spacing w:after="0" w:line="257" w:lineRule="auto"/>
            </w:pPr>
            <w:r>
              <w:rPr>
                <w:sz w:val="18"/>
              </w:rPr>
              <w:t>Preserve old and new definitions and compare them on a fixed snapshot</w:t>
            </w:r>
          </w:p>
        </w:tc>
      </w:tr>
      <w:tr>
        <w:trPr>
          <w:cantSplit/>
        </w:trPr>
        <w:tc>
          <w:tcPr>
            <w:tcW w:type="dxa" w:w="792"/>
            <w:vAlign w:val="center"/>
            <w:tcMar>
              <w:top w:w="90" w:type="dxa"/>
              <w:bottom w:w="90" w:type="dxa"/>
              <w:left w:w="90" w:type="dxa"/>
              <w:right w:w="90" w:type="dxa"/>
            </w:tcMar>
            <w:shd w:fill="FFFFFF"/>
          </w:tcPr>
          <w:p>
            <w:pPr>
              <w:spacing w:after="0" w:line="257" w:lineRule="auto"/>
              <w:jc w:val="center"/>
            </w:pPr>
            <w:r>
              <w:rPr>
                <w:sz w:val="18"/>
              </w:rPr>
              <w:t>FR09</w:t>
            </w:r>
          </w:p>
        </w:tc>
        <w:tc>
          <w:tcPr>
            <w:tcW w:type="dxa" w:w="3312"/>
            <w:vAlign w:val="center"/>
            <w:tcMar>
              <w:top w:w="90" w:type="dxa"/>
              <w:bottom w:w="90" w:type="dxa"/>
              <w:left w:w="90" w:type="dxa"/>
              <w:right w:w="90" w:type="dxa"/>
            </w:tcMar>
            <w:shd w:fill="FFFFFF"/>
          </w:tcPr>
          <w:p>
            <w:pPr>
              <w:spacing w:after="0" w:line="257" w:lineRule="auto"/>
            </w:pPr>
            <w:r>
              <w:rPr>
                <w:sz w:val="18"/>
              </w:rPr>
              <w:t>Record a reviewed baseline</w:t>
            </w:r>
          </w:p>
        </w:tc>
        <w:tc>
          <w:tcPr>
            <w:tcW w:type="dxa" w:w="6120"/>
            <w:vAlign w:val="center"/>
            <w:tcMar>
              <w:top w:w="90" w:type="dxa"/>
              <w:bottom w:w="90" w:type="dxa"/>
              <w:left w:w="90" w:type="dxa"/>
              <w:right w:w="90" w:type="dxa"/>
            </w:tcMar>
            <w:shd w:fill="FFFFFF"/>
          </w:tcPr>
          <w:p>
            <w:pPr>
              <w:spacing w:after="0" w:line="257" w:lineRule="auto"/>
            </w:pPr>
            <w:r>
              <w:rPr>
                <w:sz w:val="18"/>
              </w:rPr>
              <w:t>Approval stores scope, rationale, version, effective time and actor</w:t>
            </w:r>
          </w:p>
        </w:tc>
      </w:tr>
      <w:tr>
        <w:trPr>
          <w:cantSplit/>
        </w:trPr>
        <w:tc>
          <w:tcPr>
            <w:tcW w:type="dxa" w:w="792"/>
            <w:vAlign w:val="center"/>
            <w:tcMar>
              <w:top w:w="90" w:type="dxa"/>
              <w:bottom w:w="90" w:type="dxa"/>
              <w:left w:w="90" w:type="dxa"/>
              <w:right w:w="90" w:type="dxa"/>
            </w:tcMar>
            <w:shd w:fill="F6F8FA"/>
          </w:tcPr>
          <w:p>
            <w:pPr>
              <w:spacing w:after="0" w:line="257" w:lineRule="auto"/>
              <w:jc w:val="center"/>
            </w:pPr>
            <w:r>
              <w:rPr>
                <w:sz w:val="18"/>
              </w:rPr>
              <w:t>FR10</w:t>
            </w:r>
          </w:p>
        </w:tc>
        <w:tc>
          <w:tcPr>
            <w:tcW w:type="dxa" w:w="3312"/>
            <w:vAlign w:val="center"/>
            <w:tcMar>
              <w:top w:w="90" w:type="dxa"/>
              <w:bottom w:w="90" w:type="dxa"/>
              <w:left w:w="90" w:type="dxa"/>
              <w:right w:w="90" w:type="dxa"/>
            </w:tcMar>
            <w:shd w:fill="F6F8FA"/>
          </w:tcPr>
          <w:p>
            <w:pPr>
              <w:spacing w:after="0" w:line="257" w:lineRule="auto"/>
            </w:pPr>
            <w:r>
              <w:rPr>
                <w:sz w:val="18"/>
              </w:rPr>
              <w:t>Show registered report dependencies</w:t>
            </w:r>
          </w:p>
        </w:tc>
        <w:tc>
          <w:tcPr>
            <w:tcW w:type="dxa" w:w="6120"/>
            <w:vAlign w:val="center"/>
            <w:tcMar>
              <w:top w:w="90" w:type="dxa"/>
              <w:bottom w:w="90" w:type="dxa"/>
              <w:left w:w="90" w:type="dxa"/>
              <w:right w:w="90" w:type="dxa"/>
            </w:tcMar>
            <w:shd w:fill="F6F8FA"/>
          </w:tcPr>
          <w:p>
            <w:pPr>
              <w:spacing w:after="0" w:line="257" w:lineRule="auto"/>
            </w:pPr>
            <w:r>
              <w:rPr>
                <w:sz w:val="18"/>
              </w:rPr>
              <w:t>Every affected asset has a recorded dependency path and coverage label</w:t>
            </w:r>
          </w:p>
        </w:tc>
      </w:tr>
      <w:tr>
        <w:trPr>
          <w:cantSplit/>
        </w:trPr>
        <w:tc>
          <w:tcPr>
            <w:tcW w:type="dxa" w:w="792"/>
            <w:vAlign w:val="center"/>
            <w:tcMar>
              <w:top w:w="90" w:type="dxa"/>
              <w:bottom w:w="90" w:type="dxa"/>
              <w:left w:w="90" w:type="dxa"/>
              <w:right w:w="90" w:type="dxa"/>
            </w:tcMar>
            <w:shd w:fill="FFFFFF"/>
          </w:tcPr>
          <w:p>
            <w:pPr>
              <w:spacing w:after="0" w:line="257" w:lineRule="auto"/>
              <w:jc w:val="center"/>
            </w:pPr>
            <w:r>
              <w:rPr>
                <w:sz w:val="18"/>
              </w:rPr>
              <w:t>FR11</w:t>
            </w:r>
          </w:p>
        </w:tc>
        <w:tc>
          <w:tcPr>
            <w:tcW w:type="dxa" w:w="3312"/>
            <w:vAlign w:val="center"/>
            <w:tcMar>
              <w:top w:w="90" w:type="dxa"/>
              <w:bottom w:w="90" w:type="dxa"/>
              <w:left w:w="90" w:type="dxa"/>
              <w:right w:w="90" w:type="dxa"/>
            </w:tcMar>
            <w:shd w:fill="FFFFFF"/>
          </w:tcPr>
          <w:p>
            <w:pPr>
              <w:spacing w:after="0" w:line="257" w:lineRule="auto"/>
            </w:pPr>
            <w:r>
              <w:rPr>
                <w:sz w:val="18"/>
              </w:rPr>
              <w:t>Export the evidence</w:t>
            </w:r>
          </w:p>
        </w:tc>
        <w:tc>
          <w:tcPr>
            <w:tcW w:type="dxa" w:w="6120"/>
            <w:vAlign w:val="center"/>
            <w:tcMar>
              <w:top w:w="90" w:type="dxa"/>
              <w:bottom w:w="90" w:type="dxa"/>
              <w:left w:w="90" w:type="dxa"/>
              <w:right w:w="90" w:type="dxa"/>
            </w:tcMar>
            <w:shd w:fill="FFFFFF"/>
          </w:tcPr>
          <w:p>
            <w:pPr>
              <w:spacing w:after="0" w:line="257" w:lineRule="auto"/>
            </w:pPr>
            <w:r>
              <w:rPr>
                <w:sz w:val="18"/>
              </w:rPr>
              <w:t>A readable report and JSON include enough identifiers to reproduce the run</w:t>
            </w:r>
          </w:p>
        </w:tc>
      </w:tr>
      <w:tr>
        <w:trPr>
          <w:cantSplit/>
        </w:trPr>
        <w:tc>
          <w:tcPr>
            <w:tcW w:type="dxa" w:w="792"/>
            <w:vAlign w:val="center"/>
            <w:tcMar>
              <w:top w:w="90" w:type="dxa"/>
              <w:bottom w:w="90" w:type="dxa"/>
              <w:left w:w="90" w:type="dxa"/>
              <w:right w:w="90" w:type="dxa"/>
            </w:tcMar>
            <w:shd w:fill="F6F8FA"/>
          </w:tcPr>
          <w:p>
            <w:pPr>
              <w:spacing w:after="0" w:line="257" w:lineRule="auto"/>
              <w:jc w:val="center"/>
            </w:pPr>
            <w:r>
              <w:rPr>
                <w:sz w:val="18"/>
              </w:rPr>
              <w:t>FR12</w:t>
            </w:r>
          </w:p>
        </w:tc>
        <w:tc>
          <w:tcPr>
            <w:tcW w:type="dxa" w:w="3312"/>
            <w:vAlign w:val="center"/>
            <w:tcMar>
              <w:top w:w="90" w:type="dxa"/>
              <w:bottom w:w="90" w:type="dxa"/>
              <w:left w:w="90" w:type="dxa"/>
              <w:right w:w="90" w:type="dxa"/>
            </w:tcMar>
            <w:shd w:fill="F6F8FA"/>
          </w:tcPr>
          <w:p>
            <w:pPr>
              <w:spacing w:after="0" w:line="257" w:lineRule="auto"/>
            </w:pPr>
            <w:r>
              <w:rPr>
                <w:sz w:val="18"/>
              </w:rPr>
              <w:t>Handle failure honestly</w:t>
            </w:r>
          </w:p>
        </w:tc>
        <w:tc>
          <w:tcPr>
            <w:tcW w:type="dxa" w:w="6120"/>
            <w:vAlign w:val="center"/>
            <w:tcMar>
              <w:top w:w="90" w:type="dxa"/>
              <w:bottom w:w="90" w:type="dxa"/>
              <w:left w:w="90" w:type="dxa"/>
              <w:right w:w="90" w:type="dxa"/>
            </w:tcMar>
            <w:shd w:fill="F6F8FA"/>
          </w:tcPr>
          <w:p>
            <w:pPr>
              <w:spacing w:after="0" w:line="257" w:lineRule="auto"/>
            </w:pPr>
            <w:r>
              <w:rPr>
                <w:sz w:val="18"/>
              </w:rPr>
              <w:t>Parse failures, absent data, timeout and unsupported features cannot become green success states</w:t>
            </w:r>
          </w:p>
        </w:tc>
      </w:tr>
    </w:tbl>
    <w:p>
      <w:pPr>
        <w:spacing w:after="20"/>
      </w:pPr>
    </w:p>
    <w:p>
      <w:pPr>
        <w:pStyle w:val="Heading2"/>
      </w:pPr>
      <w:r>
        <w:t>Validation before expanding scope</w:t>
      </w:r>
    </w:p>
    <w:p>
      <w:r>
        <w:t>Interview three to five analysts about an actual recent metric disagreement. Ask where the logic lived, which contexts were missing, what evidence resolved the dispute, and whether access to transaction data was possible. Ask for sanitized examples only. Record whether the problem is mostly definition inconsistency, data freshness, accounting policy, or ownership confusion.</w:t>
      </w:r>
    </w:p>
    <w:p>
      <w:r>
        <w:t>Proceed with the SQL workbench if at least two independently described cases fit the supported workflow and users can supply comparable extracts. If all cases require inaccessible DAX models or unrelated warehouses, adjust the adapter strategy before claiming product fit. The portfolio build can still proceed with synthetic evidence while clearly labeling the validation gap.</w:t>
      </w:r>
    </w:p>
    <w:p>
      <w:pPr>
        <w:pStyle w:val="Heading1"/>
      </w:pPr>
      <w:r>
        <w:t>2 User journeys and screen specifications</w:t>
      </w:r>
    </w:p>
    <w:p>
      <w:pPr>
        <w:pStyle w:val="Heading2"/>
      </w:pPr>
      <w:r>
        <w:t>Primary investigation</w:t>
      </w:r>
    </w:p>
    <w:p>
      <w:r>
        <w:t>An analyst opens a project and imports a dataset. The application shows the schema, row count, grain and validation failures. After confirming the business metadata, the analyst imports existing SQL definitions. MetricGuard suggests related definitions; the analyst decides whether they are expected to agree, intentional variants or unrelated.</w:t>
      </w:r>
    </w:p>
    <w:p>
      <w:r>
        <w:t>The analyst selects two versions, chooses a common reporting period and runs the comparison. The result opens with the observed difference, definition differences and evidence coverage. The analyst can inspect the contributing rows and the ordered rule bridge, then record an explanation or an approved scoped definition. Exporting the report preserves the evidence without changing any source system.</w:t>
      </w:r>
    </w:p>
    <w:p>
      <w:r>
        <w:t>A canonical definition is optional at the start. Existing logic is enough to begin; a reviewed baseline is a possible outcome of the investigation. The first-run form therefore asks for context needed to interpret the logic, not a complete semantic model written from scratch.</w:t>
      </w:r>
    </w:p>
    <w:p>
      <w:pPr>
        <w:pStyle w:val="Heading2"/>
      </w:pPr>
      <w:r>
        <w:t>Six screens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592"/>
        <w:gridCol w:w="2160"/>
        <w:gridCol w:w="3168"/>
      </w:tblGrid>
      <w:tr>
        <w:trPr>
          <w:cantSplit/>
          <w:tblHeader/>
        </w:trPr>
        <w:tc>
          <w:tcPr>
            <w:tcW w:type="dxa" w:w="2304"/>
            <w:vAlign w:val="center"/>
            <w:tcMar>
              <w:top w:w="90" w:type="dxa"/>
              <w:bottom w:w="90" w:type="dxa"/>
              <w:left w:w="90" w:type="dxa"/>
              <w:right w:w="90" w:type="dxa"/>
            </w:tcMar>
            <w:shd w:fill="DBE5ED"/>
          </w:tcPr>
          <w:p>
            <w:pPr>
              <w:spacing w:after="0" w:line="257" w:lineRule="auto"/>
            </w:pPr>
            <w:r>
              <w:rPr>
                <w:b/>
                <w:color w:val="000000"/>
                <w:sz w:val="18"/>
              </w:rPr>
              <w:t>Screen</w:t>
            </w:r>
          </w:p>
        </w:tc>
        <w:tc>
          <w:tcPr>
            <w:tcW w:type="dxa" w:w="2592"/>
            <w:vAlign w:val="center"/>
            <w:tcMar>
              <w:top w:w="90" w:type="dxa"/>
              <w:bottom w:w="90" w:type="dxa"/>
              <w:left w:w="90" w:type="dxa"/>
              <w:right w:w="90" w:type="dxa"/>
            </w:tcMar>
            <w:shd w:fill="DBE5ED"/>
          </w:tcPr>
          <w:p>
            <w:pPr>
              <w:spacing w:after="0" w:line="257" w:lineRule="auto"/>
            </w:pPr>
            <w:r>
              <w:rPr>
                <w:b/>
                <w:color w:val="000000"/>
                <w:sz w:val="18"/>
              </w:rPr>
              <w:t>Main content</w:t>
            </w:r>
          </w:p>
        </w:tc>
        <w:tc>
          <w:tcPr>
            <w:tcW w:type="dxa" w:w="2160"/>
            <w:vAlign w:val="center"/>
            <w:tcMar>
              <w:top w:w="90" w:type="dxa"/>
              <w:bottom w:w="90" w:type="dxa"/>
              <w:left w:w="90" w:type="dxa"/>
              <w:right w:w="90" w:type="dxa"/>
            </w:tcMar>
            <w:shd w:fill="DBE5ED"/>
          </w:tcPr>
          <w:p>
            <w:pPr>
              <w:spacing w:after="0" w:line="257" w:lineRule="auto"/>
            </w:pPr>
            <w:r>
              <w:rPr>
                <w:b/>
                <w:color w:val="000000"/>
                <w:sz w:val="18"/>
              </w:rPr>
              <w:t>Primary action</w:t>
            </w:r>
          </w:p>
        </w:tc>
        <w:tc>
          <w:tcPr>
            <w:tcW w:type="dxa" w:w="3168"/>
            <w:vAlign w:val="center"/>
            <w:tcMar>
              <w:top w:w="90" w:type="dxa"/>
              <w:bottom w:w="90" w:type="dxa"/>
              <w:left w:w="90" w:type="dxa"/>
              <w:right w:w="90" w:type="dxa"/>
            </w:tcMar>
            <w:shd w:fill="DBE5ED"/>
          </w:tcPr>
          <w:p>
            <w:pPr>
              <w:spacing w:after="0" w:line="257" w:lineRule="auto"/>
            </w:pPr>
            <w:r>
              <w:rPr>
                <w:b/>
                <w:color w:val="000000"/>
                <w:sz w:val="18"/>
              </w:rPr>
              <w:t>Important states</w:t>
            </w:r>
          </w:p>
        </w:tc>
      </w:tr>
      <w:tr>
        <w:trPr>
          <w:cantSplit/>
        </w:trPr>
        <w:tc>
          <w:tcPr>
            <w:tcW w:type="dxa" w:w="2304"/>
            <w:vAlign w:val="center"/>
            <w:tcMar>
              <w:top w:w="90" w:type="dxa"/>
              <w:bottom w:w="90" w:type="dxa"/>
              <w:left w:w="90" w:type="dxa"/>
              <w:right w:w="90" w:type="dxa"/>
            </w:tcMar>
            <w:shd w:fill="FFFFFF"/>
          </w:tcPr>
          <w:p>
            <w:pPr>
              <w:spacing w:after="0" w:line="257" w:lineRule="auto"/>
            </w:pPr>
            <w:r>
              <w:rPr>
                <w:sz w:val="18"/>
              </w:rPr>
              <w:t>Project overview</w:t>
            </w:r>
          </w:p>
        </w:tc>
        <w:tc>
          <w:tcPr>
            <w:tcW w:type="dxa" w:w="2592"/>
            <w:vAlign w:val="center"/>
            <w:tcMar>
              <w:top w:w="90" w:type="dxa"/>
              <w:bottom w:w="90" w:type="dxa"/>
              <w:left w:w="90" w:type="dxa"/>
              <w:right w:w="90" w:type="dxa"/>
            </w:tcMar>
            <w:shd w:fill="FFFFFF"/>
          </w:tcPr>
          <w:p>
            <w:pPr>
              <w:spacing w:after="0" w:line="257" w:lineRule="auto"/>
            </w:pPr>
            <w:r>
              <w:rPr>
                <w:sz w:val="18"/>
              </w:rPr>
              <w:t>Imports, reviewed pairs, open cases, definition changes and coverage</w:t>
            </w:r>
          </w:p>
        </w:tc>
        <w:tc>
          <w:tcPr>
            <w:tcW w:type="dxa" w:w="2160"/>
            <w:vAlign w:val="center"/>
            <w:tcMar>
              <w:top w:w="90" w:type="dxa"/>
              <w:bottom w:w="90" w:type="dxa"/>
              <w:left w:w="90" w:type="dxa"/>
              <w:right w:w="90" w:type="dxa"/>
            </w:tcMar>
            <w:shd w:fill="FFFFFF"/>
          </w:tcPr>
          <w:p>
            <w:pPr>
              <w:spacing w:after="0" w:line="257" w:lineRule="auto"/>
            </w:pPr>
            <w:r>
              <w:rPr>
                <w:sz w:val="18"/>
              </w:rPr>
              <w:t>Start investigation</w:t>
            </w:r>
          </w:p>
        </w:tc>
        <w:tc>
          <w:tcPr>
            <w:tcW w:type="dxa" w:w="3168"/>
            <w:vAlign w:val="center"/>
            <w:tcMar>
              <w:top w:w="90" w:type="dxa"/>
              <w:bottom w:w="90" w:type="dxa"/>
              <w:left w:w="90" w:type="dxa"/>
              <w:right w:w="90" w:type="dxa"/>
            </w:tcMar>
            <w:shd w:fill="FFFFFF"/>
          </w:tcPr>
          <w:p>
            <w:pPr>
              <w:spacing w:after="0" w:line="257" w:lineRule="auto"/>
            </w:pPr>
            <w:r>
              <w:rPr>
                <w:sz w:val="18"/>
              </w:rPr>
              <w:t>Empty project; imports incomplete; no open cases</w:t>
            </w:r>
          </w:p>
        </w:tc>
      </w:tr>
      <w:tr>
        <w:trPr>
          <w:cantSplit/>
        </w:trPr>
        <w:tc>
          <w:tcPr>
            <w:tcW w:type="dxa" w:w="2304"/>
            <w:vAlign w:val="center"/>
            <w:tcMar>
              <w:top w:w="90" w:type="dxa"/>
              <w:bottom w:w="90" w:type="dxa"/>
              <w:left w:w="90" w:type="dxa"/>
              <w:right w:w="90" w:type="dxa"/>
            </w:tcMar>
            <w:shd w:fill="F6F8FA"/>
          </w:tcPr>
          <w:p>
            <w:pPr>
              <w:spacing w:after="0" w:line="257" w:lineRule="auto"/>
            </w:pPr>
            <w:r>
              <w:rPr>
                <w:sz w:val="18"/>
              </w:rPr>
              <w:t>Import and validate</w:t>
            </w:r>
          </w:p>
        </w:tc>
        <w:tc>
          <w:tcPr>
            <w:tcW w:type="dxa" w:w="2592"/>
            <w:vAlign w:val="center"/>
            <w:tcMar>
              <w:top w:w="90" w:type="dxa"/>
              <w:bottom w:w="90" w:type="dxa"/>
              <w:left w:w="90" w:type="dxa"/>
              <w:right w:w="90" w:type="dxa"/>
            </w:tcMar>
            <w:shd w:fill="F6F8FA"/>
          </w:tcPr>
          <w:p>
            <w:pPr>
              <w:spacing w:after="0" w:line="257" w:lineRule="auto"/>
            </w:pPr>
            <w:r>
              <w:rPr>
                <w:sz w:val="18"/>
              </w:rPr>
              <w:t>Dataset schema, grain, source metadata, parse support and missing context</w:t>
            </w:r>
          </w:p>
        </w:tc>
        <w:tc>
          <w:tcPr>
            <w:tcW w:type="dxa" w:w="2160"/>
            <w:vAlign w:val="center"/>
            <w:tcMar>
              <w:top w:w="90" w:type="dxa"/>
              <w:bottom w:w="90" w:type="dxa"/>
              <w:left w:w="90" w:type="dxa"/>
              <w:right w:w="90" w:type="dxa"/>
            </w:tcMar>
            <w:shd w:fill="F6F8FA"/>
          </w:tcPr>
          <w:p>
            <w:pPr>
              <w:spacing w:after="0" w:line="257" w:lineRule="auto"/>
            </w:pPr>
            <w:r>
              <w:rPr>
                <w:sz w:val="18"/>
              </w:rPr>
              <w:t>Confirm import</w:t>
            </w:r>
          </w:p>
        </w:tc>
        <w:tc>
          <w:tcPr>
            <w:tcW w:type="dxa" w:w="3168"/>
            <w:vAlign w:val="center"/>
            <w:tcMar>
              <w:top w:w="90" w:type="dxa"/>
              <w:bottom w:w="90" w:type="dxa"/>
              <w:left w:w="90" w:type="dxa"/>
              <w:right w:w="90" w:type="dxa"/>
            </w:tcMar>
            <w:shd w:fill="F6F8FA"/>
          </w:tcPr>
          <w:p>
            <w:pPr>
              <w:spacing w:after="0" w:line="257" w:lineRule="auto"/>
            </w:pPr>
            <w:r>
              <w:rPr>
                <w:sz w:val="18"/>
              </w:rPr>
              <w:t>Rejected file; duplicate key; unknown currency; unsupported query</w:t>
            </w:r>
          </w:p>
        </w:tc>
      </w:tr>
      <w:tr>
        <w:trPr>
          <w:cantSplit/>
        </w:trPr>
        <w:tc>
          <w:tcPr>
            <w:tcW w:type="dxa" w:w="2304"/>
            <w:vAlign w:val="center"/>
            <w:tcMar>
              <w:top w:w="90" w:type="dxa"/>
              <w:bottom w:w="90" w:type="dxa"/>
              <w:left w:w="90" w:type="dxa"/>
              <w:right w:w="90" w:type="dxa"/>
            </w:tcMar>
            <w:shd w:fill="FFFFFF"/>
          </w:tcPr>
          <w:p>
            <w:pPr>
              <w:spacing w:after="0" w:line="257" w:lineRule="auto"/>
            </w:pPr>
            <w:r>
              <w:rPr>
                <w:sz w:val="18"/>
              </w:rPr>
              <w:t>Metric inventory</w:t>
            </w:r>
          </w:p>
        </w:tc>
        <w:tc>
          <w:tcPr>
            <w:tcW w:type="dxa" w:w="2592"/>
            <w:vAlign w:val="center"/>
            <w:tcMar>
              <w:top w:w="90" w:type="dxa"/>
              <w:bottom w:w="90" w:type="dxa"/>
              <w:left w:w="90" w:type="dxa"/>
              <w:right w:w="90" w:type="dxa"/>
            </w:tcMar>
            <w:shd w:fill="FFFFFF"/>
          </w:tcPr>
          <w:p>
            <w:pPr>
              <w:spacing w:after="0" w:line="257" w:lineRule="auto"/>
            </w:pPr>
            <w:r>
              <w:rPr>
                <w:sz w:val="18"/>
              </w:rPr>
              <w:t>Definition name, source, family, version, support and owner</w:t>
            </w:r>
          </w:p>
        </w:tc>
        <w:tc>
          <w:tcPr>
            <w:tcW w:type="dxa" w:w="2160"/>
            <w:vAlign w:val="center"/>
            <w:tcMar>
              <w:top w:w="90" w:type="dxa"/>
              <w:bottom w:w="90" w:type="dxa"/>
              <w:left w:w="90" w:type="dxa"/>
              <w:right w:w="90" w:type="dxa"/>
            </w:tcMar>
            <w:shd w:fill="FFFFFF"/>
          </w:tcPr>
          <w:p>
            <w:pPr>
              <w:spacing w:after="0" w:line="257" w:lineRule="auto"/>
            </w:pPr>
            <w:r>
              <w:rPr>
                <w:sz w:val="18"/>
              </w:rPr>
              <w:t>Review suggested pair</w:t>
            </w:r>
          </w:p>
        </w:tc>
        <w:tc>
          <w:tcPr>
            <w:tcW w:type="dxa" w:w="3168"/>
            <w:vAlign w:val="center"/>
            <w:tcMar>
              <w:top w:w="90" w:type="dxa"/>
              <w:bottom w:w="90" w:type="dxa"/>
              <w:left w:w="90" w:type="dxa"/>
              <w:right w:w="90" w:type="dxa"/>
            </w:tcMar>
            <w:shd w:fill="FFFFFF"/>
          </w:tcPr>
          <w:p>
            <w:pPr>
              <w:spacing w:after="0" w:line="257" w:lineRule="auto"/>
            </w:pPr>
            <w:r>
              <w:rPr>
                <w:sz w:val="18"/>
              </w:rPr>
              <w:t>Candidate; intentional variant; rejected match</w:t>
            </w:r>
          </w:p>
        </w:tc>
      </w:tr>
      <w:tr>
        <w:trPr>
          <w:cantSplit/>
        </w:trPr>
        <w:tc>
          <w:tcPr>
            <w:tcW w:type="dxa" w:w="2304"/>
            <w:vAlign w:val="center"/>
            <w:tcMar>
              <w:top w:w="90" w:type="dxa"/>
              <w:bottom w:w="90" w:type="dxa"/>
              <w:left w:w="90" w:type="dxa"/>
              <w:right w:w="90" w:type="dxa"/>
            </w:tcMar>
            <w:shd w:fill="F6F8FA"/>
          </w:tcPr>
          <w:p>
            <w:pPr>
              <w:spacing w:after="0" w:line="257" w:lineRule="auto"/>
            </w:pPr>
            <w:r>
              <w:rPr>
                <w:sz w:val="18"/>
              </w:rPr>
              <w:t>Comparison workspace</w:t>
            </w:r>
          </w:p>
        </w:tc>
        <w:tc>
          <w:tcPr>
            <w:tcW w:type="dxa" w:w="2592"/>
            <w:vAlign w:val="center"/>
            <w:tcMar>
              <w:top w:w="90" w:type="dxa"/>
              <w:bottom w:w="90" w:type="dxa"/>
              <w:left w:w="90" w:type="dxa"/>
              <w:right w:w="90" w:type="dxa"/>
            </w:tcMar>
            <w:shd w:fill="F6F8FA"/>
          </w:tcPr>
          <w:p>
            <w:pPr>
              <w:spacing w:after="0" w:line="257" w:lineRule="auto"/>
            </w:pPr>
            <w:r>
              <w:rPr>
                <w:sz w:val="18"/>
              </w:rPr>
              <w:t>Context, two definitions, totals, differences and explanation tabs</w:t>
            </w:r>
          </w:p>
        </w:tc>
        <w:tc>
          <w:tcPr>
            <w:tcW w:type="dxa" w:w="2160"/>
            <w:vAlign w:val="center"/>
            <w:tcMar>
              <w:top w:w="90" w:type="dxa"/>
              <w:bottom w:w="90" w:type="dxa"/>
              <w:left w:w="90" w:type="dxa"/>
              <w:right w:w="90" w:type="dxa"/>
            </w:tcMar>
            <w:shd w:fill="F6F8FA"/>
          </w:tcPr>
          <w:p>
            <w:pPr>
              <w:spacing w:after="0" w:line="257" w:lineRule="auto"/>
            </w:pPr>
            <w:r>
              <w:rPr>
                <w:sz w:val="18"/>
              </w:rPr>
              <w:t>Run comparison</w:t>
            </w:r>
          </w:p>
        </w:tc>
        <w:tc>
          <w:tcPr>
            <w:tcW w:type="dxa" w:w="3168"/>
            <w:vAlign w:val="center"/>
            <w:tcMar>
              <w:top w:w="90" w:type="dxa"/>
              <w:bottom w:w="90" w:type="dxa"/>
              <w:left w:w="90" w:type="dxa"/>
              <w:right w:w="90" w:type="dxa"/>
            </w:tcMar>
            <w:shd w:fill="F6F8FA"/>
          </w:tcPr>
          <w:p>
            <w:pPr>
              <w:spacing w:after="0" w:line="257" w:lineRule="auto"/>
            </w:pPr>
            <w:r>
              <w:rPr>
                <w:sz w:val="18"/>
              </w:rPr>
              <w:t>Needs context; queued; running; partial; failed; complete</w:t>
            </w:r>
          </w:p>
        </w:tc>
      </w:tr>
      <w:tr>
        <w:trPr>
          <w:cantSplit/>
        </w:trPr>
        <w:tc>
          <w:tcPr>
            <w:tcW w:type="dxa" w:w="2304"/>
            <w:vAlign w:val="center"/>
            <w:tcMar>
              <w:top w:w="90" w:type="dxa"/>
              <w:bottom w:w="90" w:type="dxa"/>
              <w:left w:w="90" w:type="dxa"/>
              <w:right w:w="90" w:type="dxa"/>
            </w:tcMar>
            <w:shd w:fill="FFFFFF"/>
          </w:tcPr>
          <w:p>
            <w:pPr>
              <w:spacing w:after="0" w:line="257" w:lineRule="auto"/>
            </w:pPr>
            <w:r>
              <w:rPr>
                <w:sz w:val="18"/>
              </w:rPr>
              <w:t>Definition history</w:t>
            </w:r>
          </w:p>
        </w:tc>
        <w:tc>
          <w:tcPr>
            <w:tcW w:type="dxa" w:w="2592"/>
            <w:vAlign w:val="center"/>
            <w:tcMar>
              <w:top w:w="90" w:type="dxa"/>
              <w:bottom w:w="90" w:type="dxa"/>
              <w:left w:w="90" w:type="dxa"/>
              <w:right w:w="90" w:type="dxa"/>
            </w:tcMar>
            <w:shd w:fill="FFFFFF"/>
          </w:tcPr>
          <w:p>
            <w:pPr>
              <w:spacing w:after="0" w:line="257" w:lineRule="auto"/>
            </w:pPr>
            <w:r>
              <w:rPr>
                <w:sz w:val="18"/>
              </w:rPr>
              <w:t>Version timeline, structural changes, same-snapshot replay and recorded decisions</w:t>
            </w:r>
          </w:p>
        </w:tc>
        <w:tc>
          <w:tcPr>
            <w:tcW w:type="dxa" w:w="2160"/>
            <w:vAlign w:val="center"/>
            <w:tcMar>
              <w:top w:w="90" w:type="dxa"/>
              <w:bottom w:w="90" w:type="dxa"/>
              <w:left w:w="90" w:type="dxa"/>
              <w:right w:w="90" w:type="dxa"/>
            </w:tcMar>
            <w:shd w:fill="FFFFFF"/>
          </w:tcPr>
          <w:p>
            <w:pPr>
              <w:spacing w:after="0" w:line="257" w:lineRule="auto"/>
            </w:pPr>
            <w:r>
              <w:rPr>
                <w:sz w:val="18"/>
              </w:rPr>
              <w:t>Compare versions</w:t>
            </w:r>
          </w:p>
        </w:tc>
        <w:tc>
          <w:tcPr>
            <w:tcW w:type="dxa" w:w="3168"/>
            <w:vAlign w:val="center"/>
            <w:tcMar>
              <w:top w:w="90" w:type="dxa"/>
              <w:bottom w:w="90" w:type="dxa"/>
              <w:left w:w="90" w:type="dxa"/>
              <w:right w:w="90" w:type="dxa"/>
            </w:tcMar>
            <w:shd w:fill="FFFFFF"/>
          </w:tcPr>
          <w:p>
            <w:pPr>
              <w:spacing w:after="0" w:line="257" w:lineRule="auto"/>
            </w:pPr>
            <w:r>
              <w:rPr>
                <w:sz w:val="18"/>
              </w:rPr>
              <w:t>First import; cosmetic change; material change; approved change</w:t>
            </w:r>
          </w:p>
        </w:tc>
      </w:tr>
      <w:tr>
        <w:trPr>
          <w:cantSplit/>
        </w:trPr>
        <w:tc>
          <w:tcPr>
            <w:tcW w:type="dxa" w:w="2304"/>
            <w:vAlign w:val="center"/>
            <w:tcMar>
              <w:top w:w="90" w:type="dxa"/>
              <w:bottom w:w="90" w:type="dxa"/>
              <w:left w:w="90" w:type="dxa"/>
              <w:right w:w="90" w:type="dxa"/>
            </w:tcMar>
            <w:shd w:fill="F6F8FA"/>
          </w:tcPr>
          <w:p>
            <w:pPr>
              <w:spacing w:after="0" w:line="257" w:lineRule="auto"/>
            </w:pPr>
            <w:r>
              <w:rPr>
                <w:sz w:val="18"/>
              </w:rPr>
              <w:t>Baseline and evidence</w:t>
            </w:r>
          </w:p>
        </w:tc>
        <w:tc>
          <w:tcPr>
            <w:tcW w:type="dxa" w:w="2592"/>
            <w:vAlign w:val="center"/>
            <w:tcMar>
              <w:top w:w="90" w:type="dxa"/>
              <w:bottom w:w="90" w:type="dxa"/>
              <w:left w:w="90" w:type="dxa"/>
              <w:right w:w="90" w:type="dxa"/>
            </w:tcMar>
            <w:shd w:fill="F6F8FA"/>
          </w:tcPr>
          <w:p>
            <w:pPr>
              <w:spacing w:after="0" w:line="257" w:lineRule="auto"/>
            </w:pPr>
            <w:r>
              <w:rPr>
                <w:sz w:val="18"/>
              </w:rPr>
              <w:t>Scoped definition, known consumers, rationale and exported evidence</w:t>
            </w:r>
          </w:p>
        </w:tc>
        <w:tc>
          <w:tcPr>
            <w:tcW w:type="dxa" w:w="2160"/>
            <w:vAlign w:val="center"/>
            <w:tcMar>
              <w:top w:w="90" w:type="dxa"/>
              <w:bottom w:w="90" w:type="dxa"/>
              <w:left w:w="90" w:type="dxa"/>
              <w:right w:w="90" w:type="dxa"/>
            </w:tcMar>
            <w:shd w:fill="F6F8FA"/>
          </w:tcPr>
          <w:p>
            <w:pPr>
              <w:spacing w:after="0" w:line="257" w:lineRule="auto"/>
            </w:pPr>
            <w:r>
              <w:rPr>
                <w:sz w:val="18"/>
              </w:rPr>
              <w:t>Record decision or export</w:t>
            </w:r>
          </w:p>
        </w:tc>
        <w:tc>
          <w:tcPr>
            <w:tcW w:type="dxa" w:w="3168"/>
            <w:vAlign w:val="center"/>
            <w:tcMar>
              <w:top w:w="90" w:type="dxa"/>
              <w:bottom w:w="90" w:type="dxa"/>
              <w:left w:w="90" w:type="dxa"/>
              <w:right w:w="90" w:type="dxa"/>
            </w:tcMar>
            <w:shd w:fill="F6F8FA"/>
          </w:tcPr>
          <w:p>
            <w:pPr>
              <w:spacing w:after="0" w:line="257" w:lineRule="auto"/>
            </w:pPr>
            <w:r>
              <w:rPr>
                <w:sz w:val="18"/>
              </w:rPr>
              <w:t>Draft; approved locally; superseded; replay unavailable</w:t>
            </w:r>
          </w:p>
        </w:tc>
      </w:tr>
    </w:tbl>
    <w:p>
      <w:pPr>
        <w:spacing w:after="20"/>
      </w:pPr>
    </w:p>
    <w:p>
      <w:pPr>
        <w:pStyle w:val="Heading2"/>
      </w:pPr>
      <w:r>
        <w:t>Comparison workspace detail</w:t>
      </w:r>
    </w:p>
    <w:p>
      <w:r>
        <w:t>The top line identifies the metric family, the exact two definition versions and the context. For example: Sales reporting, August 2026, INR, order grain, synthetic snapshot demo01. Below it, show Dashboard A at INR 104000000.00, Finance at INR 98000000.00, and Target minus baseline at INR -6000000.00.</w:t>
      </w:r>
    </w:p>
    <w:p>
      <w:r>
        <w:t>Present four tabs: Definition differences, Value bridge, Evidence rows, and Provenance. Definition differences compares amount formula, business predicate, time field, missing-value behavior and scope. The value bridge shows the ordered steps with signed amounts. Evidence rows provide a paginated contribution table and can be sorted by absolute impact. Provenance provides version, snapshot and engine information for reviewers who need it.</w:t>
      </w:r>
    </w:p>
    <w:p>
      <w:r>
        <w:t>The explanation should read naturally: "On the imported August snapshot, the finance definition is INR 6000000 lower. Applying refund treatment, then payment eligibility, then payment date explains the observed gap. This bridge uses that declared order." Every sentence containing a numeric result must be generated from the stored result, not composed from memory or an LLM estimate.</w:t>
      </w:r>
    </w:p>
    <w:p>
      <w:pPr>
        <w:pStyle w:val="Heading2"/>
      </w:pPr>
      <w:r>
        <w:t>Status model</w:t>
      </w:r>
    </w:p>
    <w:p>
      <w:r>
        <w:t>Use separate status fields instead of one red or green badge. A metric can have a definition difference while the currently observed values match.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384"/>
        <w:gridCol w:w="4320"/>
      </w:tblGrid>
      <w:tr>
        <w:trPr>
          <w:cantSplit/>
          <w:tblHeader/>
        </w:trPr>
        <w:tc>
          <w:tcPr>
            <w:tcW w:type="dxa" w:w="2520"/>
            <w:vAlign w:val="center"/>
            <w:tcMar>
              <w:top w:w="90" w:type="dxa"/>
              <w:bottom w:w="90" w:type="dxa"/>
              <w:left w:w="90" w:type="dxa"/>
              <w:right w:w="90" w:type="dxa"/>
            </w:tcMar>
            <w:shd w:fill="DBE5ED"/>
          </w:tcPr>
          <w:p>
            <w:pPr>
              <w:spacing w:after="0" w:line="257" w:lineRule="auto"/>
            </w:pPr>
            <w:r>
              <w:rPr>
                <w:b/>
                <w:color w:val="000000"/>
                <w:sz w:val="18"/>
              </w:rPr>
              <w:t>Dimension</w:t>
            </w:r>
          </w:p>
        </w:tc>
        <w:tc>
          <w:tcPr>
            <w:tcW w:type="dxa" w:w="3384"/>
            <w:vAlign w:val="center"/>
            <w:tcMar>
              <w:top w:w="90" w:type="dxa"/>
              <w:bottom w:w="90" w:type="dxa"/>
              <w:left w:w="90" w:type="dxa"/>
              <w:right w:w="90" w:type="dxa"/>
            </w:tcMar>
            <w:shd w:fill="DBE5ED"/>
          </w:tcPr>
          <w:p>
            <w:pPr>
              <w:spacing w:after="0" w:line="257" w:lineRule="auto"/>
            </w:pPr>
            <w:r>
              <w:rPr>
                <w:b/>
                <w:color w:val="000000"/>
                <w:sz w:val="18"/>
              </w:rPr>
              <w:t>Values</w:t>
            </w:r>
          </w:p>
        </w:tc>
        <w:tc>
          <w:tcPr>
            <w:tcW w:type="dxa" w:w="4320"/>
            <w:vAlign w:val="center"/>
            <w:tcMar>
              <w:top w:w="90" w:type="dxa"/>
              <w:bottom w:w="90" w:type="dxa"/>
              <w:left w:w="90" w:type="dxa"/>
              <w:right w:w="90" w:type="dxa"/>
            </w:tcMar>
            <w:shd w:fill="DBE5ED"/>
          </w:tcPr>
          <w:p>
            <w:pPr>
              <w:spacing w:after="0" w:line="257" w:lineRule="auto"/>
            </w:pPr>
            <w:r>
              <w:rPr>
                <w:b/>
                <w:color w:val="000000"/>
                <w:sz w:val="18"/>
              </w:rPr>
              <w:t>Meaning</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Relationship</w:t>
            </w:r>
          </w:p>
        </w:tc>
        <w:tc>
          <w:tcPr>
            <w:tcW w:type="dxa" w:w="3384"/>
            <w:vAlign w:val="center"/>
            <w:tcMar>
              <w:top w:w="90" w:type="dxa"/>
              <w:bottom w:w="90" w:type="dxa"/>
              <w:left w:w="90" w:type="dxa"/>
              <w:right w:w="90" w:type="dxa"/>
            </w:tcMar>
            <w:shd w:fill="FFFFFF"/>
          </w:tcPr>
          <w:p>
            <w:pPr>
              <w:spacing w:after="0" w:line="257" w:lineRule="auto"/>
            </w:pPr>
            <w:r>
              <w:rPr>
                <w:sz w:val="18"/>
              </w:rPr>
              <w:t>Candidate, expected agreement, intentional variant, unrelated</w:t>
            </w:r>
          </w:p>
        </w:tc>
        <w:tc>
          <w:tcPr>
            <w:tcW w:type="dxa" w:w="4320"/>
            <w:vAlign w:val="center"/>
            <w:tcMar>
              <w:top w:w="90" w:type="dxa"/>
              <w:bottom w:w="90" w:type="dxa"/>
              <w:left w:w="90" w:type="dxa"/>
              <w:right w:w="90" w:type="dxa"/>
            </w:tcMar>
            <w:shd w:fill="FFFFFF"/>
          </w:tcPr>
          <w:p>
            <w:pPr>
              <w:spacing w:after="0" w:line="257" w:lineRule="auto"/>
            </w:pPr>
            <w:r>
              <w:rPr>
                <w:sz w:val="18"/>
              </w:rPr>
              <w:t>Human interpretation of business purpose</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Context</w:t>
            </w:r>
          </w:p>
        </w:tc>
        <w:tc>
          <w:tcPr>
            <w:tcW w:type="dxa" w:w="3384"/>
            <w:vAlign w:val="center"/>
            <w:tcMar>
              <w:top w:w="90" w:type="dxa"/>
              <w:bottom w:w="90" w:type="dxa"/>
              <w:left w:w="90" w:type="dxa"/>
              <w:right w:w="90" w:type="dxa"/>
            </w:tcMar>
            <w:shd w:fill="F6F8FA"/>
          </w:tcPr>
          <w:p>
            <w:pPr>
              <w:spacing w:after="0" w:line="257" w:lineRule="auto"/>
            </w:pPr>
            <w:r>
              <w:rPr>
                <w:sz w:val="18"/>
              </w:rPr>
              <w:t>Comparable, needs context, not comparable</w:t>
            </w:r>
          </w:p>
        </w:tc>
        <w:tc>
          <w:tcPr>
            <w:tcW w:type="dxa" w:w="4320"/>
            <w:vAlign w:val="center"/>
            <w:tcMar>
              <w:top w:w="90" w:type="dxa"/>
              <w:bottom w:w="90" w:type="dxa"/>
              <w:left w:w="90" w:type="dxa"/>
              <w:right w:w="90" w:type="dxa"/>
            </w:tcMar>
            <w:shd w:fill="F6F8FA"/>
          </w:tcPr>
          <w:p>
            <w:pPr>
              <w:spacing w:after="0" w:line="257" w:lineRule="auto"/>
            </w:pPr>
            <w:r>
              <w:rPr>
                <w:sz w:val="18"/>
              </w:rPr>
              <w:t>Whether a fair replay can run</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Definition</w:t>
            </w:r>
          </w:p>
        </w:tc>
        <w:tc>
          <w:tcPr>
            <w:tcW w:type="dxa" w:w="3384"/>
            <w:vAlign w:val="center"/>
            <w:tcMar>
              <w:top w:w="90" w:type="dxa"/>
              <w:bottom w:w="90" w:type="dxa"/>
              <w:left w:w="90" w:type="dxa"/>
              <w:right w:w="90" w:type="dxa"/>
            </w:tcMar>
            <w:shd w:fill="FFFFFF"/>
          </w:tcPr>
          <w:p>
            <w:pPr>
              <w:spacing w:after="0" w:line="257" w:lineRule="auto"/>
            </w:pPr>
            <w:r>
              <w:rPr>
                <w:sz w:val="18"/>
              </w:rPr>
              <w:t>Same supported representation, different, unknown</w:t>
            </w:r>
          </w:p>
        </w:tc>
        <w:tc>
          <w:tcPr>
            <w:tcW w:type="dxa" w:w="4320"/>
            <w:vAlign w:val="center"/>
            <w:tcMar>
              <w:top w:w="90" w:type="dxa"/>
              <w:bottom w:w="90" w:type="dxa"/>
              <w:left w:w="90" w:type="dxa"/>
              <w:right w:w="90" w:type="dxa"/>
            </w:tcMar>
            <w:shd w:fill="FFFFFF"/>
          </w:tcPr>
          <w:p>
            <w:pPr>
              <w:spacing w:after="0" w:line="257" w:lineRule="auto"/>
            </w:pPr>
            <w:r>
              <w:rPr>
                <w:sz w:val="18"/>
              </w:rPr>
              <w:t>Structural assessment within the declared support boundary</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Value</w:t>
            </w:r>
          </w:p>
        </w:tc>
        <w:tc>
          <w:tcPr>
            <w:tcW w:type="dxa" w:w="3384"/>
            <w:vAlign w:val="center"/>
            <w:tcMar>
              <w:top w:w="90" w:type="dxa"/>
              <w:bottom w:w="90" w:type="dxa"/>
              <w:left w:w="90" w:type="dxa"/>
              <w:right w:w="90" w:type="dxa"/>
            </w:tcMar>
            <w:shd w:fill="F6F8FA"/>
          </w:tcPr>
          <w:p>
            <w:pPr>
              <w:spacing w:after="0" w:line="257" w:lineRule="auto"/>
            </w:pPr>
            <w:r>
              <w:rPr>
                <w:sz w:val="18"/>
              </w:rPr>
              <w:t>Equal on snapshot, within tolerance, different, not run</w:t>
            </w:r>
          </w:p>
        </w:tc>
        <w:tc>
          <w:tcPr>
            <w:tcW w:type="dxa" w:w="4320"/>
            <w:vAlign w:val="center"/>
            <w:tcMar>
              <w:top w:w="90" w:type="dxa"/>
              <w:bottom w:w="90" w:type="dxa"/>
              <w:left w:w="90" w:type="dxa"/>
              <w:right w:w="90" w:type="dxa"/>
            </w:tcMar>
            <w:shd w:fill="F6F8FA"/>
          </w:tcPr>
          <w:p>
            <w:pPr>
              <w:spacing w:after="0" w:line="257" w:lineRule="auto"/>
            </w:pPr>
            <w:r>
              <w:rPr>
                <w:sz w:val="18"/>
              </w:rPr>
              <w:t>Observed numeric assessment</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Explanation</w:t>
            </w:r>
          </w:p>
        </w:tc>
        <w:tc>
          <w:tcPr>
            <w:tcW w:type="dxa" w:w="3384"/>
            <w:vAlign w:val="center"/>
            <w:tcMar>
              <w:top w:w="90" w:type="dxa"/>
              <w:bottom w:w="90" w:type="dxa"/>
              <w:left w:w="90" w:type="dxa"/>
              <w:right w:w="90" w:type="dxa"/>
            </w:tcMar>
            <w:shd w:fill="FFFFFF"/>
          </w:tcPr>
          <w:p>
            <w:pPr>
              <w:spacing w:after="0" w:line="257" w:lineRule="auto"/>
            </w:pPr>
            <w:r>
              <w:rPr>
                <w:sz w:val="18"/>
              </w:rPr>
              <w:t>Complete ordered bridge, partial, row evidence only, unavailable</w:t>
            </w:r>
          </w:p>
        </w:tc>
        <w:tc>
          <w:tcPr>
            <w:tcW w:type="dxa" w:w="4320"/>
            <w:vAlign w:val="center"/>
            <w:tcMar>
              <w:top w:w="90" w:type="dxa"/>
              <w:bottom w:w="90" w:type="dxa"/>
              <w:left w:w="90" w:type="dxa"/>
              <w:right w:w="90" w:type="dxa"/>
            </w:tcMar>
            <w:shd w:fill="FFFFFF"/>
          </w:tcPr>
          <w:p>
            <w:pPr>
              <w:spacing w:after="0" w:line="257" w:lineRule="auto"/>
            </w:pPr>
            <w:r>
              <w:rPr>
                <w:sz w:val="18"/>
              </w:rPr>
              <w:t>What the evidence supports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Review</w:t>
            </w:r>
          </w:p>
        </w:tc>
        <w:tc>
          <w:tcPr>
            <w:tcW w:type="dxa" w:w="3384"/>
            <w:vAlign w:val="center"/>
            <w:tcMar>
              <w:top w:w="90" w:type="dxa"/>
              <w:bottom w:w="90" w:type="dxa"/>
              <w:left w:w="90" w:type="dxa"/>
              <w:right w:w="90" w:type="dxa"/>
            </w:tcMar>
            <w:shd w:fill="F6F8FA"/>
          </w:tcPr>
          <w:p>
            <w:pPr>
              <w:spacing w:after="0" w:line="257" w:lineRule="auto"/>
            </w:pPr>
            <w:r>
              <w:rPr>
                <w:sz w:val="18"/>
              </w:rPr>
              <w:t>Open, reviewed, baseline recorded, superseded</w:t>
            </w:r>
          </w:p>
        </w:tc>
        <w:tc>
          <w:tcPr>
            <w:tcW w:type="dxa" w:w="4320"/>
            <w:vAlign w:val="center"/>
            <w:tcMar>
              <w:top w:w="90" w:type="dxa"/>
              <w:bottom w:w="90" w:type="dxa"/>
              <w:left w:w="90" w:type="dxa"/>
              <w:right w:w="90" w:type="dxa"/>
            </w:tcMar>
            <w:shd w:fill="F6F8FA"/>
          </w:tcPr>
          <w:p>
            <w:pPr>
              <w:spacing w:after="0" w:line="257" w:lineRule="auto"/>
            </w:pPr>
            <w:r>
              <w:rPr>
                <w:sz w:val="18"/>
              </w:rPr>
              <w:t>Workflow state, not proof of correctness</w:t>
            </w:r>
          </w:p>
        </w:tc>
      </w:tr>
    </w:tbl>
    <w:p>
      <w:pPr>
        <w:spacing w:after="20"/>
      </w:pPr>
    </w:p>
    <w:p>
      <w:r>
        <w:t>Do not label a candidate as a conflict until the relationship is expected agreement and the context is comparable. Intentional variants can still be compared for understanding but do not trigger an inconsistency alert. Unknown and unsupported require text labels and cannot be shown as passing checks.</w:t>
      </w:r>
    </w:p>
    <w:p>
      <w:pPr>
        <w:pStyle w:val="Heading2"/>
      </w:pPr>
      <w:r>
        <w:t>Worked acceptance journeys</w:t>
      </w:r>
    </w:p>
    <w:p>
      <w:r>
        <w:rPr>
          <w:b/>
        </w:rPr>
        <w:t>US01 Investigate revenue.</w:t>
      </w:r>
      <w:r>
        <w:t xml:space="preserve"> Given the eight-row fixture and definitions A and Finance, when the analyst confirms a comparable context, the system returns INR -6000000.00 and exposes the five baseline-included orders. Four rows have nonzero contributions. The bridge and row totals independently reconcile.</w:t>
      </w:r>
    </w:p>
    <w:p>
      <w:r>
        <w:rPr>
          <w:b/>
        </w:rPr>
        <w:t>US02 Avoid a false match.</w:t>
      </w:r>
      <w:r>
        <w:t xml:space="preserve"> Given Net Sales and Recognized Revenue as names, a name suggestion may appear. The user must choose their relationship. Without confirming purpose and scope, the system cannot declare a conflict or pick one as correct.</w:t>
      </w:r>
    </w:p>
    <w:p>
      <w:r>
        <w:rPr>
          <w:b/>
        </w:rPr>
        <w:t>US03 Detect a hidden definition difference.</w:t>
      </w:r>
      <w:r>
        <w:t xml:space="preserve"> Given two different predicates and a dataset containing only completed orders, values may match. The result still shows the predicate difference and the label Equal on snapshot.</w:t>
      </w:r>
    </w:p>
    <w:p>
      <w:r>
        <w:rPr>
          <w:b/>
        </w:rPr>
        <w:t>US04 Explain why a replay is blocked.</w:t>
      </w:r>
      <w:r>
        <w:t xml:space="preserve"> Given an unknown timezone or missing date field, the comparison page lists the missing context with an edit action. It does not produce a numeric impact.</w:t>
      </w:r>
    </w:p>
    <w:p>
      <w:r>
        <w:rPr>
          <w:b/>
        </w:rPr>
        <w:t>US05 Review a change.</w:t>
      </w:r>
      <w:r>
        <w:t xml:space="preserve"> Given an imported new version that changes order date to payment date, the history page shows the old and new logic, when the change was observed, and a replay on the same dataset. It does not infer when a production report first changed unless source history provides that time.</w:t>
      </w:r>
    </w:p>
    <w:p>
      <w:r>
        <w:rPr>
          <w:b/>
        </w:rPr>
        <w:t>US06 Work without an AI service.</w:t>
      </w:r>
      <w:r>
        <w:t xml:space="preserve"> The entire investigation, export and baseline flow must work offline using deterministic suggestions and explanation templates.</w:t>
      </w:r>
    </w:p>
    <w:p>
      <w:pPr>
        <w:pStyle w:val="Heading2"/>
      </w:pPr>
      <w:r>
        <w:t>Design and accessibility</w:t>
      </w:r>
    </w:p>
    <w:p>
      <w:r>
        <w:t>Use a restrained analytics interface with a light background, clear tabular numbers and direct actions. Use INR in exports and allow Indian digit grouping in the UI. Keep the unrounded amount available beside compact crore or lakh formatting. Avoid animated counters and an overall trust percentage.</w:t>
      </w:r>
    </w:p>
    <w:p>
      <w:r>
        <w:t>Use a waterfall for the additive value bridge and a table beside it containing every exact value. Use line charts only for genuine replay periods, not invented historical values. Color is supplementary: include status text and icons. Keyboard focus, labeled form controls, sufficient contrast, useful error messages and a readable narrow-screen layout are part of completion.</w:t>
      </w:r>
    </w:p>
    <w:p>
      <w:r>
        <w:t>The overview's coverage should say "18 of 24 imported definitions executable" rather than imply all company reports were checked. Report impact should say "3 registered consumers potentially affected" when the graph contains only manually registered dependencies.</w:t>
      </w:r>
    </w:p>
    <w:p>
      <w:pPr>
        <w:pStyle w:val="Heading2"/>
      </w:pPr>
      <w:r>
        <w:t>Errors and incomplete investigations</w:t>
      </w:r>
    </w:p>
    <w:p>
      <w:r>
        <w:t>An upload that fails structural validation remains visible with its error and cannot become a dataset snapshot. A canceled run has a terminal canceled state. A timed-out run retains completed sub-results only as partial evidence. A missing original snapshot makes a previous result viewable but not replayable. If a user changes context, any displayed previous result must remain labeled with its original context or be cleared.</w:t>
      </w:r>
    </w:p>
    <w:p>
      <w:r>
        <w:t>An export should contain the same status and limitations as the screen. Never transform partial findings into a definitive summary for presentation. A locally recorded owner name is a self-declared record, not authenticated sign-off.</w:t>
      </w:r>
    </w:p>
    <w:p>
      <w:pPr>
        <w:pStyle w:val="Heading1"/>
      </w:pPr>
      <w:r>
        <w:t>3 Metric contract and SQL support</w:t>
      </w:r>
    </w:p>
    <w:p>
      <w:pPr>
        <w:pStyle w:val="Heading2"/>
      </w:pPr>
      <w:r>
        <w:t>Definitions and context</w:t>
      </w:r>
    </w:p>
    <w:p>
      <w:r>
        <w:t>A metric definition is a versioned implementation. A metric family is a reviewed grouping of related business concepts. A comparison context supplies the exact period, snapshot and interpretation needed to execute a definition. A baseline is an approved definition for a particular purpose and scope. Keep these objects separate.</w:t>
      </w:r>
    </w:p>
    <w:p>
      <w:r>
        <w:t>The normalized representation, called the metric IR, is a typed intermediate representation of the supported SQL. It retains the aggregate, amount expression, eligibility predicate and time predicate as separate components. It is a restricted execution description, not an attempt to capture every analytical language.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384"/>
        <w:gridCol w:w="4320"/>
      </w:tblGrid>
      <w:tr>
        <w:trPr>
          <w:cantSplit/>
          <w:tblHeader/>
        </w:trPr>
        <w:tc>
          <w:tcPr>
            <w:tcW w:type="dxa" w:w="2520"/>
            <w:vAlign w:val="center"/>
            <w:tcMar>
              <w:top w:w="90" w:type="dxa"/>
              <w:bottom w:w="90" w:type="dxa"/>
              <w:left w:w="90" w:type="dxa"/>
              <w:right w:w="90" w:type="dxa"/>
            </w:tcMar>
            <w:shd w:fill="DBE5ED"/>
          </w:tcPr>
          <w:p>
            <w:pPr>
              <w:spacing w:after="0" w:line="257" w:lineRule="auto"/>
            </w:pPr>
            <w:r>
              <w:rPr>
                <w:b/>
                <w:color w:val="000000"/>
                <w:sz w:val="18"/>
              </w:rPr>
              <w:t>Field group</w:t>
            </w:r>
          </w:p>
        </w:tc>
        <w:tc>
          <w:tcPr>
            <w:tcW w:type="dxa" w:w="3384"/>
            <w:vAlign w:val="center"/>
            <w:tcMar>
              <w:top w:w="90" w:type="dxa"/>
              <w:bottom w:w="90" w:type="dxa"/>
              <w:left w:w="90" w:type="dxa"/>
              <w:right w:w="90" w:type="dxa"/>
            </w:tcMar>
            <w:shd w:fill="DBE5ED"/>
          </w:tcPr>
          <w:p>
            <w:pPr>
              <w:spacing w:after="0" w:line="257" w:lineRule="auto"/>
            </w:pPr>
            <w:r>
              <w:rPr>
                <w:b/>
                <w:color w:val="000000"/>
                <w:sz w:val="18"/>
              </w:rPr>
              <w:t>Required information</w:t>
            </w:r>
          </w:p>
        </w:tc>
        <w:tc>
          <w:tcPr>
            <w:tcW w:type="dxa" w:w="4320"/>
            <w:vAlign w:val="center"/>
            <w:tcMar>
              <w:top w:w="90" w:type="dxa"/>
              <w:bottom w:w="90" w:type="dxa"/>
              <w:left w:w="90" w:type="dxa"/>
              <w:right w:w="90" w:type="dxa"/>
            </w:tcMar>
            <w:shd w:fill="DBE5ED"/>
          </w:tcPr>
          <w:p>
            <w:pPr>
              <w:spacing w:after="0" w:line="257" w:lineRule="auto"/>
            </w:pPr>
            <w:r>
              <w:rPr>
                <w:b/>
                <w:color w:val="000000"/>
                <w:sz w:val="18"/>
              </w:rPr>
              <w:t>Handling of missing information</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Identity</w:t>
            </w:r>
          </w:p>
        </w:tc>
        <w:tc>
          <w:tcPr>
            <w:tcW w:type="dxa" w:w="3384"/>
            <w:vAlign w:val="center"/>
            <w:tcMar>
              <w:top w:w="90" w:type="dxa"/>
              <w:bottom w:w="90" w:type="dxa"/>
              <w:left w:w="90" w:type="dxa"/>
              <w:right w:w="90" w:type="dxa"/>
            </w:tcMar>
            <w:shd w:fill="FFFFFF"/>
          </w:tcPr>
          <w:p>
            <w:pPr>
              <w:spacing w:after="0" w:line="257" w:lineRule="auto"/>
            </w:pPr>
            <w:r>
              <w:rPr>
                <w:sz w:val="18"/>
              </w:rPr>
              <w:t>Definition ID, immutable version, source label, original text and declared dialect</w:t>
            </w:r>
          </w:p>
        </w:tc>
        <w:tc>
          <w:tcPr>
            <w:tcW w:type="dxa" w:w="4320"/>
            <w:vAlign w:val="center"/>
            <w:tcMar>
              <w:top w:w="90" w:type="dxa"/>
              <w:bottom w:w="90" w:type="dxa"/>
              <w:left w:w="90" w:type="dxa"/>
              <w:right w:w="90" w:type="dxa"/>
            </w:tcMar>
            <w:shd w:fill="FFFFFF"/>
          </w:tcPr>
          <w:p>
            <w:pPr>
              <w:spacing w:after="0" w:line="257" w:lineRule="auto"/>
            </w:pPr>
            <w:r>
              <w:rPr>
                <w:sz w:val="18"/>
              </w:rPr>
              <w:t>Reject an import without text or dialect</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Meaning</w:t>
            </w:r>
          </w:p>
        </w:tc>
        <w:tc>
          <w:tcPr>
            <w:tcW w:type="dxa" w:w="3384"/>
            <w:vAlign w:val="center"/>
            <w:tcMar>
              <w:top w:w="90" w:type="dxa"/>
              <w:bottom w:w="90" w:type="dxa"/>
              <w:left w:w="90" w:type="dxa"/>
              <w:right w:w="90" w:type="dxa"/>
            </w:tcMar>
            <w:shd w:fill="F6F8FA"/>
          </w:tcPr>
          <w:p>
            <w:pPr>
              <w:spacing w:after="0" w:line="257" w:lineRule="auto"/>
            </w:pPr>
            <w:r>
              <w:rPr>
                <w:sz w:val="18"/>
              </w:rPr>
              <w:t>Display name, purpose, family suggestion and owner label</w:t>
            </w:r>
          </w:p>
        </w:tc>
        <w:tc>
          <w:tcPr>
            <w:tcW w:type="dxa" w:w="4320"/>
            <w:vAlign w:val="center"/>
            <w:tcMar>
              <w:top w:w="90" w:type="dxa"/>
              <w:bottom w:w="90" w:type="dxa"/>
              <w:left w:w="90" w:type="dxa"/>
              <w:right w:w="90" w:type="dxa"/>
            </w:tcMar>
            <w:shd w:fill="F6F8FA"/>
          </w:tcPr>
          <w:p>
            <w:pPr>
              <w:spacing w:after="0" w:line="257" w:lineRule="auto"/>
            </w:pPr>
            <w:r>
              <w:rPr>
                <w:sz w:val="18"/>
              </w:rPr>
              <w:t>Meaning remains unreviewed until confirmed</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Population</w:t>
            </w:r>
          </w:p>
        </w:tc>
        <w:tc>
          <w:tcPr>
            <w:tcW w:type="dxa" w:w="3384"/>
            <w:vAlign w:val="center"/>
            <w:tcMar>
              <w:top w:w="90" w:type="dxa"/>
              <w:bottom w:w="90" w:type="dxa"/>
              <w:left w:w="90" w:type="dxa"/>
              <w:right w:w="90" w:type="dxa"/>
            </w:tcMar>
            <w:shd w:fill="FFFFFF"/>
          </w:tcPr>
          <w:p>
            <w:pPr>
              <w:spacing w:after="0" w:line="257" w:lineRule="auto"/>
            </w:pPr>
            <w:r>
              <w:rPr>
                <w:sz w:val="18"/>
              </w:rPr>
              <w:t>Table, row grain, business predicate and scope</w:t>
            </w:r>
          </w:p>
        </w:tc>
        <w:tc>
          <w:tcPr>
            <w:tcW w:type="dxa" w:w="4320"/>
            <w:vAlign w:val="center"/>
            <w:tcMar>
              <w:top w:w="90" w:type="dxa"/>
              <w:bottom w:w="90" w:type="dxa"/>
              <w:left w:w="90" w:type="dxa"/>
              <w:right w:w="90" w:type="dxa"/>
            </w:tcMar>
            <w:shd w:fill="FFFFFF"/>
          </w:tcPr>
          <w:p>
            <w:pPr>
              <w:spacing w:after="0" w:line="257" w:lineRule="auto"/>
            </w:pPr>
            <w:r>
              <w:rPr>
                <w:sz w:val="18"/>
              </w:rPr>
              <w:t>Block impact if grain or scope is unknown</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Calculation</w:t>
            </w:r>
          </w:p>
        </w:tc>
        <w:tc>
          <w:tcPr>
            <w:tcW w:type="dxa" w:w="3384"/>
            <w:vAlign w:val="center"/>
            <w:tcMar>
              <w:top w:w="90" w:type="dxa"/>
              <w:bottom w:w="90" w:type="dxa"/>
              <w:left w:w="90" w:type="dxa"/>
              <w:right w:w="90" w:type="dxa"/>
            </w:tcMar>
            <w:shd w:fill="F6F8FA"/>
          </w:tcPr>
          <w:p>
            <w:pPr>
              <w:spacing w:after="0" w:line="257" w:lineRule="auto"/>
            </w:pPr>
            <w:r>
              <w:rPr>
                <w:sz w:val="18"/>
              </w:rPr>
              <w:t>Aggregate, typed expression, NULL behavior and unit</w:t>
            </w:r>
          </w:p>
        </w:tc>
        <w:tc>
          <w:tcPr>
            <w:tcW w:type="dxa" w:w="4320"/>
            <w:vAlign w:val="center"/>
            <w:tcMar>
              <w:top w:w="90" w:type="dxa"/>
              <w:bottom w:w="90" w:type="dxa"/>
              <w:left w:w="90" w:type="dxa"/>
              <w:right w:w="90" w:type="dxa"/>
            </w:tcMar>
            <w:shd w:fill="F6F8FA"/>
          </w:tcPr>
          <w:p>
            <w:pPr>
              <w:spacing w:after="0" w:line="257" w:lineRule="auto"/>
            </w:pPr>
            <w:r>
              <w:rPr>
                <w:sz w:val="18"/>
              </w:rPr>
              <w:t>Reject expressions outside the supported grammar</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Time</w:t>
            </w:r>
          </w:p>
        </w:tc>
        <w:tc>
          <w:tcPr>
            <w:tcW w:type="dxa" w:w="3384"/>
            <w:vAlign w:val="center"/>
            <w:tcMar>
              <w:top w:w="90" w:type="dxa"/>
              <w:bottom w:w="90" w:type="dxa"/>
              <w:left w:w="90" w:type="dxa"/>
              <w:right w:w="90" w:type="dxa"/>
            </w:tcMar>
            <w:shd w:fill="FFFFFF"/>
          </w:tcPr>
          <w:p>
            <w:pPr>
              <w:spacing w:after="0" w:line="257" w:lineRule="auto"/>
            </w:pPr>
            <w:r>
              <w:rPr>
                <w:sz w:val="18"/>
              </w:rPr>
              <w:t>Date column, inclusive start, exclusive end, business timezone and as-of cutoff</w:t>
            </w:r>
          </w:p>
        </w:tc>
        <w:tc>
          <w:tcPr>
            <w:tcW w:type="dxa" w:w="4320"/>
            <w:vAlign w:val="center"/>
            <w:tcMar>
              <w:top w:w="90" w:type="dxa"/>
              <w:bottom w:w="90" w:type="dxa"/>
              <w:left w:w="90" w:type="dxa"/>
              <w:right w:w="90" w:type="dxa"/>
            </w:tcMar>
            <w:shd w:fill="FFFFFF"/>
          </w:tcPr>
          <w:p>
            <w:pPr>
              <w:spacing w:after="0" w:line="257" w:lineRule="auto"/>
            </w:pPr>
            <w:r>
              <w:rPr>
                <w:sz w:val="18"/>
              </w:rPr>
              <w:t>Ask the user to confirm; never invent a date field</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Data</w:t>
            </w:r>
          </w:p>
        </w:tc>
        <w:tc>
          <w:tcPr>
            <w:tcW w:type="dxa" w:w="3384"/>
            <w:vAlign w:val="center"/>
            <w:tcMar>
              <w:top w:w="90" w:type="dxa"/>
              <w:bottom w:w="90" w:type="dxa"/>
              <w:left w:w="90" w:type="dxa"/>
              <w:right w:w="90" w:type="dxa"/>
            </w:tcMar>
            <w:shd w:fill="F6F8FA"/>
          </w:tcPr>
          <w:p>
            <w:pPr>
              <w:spacing w:after="0" w:line="257" w:lineRule="auto"/>
            </w:pPr>
            <w:r>
              <w:rPr>
                <w:sz w:val="18"/>
              </w:rPr>
              <w:t>Snapshot ID, schema, content hash and mapping version</w:t>
            </w:r>
          </w:p>
        </w:tc>
        <w:tc>
          <w:tcPr>
            <w:tcW w:type="dxa" w:w="4320"/>
            <w:vAlign w:val="center"/>
            <w:tcMar>
              <w:top w:w="90" w:type="dxa"/>
              <w:bottom w:w="90" w:type="dxa"/>
              <w:left w:w="90" w:type="dxa"/>
              <w:right w:w="90" w:type="dxa"/>
            </w:tcMar>
            <w:shd w:fill="F6F8FA"/>
          </w:tcPr>
          <w:p>
            <w:pPr>
              <w:spacing w:after="0" w:line="257" w:lineRule="auto"/>
            </w:pPr>
            <w:r>
              <w:rPr>
                <w:sz w:val="18"/>
              </w:rPr>
              <w:t>Require a valid immutable snapshot</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Review</w:t>
            </w:r>
          </w:p>
        </w:tc>
        <w:tc>
          <w:tcPr>
            <w:tcW w:type="dxa" w:w="3384"/>
            <w:vAlign w:val="center"/>
            <w:tcMar>
              <w:top w:w="90" w:type="dxa"/>
              <w:bottom w:w="90" w:type="dxa"/>
              <w:left w:w="90" w:type="dxa"/>
              <w:right w:w="90" w:type="dxa"/>
            </w:tcMar>
            <w:shd w:fill="FFFFFF"/>
          </w:tcPr>
          <w:p>
            <w:pPr>
              <w:spacing w:after="0" w:line="257" w:lineRule="auto"/>
            </w:pPr>
            <w:r>
              <w:rPr>
                <w:sz w:val="18"/>
              </w:rPr>
              <w:t>Relationship classification and optional scoped baseline</w:t>
            </w:r>
          </w:p>
        </w:tc>
        <w:tc>
          <w:tcPr>
            <w:tcW w:type="dxa" w:w="4320"/>
            <w:vAlign w:val="center"/>
            <w:tcMar>
              <w:top w:w="90" w:type="dxa"/>
              <w:bottom w:w="90" w:type="dxa"/>
              <w:left w:w="90" w:type="dxa"/>
              <w:right w:w="90" w:type="dxa"/>
            </w:tcMar>
            <w:shd w:fill="FFFFFF"/>
          </w:tcPr>
          <w:p>
            <w:pPr>
              <w:spacing w:after="0" w:line="257" w:lineRule="auto"/>
            </w:pPr>
            <w:r>
              <w:rPr>
                <w:sz w:val="18"/>
              </w:rPr>
              <w:t>Allow investigation before approving a baseline</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Provenance</w:t>
            </w:r>
          </w:p>
        </w:tc>
        <w:tc>
          <w:tcPr>
            <w:tcW w:type="dxa" w:w="3384"/>
            <w:vAlign w:val="center"/>
            <w:tcMar>
              <w:top w:w="90" w:type="dxa"/>
              <w:bottom w:w="90" w:type="dxa"/>
              <w:left w:w="90" w:type="dxa"/>
              <w:right w:w="90" w:type="dxa"/>
            </w:tcMar>
            <w:shd w:fill="F6F8FA"/>
          </w:tcPr>
          <w:p>
            <w:pPr>
              <w:spacing w:after="0" w:line="257" w:lineRule="auto"/>
            </w:pPr>
            <w:r>
              <w:rPr>
                <w:sz w:val="18"/>
              </w:rPr>
              <w:t>Parser, IR, executor and configuration versions</w:t>
            </w:r>
          </w:p>
        </w:tc>
        <w:tc>
          <w:tcPr>
            <w:tcW w:type="dxa" w:w="4320"/>
            <w:vAlign w:val="center"/>
            <w:tcMar>
              <w:top w:w="90" w:type="dxa"/>
              <w:bottom w:w="90" w:type="dxa"/>
              <w:left w:w="90" w:type="dxa"/>
              <w:right w:w="90" w:type="dxa"/>
            </w:tcMar>
            <w:shd w:fill="F6F8FA"/>
          </w:tcPr>
          <w:p>
            <w:pPr>
              <w:spacing w:after="0" w:line="257" w:lineRule="auto"/>
            </w:pPr>
            <w:r>
              <w:rPr>
                <w:sz w:val="18"/>
              </w:rPr>
              <w:t>Store versions in every run</w:t>
            </w:r>
          </w:p>
        </w:tc>
      </w:tr>
    </w:tbl>
    <w:p>
      <w:pPr>
        <w:spacing w:after="20"/>
      </w:pPr>
    </w:p>
    <w:p>
      <w:pPr>
        <w:pStyle w:val="Heading2"/>
      </w:pPr>
      <w:r>
        <w:t>Exact MVP SQL boundary</w:t>
      </w:r>
    </w:p>
    <w:p>
      <w:r>
        <w:t>The first release accepts the DuckDB dialect only. An expression being parseable by SQLGlot is necessary but not sufficient. It must also fit the MetricGuard allowlist and be fully lowerable to the typed IR. SQLGlot documents best-effort transpilation behavior, so adapters must raise on unsupported translation and undergo tests [S4]. The MVP avoids cross-dialect transpilation.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840"/>
      </w:tblGrid>
      <w:tr>
        <w:trPr>
          <w:cantSplit/>
          <w:tblHeader/>
        </w:trPr>
        <w:tc>
          <w:tcPr>
            <w:tcW w:type="dxa" w:w="3384"/>
            <w:vAlign w:val="center"/>
            <w:tcMar>
              <w:top w:w="90" w:type="dxa"/>
              <w:bottom w:w="90" w:type="dxa"/>
              <w:left w:w="90" w:type="dxa"/>
              <w:right w:w="90" w:type="dxa"/>
            </w:tcMar>
            <w:shd w:fill="DBE5ED"/>
          </w:tcPr>
          <w:p>
            <w:pPr>
              <w:spacing w:after="0" w:line="257" w:lineRule="auto"/>
            </w:pPr>
            <w:r>
              <w:rPr>
                <w:b/>
                <w:color w:val="000000"/>
                <w:sz w:val="18"/>
              </w:rPr>
              <w:t>Construct</w:t>
            </w:r>
          </w:p>
        </w:tc>
        <w:tc>
          <w:tcPr>
            <w:tcW w:type="dxa" w:w="6840"/>
            <w:vAlign w:val="center"/>
            <w:tcMar>
              <w:top w:w="90" w:type="dxa"/>
              <w:bottom w:w="90" w:type="dxa"/>
              <w:left w:w="90" w:type="dxa"/>
              <w:right w:w="90" w:type="dxa"/>
            </w:tcMar>
            <w:shd w:fill="DBE5ED"/>
          </w:tcPr>
          <w:p>
            <w:pPr>
              <w:spacing w:after="0" w:line="257" w:lineRule="auto"/>
            </w:pPr>
            <w:r>
              <w:rPr>
                <w:b/>
                <w:color w:val="000000"/>
                <w:sz w:val="18"/>
              </w:rPr>
              <w:t>MVP policy</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Statement shape</w:t>
            </w:r>
          </w:p>
        </w:tc>
        <w:tc>
          <w:tcPr>
            <w:tcW w:type="dxa" w:w="6840"/>
            <w:vAlign w:val="center"/>
            <w:tcMar>
              <w:top w:w="90" w:type="dxa"/>
              <w:bottom w:w="90" w:type="dxa"/>
              <w:left w:w="90" w:type="dxa"/>
              <w:right w:w="90" w:type="dxa"/>
            </w:tcMar>
            <w:shd w:fill="FFFFFF"/>
          </w:tcPr>
          <w:p>
            <w:pPr>
              <w:spacing w:after="0" w:line="257" w:lineRule="auto"/>
            </w:pPr>
            <w:r>
              <w:rPr>
                <w:sz w:val="18"/>
              </w:rPr>
              <w:t>Exactly one SELECT with one scalar aggregate and optional alias</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FROM</w:t>
            </w:r>
          </w:p>
        </w:tc>
        <w:tc>
          <w:tcPr>
            <w:tcW w:type="dxa" w:w="6840"/>
            <w:vAlign w:val="center"/>
            <w:tcMar>
              <w:top w:w="90" w:type="dxa"/>
              <w:bottom w:w="90" w:type="dxa"/>
              <w:left w:w="90" w:type="dxa"/>
              <w:right w:w="90" w:type="dxa"/>
            </w:tcMar>
            <w:shd w:fill="F6F8FA"/>
          </w:tcPr>
          <w:p>
            <w:pPr>
              <w:spacing w:after="0" w:line="257" w:lineRule="auto"/>
            </w:pPr>
            <w:r>
              <w:rPr>
                <w:sz w:val="18"/>
              </w:rPr>
              <w:t>Exactly one registered flat table, with an optional alias</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Aggregation</w:t>
            </w:r>
          </w:p>
        </w:tc>
        <w:tc>
          <w:tcPr>
            <w:tcW w:type="dxa" w:w="6840"/>
            <w:vAlign w:val="center"/>
            <w:tcMar>
              <w:top w:w="90" w:type="dxa"/>
              <w:bottom w:w="90" w:type="dxa"/>
              <w:left w:w="90" w:type="dxa"/>
              <w:right w:w="90" w:type="dxa"/>
            </w:tcMar>
            <w:shd w:fill="FFFFFF"/>
          </w:tcPr>
          <w:p>
            <w:pPr>
              <w:spacing w:after="0" w:line="257" w:lineRule="auto"/>
            </w:pPr>
            <w:r>
              <w:rPr>
                <w:sz w:val="18"/>
              </w:rPr>
              <w:t>SUM of approved numeric expression, COUNT star, COUNT DISTINCT one approved column</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Numeric expression</w:t>
            </w:r>
          </w:p>
        </w:tc>
        <w:tc>
          <w:tcPr>
            <w:tcW w:type="dxa" w:w="6840"/>
            <w:vAlign w:val="center"/>
            <w:tcMar>
              <w:top w:w="90" w:type="dxa"/>
              <w:bottom w:w="90" w:type="dxa"/>
              <w:left w:w="90" w:type="dxa"/>
              <w:right w:w="90" w:type="dxa"/>
            </w:tcMar>
            <w:shd w:fill="F6F8FA"/>
          </w:tcPr>
          <w:p>
            <w:pPr>
              <w:spacing w:after="0" w:line="257" w:lineRule="auto"/>
            </w:pPr>
            <w:r>
              <w:rPr>
                <w:sz w:val="18"/>
              </w:rPr>
              <w:t>Numeric columns and decimal literals, addition, subtraction, multiplication, COALESCE with typed numeric fallback</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Predicates</w:t>
            </w:r>
          </w:p>
        </w:tc>
        <w:tc>
          <w:tcPr>
            <w:tcW w:type="dxa" w:w="6840"/>
            <w:vAlign w:val="center"/>
            <w:tcMar>
              <w:top w:w="90" w:type="dxa"/>
              <w:bottom w:w="90" w:type="dxa"/>
              <w:left w:w="90" w:type="dxa"/>
              <w:right w:w="90" w:type="dxa"/>
            </w:tcMar>
            <w:shd w:fill="FFFFFF"/>
          </w:tcPr>
          <w:p>
            <w:pPr>
              <w:spacing w:after="0" w:line="257" w:lineRule="auto"/>
            </w:pPr>
            <w:r>
              <w:rPr>
                <w:sz w:val="18"/>
              </w:rPr>
              <w:t>AND, OR, NOT, parentheses, comparisons, IN with literals, IS NULL and IS NOT NULL</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Period</w:t>
            </w:r>
          </w:p>
        </w:tc>
        <w:tc>
          <w:tcPr>
            <w:tcW w:type="dxa" w:w="6840"/>
            <w:vAlign w:val="center"/>
            <w:tcMar>
              <w:top w:w="90" w:type="dxa"/>
              <w:bottom w:w="90" w:type="dxa"/>
              <w:left w:w="90" w:type="dxa"/>
              <w:right w:w="90" w:type="dxa"/>
            </w:tcMar>
            <w:shd w:fill="F6F8FA"/>
          </w:tcPr>
          <w:p>
            <w:pPr>
              <w:spacing w:after="0" w:line="257" w:lineRule="auto"/>
            </w:pPr>
            <w:r>
              <w:rPr>
                <w:sz w:val="18"/>
              </w:rPr>
              <w:t>Direct date or timestamp column with typed start and end parameters; half-open interval</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Literals</w:t>
            </w:r>
          </w:p>
        </w:tc>
        <w:tc>
          <w:tcPr>
            <w:tcW w:type="dxa" w:w="6840"/>
            <w:vAlign w:val="center"/>
            <w:tcMar>
              <w:top w:w="90" w:type="dxa"/>
              <w:bottom w:w="90" w:type="dxa"/>
              <w:left w:w="90" w:type="dxa"/>
              <w:right w:w="90" w:type="dxa"/>
            </w:tcMar>
            <w:shd w:fill="FFFFFF"/>
          </w:tcPr>
          <w:p>
            <w:pPr>
              <w:spacing w:after="0" w:line="257" w:lineRule="auto"/>
            </w:pPr>
            <w:r>
              <w:rPr>
                <w:sz w:val="18"/>
              </w:rPr>
              <w:t>Typed numbers, strings, dates and timestamps; single quotes for strings</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Disallowed</w:t>
            </w:r>
          </w:p>
        </w:tc>
        <w:tc>
          <w:tcPr>
            <w:tcW w:type="dxa" w:w="6840"/>
            <w:vAlign w:val="center"/>
            <w:tcMar>
              <w:top w:w="90" w:type="dxa"/>
              <w:bottom w:w="90" w:type="dxa"/>
              <w:left w:w="90" w:type="dxa"/>
              <w:right w:w="90" w:type="dxa"/>
            </w:tcMar>
            <w:shd w:fill="F6F8FA"/>
          </w:tcPr>
          <w:p>
            <w:pPr>
              <w:spacing w:after="0" w:line="257" w:lineRule="auto"/>
            </w:pPr>
            <w:r>
              <w:rPr>
                <w:sz w:val="18"/>
              </w:rPr>
              <w:t>Joins, CTEs, subqueries, windows, UDFs, GROUP BY, HAVING, UNION, ORDER BY, LIMIT and nested aggregates</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Disallowed expressions</w:t>
            </w:r>
          </w:p>
        </w:tc>
        <w:tc>
          <w:tcPr>
            <w:tcW w:type="dxa" w:w="6840"/>
            <w:vAlign w:val="center"/>
            <w:tcMar>
              <w:top w:w="90" w:type="dxa"/>
              <w:bottom w:w="90" w:type="dxa"/>
              <w:left w:w="90" w:type="dxa"/>
              <w:right w:w="90" w:type="dxa"/>
            </w:tcMar>
            <w:shd w:fill="FFFFFF"/>
          </w:tcPr>
          <w:p>
            <w:pPr>
              <w:spacing w:after="0" w:line="257" w:lineRule="auto"/>
            </w:pPr>
            <w:r>
              <w:rPr>
                <w:sz w:val="18"/>
              </w:rPr>
              <w:t>Division, arbitrary CASE, approximate functions, volatility such as current time or random</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Non-query operations</w:t>
            </w:r>
          </w:p>
        </w:tc>
        <w:tc>
          <w:tcPr>
            <w:tcW w:type="dxa" w:w="6840"/>
            <w:vAlign w:val="center"/>
            <w:tcMar>
              <w:top w:w="90" w:type="dxa"/>
              <w:bottom w:w="90" w:type="dxa"/>
              <w:left w:w="90" w:type="dxa"/>
              <w:right w:w="90" w:type="dxa"/>
            </w:tcMar>
            <w:shd w:fill="F6F8FA"/>
          </w:tcPr>
          <w:p>
            <w:pPr>
              <w:spacing w:after="0" w:line="257" w:lineRule="auto"/>
            </w:pPr>
            <w:r>
              <w:rPr>
                <w:sz w:val="18"/>
              </w:rPr>
              <w:t>DDL, DML, COPY, ATTACH, configuration and extension statements rejected</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Table functions</w:t>
            </w:r>
          </w:p>
        </w:tc>
        <w:tc>
          <w:tcPr>
            <w:tcW w:type="dxa" w:w="6840"/>
            <w:vAlign w:val="center"/>
            <w:tcMar>
              <w:top w:w="90" w:type="dxa"/>
              <w:bottom w:w="90" w:type="dxa"/>
              <w:left w:w="90" w:type="dxa"/>
              <w:right w:w="90" w:type="dxa"/>
            </w:tcMar>
            <w:shd w:fill="FFFFFF"/>
          </w:tcPr>
          <w:p>
            <w:pPr>
              <w:spacing w:after="0" w:line="257" w:lineRule="auto"/>
            </w:pPr>
            <w:r>
              <w:rPr>
                <w:sz w:val="18"/>
              </w:rPr>
              <w:t>All user-supplied file, URL and function-based scans rejected</w:t>
            </w:r>
          </w:p>
        </w:tc>
      </w:tr>
    </w:tbl>
    <w:p>
      <w:pPr>
        <w:spacing w:after="20"/>
      </w:pPr>
    </w:p>
    <w:p>
      <w:r>
        <w:t>The UI can supply a period to a query that lacks a date predicate only after the analyst selects a known column and explicitly confirms that this is the intended reporting context. Preserve the supplied original query and the resolved execution form. If a query has a conflicting hard-coded period, do not silently override it.</w:t>
      </w:r>
    </w:p>
    <w:p>
      <w:r>
        <w:t>A parser should identify the period clause using the confirmed time field and the permitted predicate shape. Ambiguous clauses, multiple competing time fields or an inseparable OR containing the time restriction require manual clarification or an unsupported result. Parenthesized business predicates are allowed; arbitrary semantic rewriting is not.</w:t>
      </w:r>
    </w:p>
    <w:p>
      <w:pPr>
        <w:pStyle w:val="Heading2"/>
      </w:pPr>
      <w:r>
        <w:t>Proposed definition example</w:t>
      </w:r>
    </w:p>
    <w:p>
      <w:r>
        <w:t xml:space="preserve">The example JSON in </w:t>
      </w:r>
      <w:r>
        <w:rPr>
          <w:rFonts w:ascii="DejaVu Sans Mono" w:hAnsi="DejaVu Sans Mono"/>
          <w:sz w:val="18"/>
        </w:rPr>
        <w:t>examples/metric_definition.json</w:t>
      </w:r>
      <w:r>
        <w:t xml:space="preserve"> proposes the API-level record. SQL remains the user-facing source. The server creates and validates the IR; users do not send a claimed parsed tree that the runner simply trusts.</w:t>
      </w:r>
    </w:p>
    <w:p>
      <w:r>
        <w:t xml:space="preserve">Core example: metric </w:t>
      </w:r>
      <w:r>
        <w:rPr>
          <w:rFonts w:ascii="DejaVu Sans Mono" w:hAnsi="DejaVu Sans Mono"/>
          <w:sz w:val="18"/>
        </w:rPr>
        <w:t>sales_reporting</w:t>
      </w:r>
      <w:r>
        <w:t xml:space="preserve">, implementation </w:t>
      </w:r>
      <w:r>
        <w:rPr>
          <w:rFonts w:ascii="DejaVu Sans Mono" w:hAnsi="DejaVu Sans Mono"/>
          <w:sz w:val="18"/>
        </w:rPr>
        <w:t>dashboard_a_v1</w:t>
      </w:r>
      <w:r>
        <w:t xml:space="preserve">, dialect </w:t>
      </w:r>
      <w:r>
        <w:rPr>
          <w:rFonts w:ascii="DejaVu Sans Mono" w:hAnsi="DejaVu Sans Mono"/>
          <w:sz w:val="18"/>
        </w:rPr>
        <w:t>duckdb</w:t>
      </w:r>
      <w:r>
        <w:t xml:space="preserve">, aggregate </w:t>
      </w:r>
      <w:r>
        <w:rPr>
          <w:rFonts w:ascii="DejaVu Sans Mono" w:hAnsi="DejaVu Sans Mono"/>
          <w:sz w:val="18"/>
        </w:rPr>
        <w:t>SUM(order_amount)</w:t>
      </w:r>
      <w:r>
        <w:t xml:space="preserve">, predicate </w:t>
      </w:r>
      <w:r>
        <w:rPr>
          <w:rFonts w:ascii="DejaVu Sans Mono" w:hAnsi="DejaVu Sans Mono"/>
          <w:sz w:val="18"/>
        </w:rPr>
        <w:t>status = 'Completed'</w:t>
      </w:r>
      <w:r>
        <w:t xml:space="preserve">, time field </w:t>
      </w:r>
      <w:r>
        <w:rPr>
          <w:rFonts w:ascii="DejaVu Sans Mono" w:hAnsi="DejaVu Sans Mono"/>
          <w:sz w:val="18"/>
        </w:rPr>
        <w:t>order_date</w:t>
      </w:r>
      <w:r>
        <w:t xml:space="preserve">, grain </w:t>
      </w:r>
      <w:r>
        <w:rPr>
          <w:rFonts w:ascii="DejaVu Sans Mono" w:hAnsi="DejaVu Sans Mono"/>
          <w:sz w:val="18"/>
        </w:rPr>
        <w:t>one row per order_id</w:t>
      </w:r>
      <w:r>
        <w:t xml:space="preserve">, currency </w:t>
      </w:r>
      <w:r>
        <w:rPr>
          <w:rFonts w:ascii="DejaVu Sans Mono" w:hAnsi="DejaVu Sans Mono"/>
          <w:sz w:val="18"/>
        </w:rPr>
        <w:t>INR</w:t>
      </w:r>
      <w:r>
        <w:t xml:space="preserve">, date semantics </w:t>
      </w:r>
      <w:r>
        <w:rPr>
          <w:rFonts w:ascii="DejaVu Sans Mono" w:hAnsi="DejaVu Sans Mono"/>
          <w:sz w:val="18"/>
        </w:rPr>
        <w:t>business_date</w:t>
      </w:r>
      <w:r>
        <w:t xml:space="preserve">, timezone </w:t>
      </w:r>
      <w:r>
        <w:rPr>
          <w:rFonts w:ascii="DejaVu Sans Mono" w:hAnsi="DejaVu Sans Mono"/>
          <w:sz w:val="18"/>
        </w:rPr>
        <w:t>Asia/Kolkata</w:t>
      </w:r>
      <w:r>
        <w:t>. The interpretation of order_amount as excluding tax must be stated in the dataset dictionary. If a different source includes tax, comparison is blocked until the difference is modeled.</w:t>
      </w:r>
    </w:p>
    <w:p>
      <w:r>
        <w:t>Hash original text separately from normalized structure. Preserve meaningful details including NULL behavior, numeric types, timezone, case-sensitive identifiers and date boundaries. Only cosmetic changes with proven-safe normalization, such as whitespace or an output alias, may share a normalized fingerprint. Parser upgrades do not silently rewrite previous fingerprints.</w:t>
      </w:r>
    </w:p>
    <w:p>
      <w:pPr>
        <w:pStyle w:val="Heading2"/>
      </w:pPr>
      <w:r>
        <w:t>Snapshot requirements</w:t>
      </w:r>
    </w:p>
    <w:p>
      <w:r>
        <w:t>Each accepted snapshot contains one immutable analytical table and a manifest. The manifest includes content hashes, ingestion time, extraction cutoff, row count, schema types, primary key, business timezone, currency and any upstream transformation description. The hash represents bytes or a precisely defined canonical serialization; a row-count match is not a content identity check.</w:t>
      </w:r>
    </w:p>
    <w:p>
      <w:r>
        <w:t>CSV ingestion requires explicit decimal, date and NULL handling. A blank string and SQL NULL are not automatically interchangeable. Invalid dates or decimal overflow fail validation or enter a clearly reported rejected-record file; they cannot disappear silently. Uniqueness of order_id must be checked before row-level evidence is enabled.</w:t>
      </w:r>
    </w:p>
    <w:p>
      <w:r>
        <w:t>Currency conversion, exchange rates, source timezone conversion and hidden security filters are outside the MVP. Imported data must already use a documented single currency and a compatible scope. A normalized transformation made during ingestion must be recorded and versioned. The application must not silently clean away the reason reports disagree.</w:t>
      </w:r>
    </w:p>
    <w:p>
      <w:pPr>
        <w:pStyle w:val="Heading2"/>
      </w:pPr>
      <w:r>
        <w:t>Comparability policy</w:t>
      </w:r>
    </w:p>
    <w:p>
      <w:r>
        <w:t>Require the same snapshot, agreed logical table mapping, compatible grain, unit, currency, calendar, reporting window, business timezone and user-visible population scope. Amount rule, business predicate and date column are permitted differences to investigate; they must not be normalized away. A different declared security scope is a blocker rather than an unexplained contribution.</w:t>
      </w:r>
    </w:p>
    <w:p>
      <w:r>
        <w:t>Three results are possible: comparable, needs context, and not comparable. Needs context means missing information can reasonably be supplied. Not comparable means the current data or scope cannot support the intended calculation. A future cross-source adapter will need explicit grain mapping, source completeness and reconciliation checks; the same column names are not enough.</w:t>
      </w:r>
    </w:p>
    <w:p>
      <w:pPr>
        <w:pStyle w:val="Heading2"/>
      </w:pPr>
      <w:r>
        <w:t>Type and empty result semantics</w:t>
      </w:r>
    </w:p>
    <w:p>
      <w:r>
        <w:t>Use DECIMAL for money and checked integer arithmetic for counts. Keep decimal strings in JSON so browser floating-point conversion does not alter stored evidence. INR outputs are displayed to two decimals, but calculations retain the configured precision until the final presentation stage. Reject overflow and narrowing casts.</w:t>
      </w:r>
    </w:p>
    <w:p>
      <w:r>
        <w:t>SQL SUM ignores NULL terms and returns NULL when there are no non-NULL terms. COUNT star counts rows; COUNT DISTINCT ignores NULL values. Preserve these behaviors unless the original definition explicitly uses COALESCE. A row where a SUM term is NULL contributes no numeric amount, but it must still be flagged in the evidence. If either scalar endpoint is NULL, do not calculate an arithmetic gap by treating it as zero. Show an empty or undefined result.</w:t>
      </w:r>
    </w:p>
    <w:p>
      <w:r>
        <w:t>For a money comparison, propose a one-paisa numeric tolerance. Business materiality is a separate threshold set by a user. For relative differences, use baseline magnitude as the denominator and display the direction separately. If the baseline is zero, the percentage is undefined. For rates in a future release, distinguish percentage points from percent change.</w:t>
      </w:r>
    </w:p>
    <w:p>
      <w:pPr>
        <w:pStyle w:val="Heading2"/>
      </w:pPr>
      <w:r>
        <w:t>Integration support levels</w:t>
      </w:r>
    </w:p>
    <w:p>
      <w:r>
        <w:t>Every adapter exposes four independent capabilities: import metadata, parse logic, execute natively, and reconcile quantitatively. Supporting the first does not imply the others.</w:t>
      </w:r>
    </w:p>
    <w:p>
      <w:r>
        <w:t>Power BI TMDL provides model metadata [S5]. A later importer should preserve measures, referenced columns, relationships and available provenance. DAX measures also rely on filter context propagated through model relationships [S6]. Numeric reconciliation therefore requires the actual model, equivalent identity and security scope, the exact filter context and refresh state. Native execution is preferable to claiming a general DAX-to-SQL converter.</w:t>
      </w:r>
    </w:p>
    <w:p>
      <w:r>
        <w:t>For dbt, use version-aware manifest parsing and compiled SQL when present. Compiled content is not guaranteed for every node [S7]. Never execute imported Jinja or macros on the MetricGuard server. Lineage can identify dependencies, but a model is not automatically a KPI definition. Identify the specific aggregate query or metric definition to compare.</w:t>
      </w:r>
    </w:p>
    <w:p>
      <w:r>
        <w:t>For Excel, formula text and cached values are separate evidence. A later importer must distinguish named ranges, workbook links, calculation settings and stale cached results. Until a bounded evaluator is tested, treat formulas as metadata and CSV exports as data only.</w:t>
      </w:r>
    </w:p>
    <w:p>
      <w:pPr>
        <w:pStyle w:val="Heading1"/>
      </w:pPr>
      <w:r>
        <w:t>4 Reconciliation and semantic drift method</w:t>
      </w:r>
    </w:p>
    <w:p>
      <w:pPr>
        <w:pStyle w:val="Heading2"/>
      </w:pPr>
      <w:r>
        <w:t>What the engine can establish</w:t>
      </w:r>
    </w:p>
    <w:p>
      <w:r>
        <w:t>The engine can establish structural differences within its supported grammar and observed numeric differences on a specified snapshot. It cannot prove that arbitrary SQL programs are equivalent, infer a company's accounting policy from a name, or establish real-world causation from a data comparison.</w:t>
      </w:r>
    </w:p>
    <w:p>
      <w:r>
        <w:t>Keep three kinds of evidence distinct: definition evidence, execution evidence and review evidence. Definition evidence says which rules differ. Execution evidence says what happens when the rules are run on frozen data. Review evidence records whether a knowledgeable person considers the differences intentional.</w:t>
      </w:r>
    </w:p>
    <w:p>
      <w:pPr>
        <w:pStyle w:val="Heading2"/>
      </w:pPr>
      <w:r>
        <w:t>Pipeline</w:t>
      </w:r>
    </w:p>
    <w:p>
      <w:pPr>
        <w:ind w:left="317" w:hanging="317"/>
      </w:pPr>
      <w:r>
        <w:t>1. Preserve the original definition and source metadata.</w:t>
      </w:r>
    </w:p>
    <w:p>
      <w:pPr>
        <w:ind w:left="317" w:hanging="317"/>
      </w:pPr>
      <w:r>
        <w:t>2. Parse with the declared dialect and bind column names to the known schema.</w:t>
      </w:r>
    </w:p>
    <w:p>
      <w:pPr>
        <w:ind w:left="317" w:hanging="317"/>
      </w:pPr>
      <w:r>
        <w:t>3. Validate the entire syntax tree against the supported grammar.</w:t>
      </w:r>
    </w:p>
    <w:p>
      <w:pPr>
        <w:ind w:left="317" w:hanging="317"/>
      </w:pPr>
      <w:r>
        <w:t>4. Lower the definition into the typed metric IR and record unsupported features.</w:t>
      </w:r>
    </w:p>
    <w:p>
      <w:pPr>
        <w:ind w:left="317" w:hanging="317"/>
      </w:pPr>
      <w:r>
        <w:t>5. Suggest related definitions using metadata and structural features.</w:t>
      </w:r>
    </w:p>
    <w:p>
      <w:pPr>
        <w:ind w:left="317" w:hanging="317"/>
      </w:pPr>
      <w:r>
        <w:t>6. Ask the analyst to confirm expected agreement or intentional variation.</w:t>
      </w:r>
    </w:p>
    <w:p>
      <w:pPr>
        <w:ind w:left="317" w:hanging="317"/>
      </w:pPr>
      <w:r>
        <w:t>7. Check that the comparison context and snapshot are suitable.</w:t>
      </w:r>
    </w:p>
    <w:p>
      <w:pPr>
        <w:ind w:left="317" w:hanging="317"/>
      </w:pPr>
      <w:r>
        <w:t>8. Run the original supported endpoints on that snapshot using the validated execution form.</w:t>
      </w:r>
    </w:p>
    <w:p>
      <w:pPr>
        <w:ind w:left="317" w:hanging="317"/>
      </w:pPr>
      <w:r>
        <w:t>9. Calculate the structured rule diff and, where supported, the value bridge and row evidence.</w:t>
      </w:r>
    </w:p>
    <w:p>
      <w:pPr>
        <w:ind w:left="317" w:hanging="317"/>
      </w:pPr>
      <w:r>
        <w:t>10. Persist immutable results, limitations and provenance before rendering an explanation.</w:t>
      </w:r>
    </w:p>
    <w:p>
      <w:r>
        <w:t>The engine must revalidate the IR in the runner. An API validation pass does not justify trusting an arbitrary stored job payload. Results become complete only after endpoint and reconciliation invariants pass.</w:t>
      </w:r>
    </w:p>
    <w:p>
      <w:pPr>
        <w:pStyle w:val="Heading2"/>
      </w:pPr>
      <w:r>
        <w:t>Candidate matching</w:t>
      </w:r>
    </w:p>
    <w:p>
      <w:r>
        <w:t>Start with a transparent heuristic. Normalize names conservatively, use a small reviewed alias dictionary, and rank pairs using shared source columns, table, aggregate family, date concept, unit and purpose description. Name similarity alone is insufficient. Names containing gross, net, booked or recognized should preserve those qualifiers.</w:t>
      </w:r>
    </w:p>
    <w:p>
      <w:r>
        <w:t>The ranking score is a prioritization heuristic, not a probability. Display reasons such as "same amount column and currency; different status predicate." Persist confirmed positive and negative pair labels so the same suggestion is not repeatedly pushed. Do not merge metric families transitively just because A resembles B and B resembles C.</w:t>
      </w:r>
    </w:p>
    <w:p>
      <w:r>
        <w:t>If embeddings are added later, send only approved metadata, include negative examples, and measure precision and recall against a frozen held-out pair set. The model may suggest a relationship; it cannot approve it, supply execution SQL or invent impact numbers. A metadata-only model outage must not stop a supported comparison.</w:t>
      </w:r>
    </w:p>
    <w:p>
      <w:pPr>
        <w:pStyle w:val="Heading2"/>
      </w:pPr>
      <w:r>
        <w:t>Structural comparison</w:t>
      </w:r>
    </w:p>
    <w:p>
      <w:r>
        <w:t>Compare aggregate, expression, eligibility predicate, time field, time boundaries, NULL treatment, units and scope. Report a known difference even if its financial effect is zero on the selected data. Whitespace, comments and an output alias should not create a business-meaning alert when their normalization is safely established.</w:t>
      </w:r>
    </w:p>
    <w:p>
      <w:r>
        <w:t xml:space="preserve">Boolean expressions require SQL's three-valued NULL semantics. Do not simplify </w:t>
      </w:r>
      <w:r>
        <w:rPr>
          <w:rFonts w:ascii="DejaVu Sans Mono" w:hAnsi="DejaVu Sans Mono"/>
          <w:sz w:val="18"/>
        </w:rPr>
        <w:t>status &lt;&gt; 'Cancelled'</w:t>
      </w:r>
      <w:r>
        <w:t xml:space="preserve"> into an assumed list of allowed statuses. Do not sort or rewrite every expression indiscriminately; numeric types, floating-point operations, collation and NULL behavior can affect results.</w:t>
      </w:r>
    </w:p>
    <w:p>
      <w:r>
        <w:t>The output Same supported representation means identical validated IR under the stored normalization policy. Equal on snapshot means two execution results agree in that context. Neither label is a universal mathematical proof for all possible databases.</w:t>
      </w:r>
    </w:p>
    <w:p>
      <w:pPr>
        <w:pStyle w:val="Heading2"/>
      </w:pPr>
      <w:r>
        <w:t>Endpoint calculation and row contributions</w:t>
      </w:r>
    </w:p>
    <w:p>
      <w:r>
        <w:t>For a supported additive SUM, define each row's contribution as its amount expression if the row passes that definition's predicate and period, and zero if it does not. Preserve NULL-term flags separately and require valid non-NULL aggregate endpoints before computing a bridge.</w:t>
      </w:r>
    </w:p>
    <w:p>
      <w:r>
        <w:t>For each order, the signed contribution is target contribution minus baseline contribution. On a unique order_id grain, the sum of these contributions must equal target total minus baseline total. Display baseline-only, target-only, included-in-both and included-in-neither membership, and the amount difference for rows included in both.</w:t>
      </w:r>
    </w:p>
    <w:p>
      <w:r>
        <w:t>This membership partition is mutually exclusive, which prevents double counting. It is a record-level reconciliation, not a unique assignment to business causes. The same order can be affected by more than one changed rule. A contribution table and a rule bridge therefore answer different questions.</w:t>
      </w:r>
    </w:p>
    <w:p>
      <w:r>
        <w:t>For COUNT star, report membership changes and exact count differences. For COUNT DISTINCT customer_id, compare distinct membership sets and use the distinct entity as the evidence unit. Do not distribute a customer's count contribution over its orders or sum distinct counts across segments. The MVP may show ordered rule effects for count metrics, but full money row-contribution charts apply only to SUM.</w:t>
      </w:r>
    </w:p>
    <w:p>
      <w:pPr>
        <w:pStyle w:val="Heading2"/>
      </w:pPr>
      <w:r>
        <w:t>Ordered rule bridge for the MVP</w:t>
      </w:r>
    </w:p>
    <w:p>
      <w:r>
        <w:t>Use a fixed documented sequence for the retail case: amount expression, then eligibility predicate, then time attribution. The start uses all baseline rules. Each intermediate definition replaces exactly one supported rule group with its target counterpart; the endpoint must reconstruct the target IR exactly.</w:t>
      </w:r>
    </w:p>
    <w:p>
      <w:r>
        <w:t>Each contribution is the new intermediate total minus the preceding total. The telescoping sum then equals the endpoint difference if every intermediate is valid and evaluated. Store the intermediate definition, value, query hash and rule name. The UI must show the order because interactions can move amounts between steps.</w:t>
      </w:r>
    </w:p>
    <w:p>
      <w:r>
        <w:t>Do not break a logically indivisible rule into arbitrary fragments. If a new amount expression requires a join absent from the old definition, or a hybrid rule creates an invalid scope, stop that bridge. Report the valid endpoints and supported row evidence, with a reason that rule attribution is unavailable. Never describe a partial bridge as complete.</w:t>
      </w:r>
    </w:p>
    <w:p>
      <w:r>
        <w:t>When every supported rule has been applied but the reconstructed target differs, classify this as an internal reconciliation failure. Suppress a complete explanation and retain the endpoint gap as unexplained. Residual equals observed gap minus the sum of reported bridge contributions. A residual is a diagnostic, not a cause named Other.</w:t>
      </w:r>
    </w:p>
    <w:p>
      <w:pPr>
        <w:pStyle w:val="Heading2"/>
      </w:pPr>
      <w:r>
        <w:t>The corrected revenue example</w:t>
      </w:r>
    </w:p>
    <w:p>
      <w:r>
        <w:t>The synthetic fixture in chapter 8 was constructed to produce the original headline values. It does not represent an actual company. The order_amount field excludes tax and shipping, and refunds are already expressed at order grain as of a fixed cutoff. This simplified refund model is not a financial ledger.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592"/>
        <w:gridCol w:w="2160"/>
        <w:gridCol w:w="3168"/>
      </w:tblGrid>
      <w:tr>
        <w:trPr>
          <w:cantSplit/>
          <w:tblHeader/>
        </w:trPr>
        <w:tc>
          <w:tcPr>
            <w:tcW w:type="dxa" w:w="2304"/>
            <w:vAlign w:val="center"/>
            <w:tcMar>
              <w:top w:w="90" w:type="dxa"/>
              <w:bottom w:w="90" w:type="dxa"/>
              <w:left w:w="90" w:type="dxa"/>
              <w:right w:w="90" w:type="dxa"/>
            </w:tcMar>
            <w:shd w:fill="DBE5ED"/>
          </w:tcPr>
          <w:p>
            <w:pPr>
              <w:spacing w:after="0" w:line="257" w:lineRule="auto"/>
            </w:pPr>
            <w:r>
              <w:rPr>
                <w:b/>
                <w:color w:val="000000"/>
                <w:sz w:val="18"/>
              </w:rPr>
              <w:t>Bridge step</w:t>
            </w:r>
          </w:p>
        </w:tc>
        <w:tc>
          <w:tcPr>
            <w:tcW w:type="dxa" w:w="2592"/>
            <w:vAlign w:val="center"/>
            <w:tcMar>
              <w:top w:w="90" w:type="dxa"/>
              <w:bottom w:w="90" w:type="dxa"/>
              <w:left w:w="90" w:type="dxa"/>
              <w:right w:w="90" w:type="dxa"/>
            </w:tcMar>
            <w:shd w:fill="DBE5ED"/>
          </w:tcPr>
          <w:p>
            <w:pPr>
              <w:spacing w:after="0" w:line="257" w:lineRule="auto"/>
            </w:pPr>
            <w:r>
              <w:rPr>
                <w:b/>
                <w:color w:val="000000"/>
                <w:sz w:val="18"/>
              </w:rPr>
              <w:t>Total INR</w:t>
            </w:r>
          </w:p>
        </w:tc>
        <w:tc>
          <w:tcPr>
            <w:tcW w:type="dxa" w:w="2160"/>
            <w:vAlign w:val="center"/>
            <w:tcMar>
              <w:top w:w="90" w:type="dxa"/>
              <w:bottom w:w="90" w:type="dxa"/>
              <w:left w:w="90" w:type="dxa"/>
              <w:right w:w="90" w:type="dxa"/>
            </w:tcMar>
            <w:shd w:fill="DBE5ED"/>
          </w:tcPr>
          <w:p>
            <w:pPr>
              <w:spacing w:after="0" w:line="257" w:lineRule="auto"/>
            </w:pPr>
            <w:r>
              <w:rPr>
                <w:b/>
                <w:color w:val="000000"/>
                <w:sz w:val="18"/>
              </w:rPr>
              <w:t>Change INR</w:t>
            </w:r>
          </w:p>
        </w:tc>
        <w:tc>
          <w:tcPr>
            <w:tcW w:type="dxa" w:w="3168"/>
            <w:vAlign w:val="center"/>
            <w:tcMar>
              <w:top w:w="90" w:type="dxa"/>
              <w:bottom w:w="90" w:type="dxa"/>
              <w:left w:w="90" w:type="dxa"/>
              <w:right w:w="90" w:type="dxa"/>
            </w:tcMar>
            <w:shd w:fill="DBE5ED"/>
          </w:tcPr>
          <w:p>
            <w:pPr>
              <w:spacing w:after="0" w:line="257" w:lineRule="auto"/>
            </w:pPr>
            <w:r>
              <w:rPr>
                <w:b/>
                <w:color w:val="000000"/>
                <w:sz w:val="18"/>
              </w:rPr>
              <w:t>Interpretation</w:t>
            </w:r>
          </w:p>
        </w:tc>
      </w:tr>
      <w:tr>
        <w:trPr>
          <w:cantSplit/>
        </w:trPr>
        <w:tc>
          <w:tcPr>
            <w:tcW w:type="dxa" w:w="2304"/>
            <w:vAlign w:val="center"/>
            <w:tcMar>
              <w:top w:w="90" w:type="dxa"/>
              <w:bottom w:w="90" w:type="dxa"/>
              <w:left w:w="90" w:type="dxa"/>
              <w:right w:w="90" w:type="dxa"/>
            </w:tcMar>
            <w:shd w:fill="FFFFFF"/>
          </w:tcPr>
          <w:p>
            <w:pPr>
              <w:spacing w:after="0" w:line="257" w:lineRule="auto"/>
            </w:pPr>
            <w:r>
              <w:rPr>
                <w:sz w:val="18"/>
              </w:rPr>
              <w:t>Dashboard A</w:t>
            </w:r>
          </w:p>
        </w:tc>
        <w:tc>
          <w:tcPr>
            <w:tcW w:type="dxa" w:w="2592"/>
            <w:vAlign w:val="center"/>
            <w:tcMar>
              <w:top w:w="90" w:type="dxa"/>
              <w:bottom w:w="90" w:type="dxa"/>
              <w:left w:w="90" w:type="dxa"/>
              <w:right w:w="90" w:type="dxa"/>
            </w:tcMar>
            <w:shd w:fill="FFFFFF"/>
          </w:tcPr>
          <w:p>
            <w:pPr>
              <w:spacing w:after="0" w:line="257" w:lineRule="auto"/>
            </w:pPr>
            <w:r>
              <w:rPr>
                <w:sz w:val="18"/>
              </w:rPr>
              <w:t>104000000.00</w:t>
            </w:r>
          </w:p>
        </w:tc>
        <w:tc>
          <w:tcPr>
            <w:tcW w:type="dxa" w:w="2160"/>
            <w:vAlign w:val="center"/>
            <w:tcMar>
              <w:top w:w="90" w:type="dxa"/>
              <w:bottom w:w="90" w:type="dxa"/>
              <w:left w:w="90" w:type="dxa"/>
              <w:right w:w="90" w:type="dxa"/>
            </w:tcMar>
            <w:shd w:fill="FFFFFF"/>
          </w:tcPr>
          <w:p>
            <w:pPr>
              <w:spacing w:after="0" w:line="257" w:lineRule="auto"/>
            </w:pPr>
            <w:r>
              <w:rPr>
                <w:sz w:val="18"/>
              </w:rPr>
              <w:t>Start</w:t>
            </w:r>
          </w:p>
        </w:tc>
        <w:tc>
          <w:tcPr>
            <w:tcW w:type="dxa" w:w="3168"/>
            <w:vAlign w:val="center"/>
            <w:tcMar>
              <w:top w:w="90" w:type="dxa"/>
              <w:bottom w:w="90" w:type="dxa"/>
              <w:left w:w="90" w:type="dxa"/>
              <w:right w:w="90" w:type="dxa"/>
            </w:tcMar>
            <w:shd w:fill="FFFFFF"/>
          </w:tcPr>
          <w:p>
            <w:pPr>
              <w:spacing w:after="0" w:line="257" w:lineRule="auto"/>
            </w:pPr>
            <w:r>
              <w:rPr>
                <w:sz w:val="18"/>
              </w:rPr>
              <w:t>Completed orders by order date</w:t>
            </w:r>
          </w:p>
        </w:tc>
      </w:tr>
      <w:tr>
        <w:trPr>
          <w:cantSplit/>
        </w:trPr>
        <w:tc>
          <w:tcPr>
            <w:tcW w:type="dxa" w:w="2304"/>
            <w:vAlign w:val="center"/>
            <w:tcMar>
              <w:top w:w="90" w:type="dxa"/>
              <w:bottom w:w="90" w:type="dxa"/>
              <w:left w:w="90" w:type="dxa"/>
              <w:right w:w="90" w:type="dxa"/>
            </w:tcMar>
            <w:shd w:fill="F6F8FA"/>
          </w:tcPr>
          <w:p>
            <w:pPr>
              <w:spacing w:after="0" w:line="257" w:lineRule="auto"/>
            </w:pPr>
            <w:r>
              <w:rPr>
                <w:sz w:val="18"/>
              </w:rPr>
              <w:t>Apply refunds</w:t>
            </w:r>
          </w:p>
        </w:tc>
        <w:tc>
          <w:tcPr>
            <w:tcW w:type="dxa" w:w="2592"/>
            <w:vAlign w:val="center"/>
            <w:tcMar>
              <w:top w:w="90" w:type="dxa"/>
              <w:bottom w:w="90" w:type="dxa"/>
              <w:left w:w="90" w:type="dxa"/>
              <w:right w:w="90" w:type="dxa"/>
            </w:tcMar>
            <w:shd w:fill="F6F8FA"/>
          </w:tcPr>
          <w:p>
            <w:pPr>
              <w:spacing w:after="0" w:line="257" w:lineRule="auto"/>
            </w:pPr>
            <w:r>
              <w:rPr>
                <w:sz w:val="18"/>
              </w:rPr>
              <w:t>99680000.00</w:t>
            </w:r>
          </w:p>
        </w:tc>
        <w:tc>
          <w:tcPr>
            <w:tcW w:type="dxa" w:w="2160"/>
            <w:vAlign w:val="center"/>
            <w:tcMar>
              <w:top w:w="90" w:type="dxa"/>
              <w:bottom w:w="90" w:type="dxa"/>
              <w:left w:w="90" w:type="dxa"/>
              <w:right w:w="90" w:type="dxa"/>
            </w:tcMar>
            <w:shd w:fill="F6F8FA"/>
          </w:tcPr>
          <w:p>
            <w:pPr>
              <w:spacing w:after="0" w:line="257" w:lineRule="auto"/>
            </w:pPr>
            <w:r>
              <w:rPr>
                <w:sz w:val="18"/>
              </w:rPr>
              <w:t>-4320000.00</w:t>
            </w:r>
          </w:p>
        </w:tc>
        <w:tc>
          <w:tcPr>
            <w:tcW w:type="dxa" w:w="3168"/>
            <w:vAlign w:val="center"/>
            <w:tcMar>
              <w:top w:w="90" w:type="dxa"/>
              <w:bottom w:w="90" w:type="dxa"/>
              <w:left w:w="90" w:type="dxa"/>
              <w:right w:w="90" w:type="dxa"/>
            </w:tcMar>
            <w:shd w:fill="F6F8FA"/>
          </w:tcPr>
          <w:p>
            <w:pPr>
              <w:spacing w:after="0" w:line="257" w:lineRule="auto"/>
            </w:pPr>
            <w:r>
              <w:rPr>
                <w:sz w:val="18"/>
              </w:rPr>
              <w:t>Use order amount minus refund amount</w:t>
            </w:r>
          </w:p>
        </w:tc>
      </w:tr>
      <w:tr>
        <w:trPr>
          <w:cantSplit/>
        </w:trPr>
        <w:tc>
          <w:tcPr>
            <w:tcW w:type="dxa" w:w="2304"/>
            <w:vAlign w:val="center"/>
            <w:tcMar>
              <w:top w:w="90" w:type="dxa"/>
              <w:bottom w:w="90" w:type="dxa"/>
              <w:left w:w="90" w:type="dxa"/>
              <w:right w:w="90" w:type="dxa"/>
            </w:tcMar>
            <w:shd w:fill="FFFFFF"/>
          </w:tcPr>
          <w:p>
            <w:pPr>
              <w:spacing w:after="0" w:line="257" w:lineRule="auto"/>
            </w:pPr>
            <w:r>
              <w:rPr>
                <w:sz w:val="18"/>
              </w:rPr>
              <w:t>Apply Paid eligibility</w:t>
            </w:r>
          </w:p>
        </w:tc>
        <w:tc>
          <w:tcPr>
            <w:tcW w:type="dxa" w:w="2592"/>
            <w:vAlign w:val="center"/>
            <w:tcMar>
              <w:top w:w="90" w:type="dxa"/>
              <w:bottom w:w="90" w:type="dxa"/>
              <w:left w:w="90" w:type="dxa"/>
              <w:right w:w="90" w:type="dxa"/>
            </w:tcMar>
            <w:shd w:fill="FFFFFF"/>
          </w:tcPr>
          <w:p>
            <w:pPr>
              <w:spacing w:after="0" w:line="257" w:lineRule="auto"/>
            </w:pPr>
            <w:r>
              <w:rPr>
                <w:sz w:val="18"/>
              </w:rPr>
              <w:t>99260000.00</w:t>
            </w:r>
          </w:p>
        </w:tc>
        <w:tc>
          <w:tcPr>
            <w:tcW w:type="dxa" w:w="2160"/>
            <w:vAlign w:val="center"/>
            <w:tcMar>
              <w:top w:w="90" w:type="dxa"/>
              <w:bottom w:w="90" w:type="dxa"/>
              <w:left w:w="90" w:type="dxa"/>
              <w:right w:w="90" w:type="dxa"/>
            </w:tcMar>
            <w:shd w:fill="FFFFFF"/>
          </w:tcPr>
          <w:p>
            <w:pPr>
              <w:spacing w:after="0" w:line="257" w:lineRule="auto"/>
            </w:pPr>
            <w:r>
              <w:rPr>
                <w:sz w:val="18"/>
              </w:rPr>
              <w:t>-420000.00</w:t>
            </w:r>
          </w:p>
        </w:tc>
        <w:tc>
          <w:tcPr>
            <w:tcW w:type="dxa" w:w="3168"/>
            <w:vAlign w:val="center"/>
            <w:tcMar>
              <w:top w:w="90" w:type="dxa"/>
              <w:bottom w:w="90" w:type="dxa"/>
              <w:left w:w="90" w:type="dxa"/>
              <w:right w:w="90" w:type="dxa"/>
            </w:tcMar>
            <w:shd w:fill="FFFFFF"/>
          </w:tcPr>
          <w:p>
            <w:pPr>
              <w:spacing w:after="0" w:line="257" w:lineRule="auto"/>
            </w:pPr>
            <w:r>
              <w:rPr>
                <w:sz w:val="18"/>
              </w:rPr>
              <w:t>Replace Completed with Paid eligibility</w:t>
            </w:r>
          </w:p>
        </w:tc>
      </w:tr>
      <w:tr>
        <w:trPr>
          <w:cantSplit/>
        </w:trPr>
        <w:tc>
          <w:tcPr>
            <w:tcW w:type="dxa" w:w="2304"/>
            <w:vAlign w:val="center"/>
            <w:tcMar>
              <w:top w:w="90" w:type="dxa"/>
              <w:bottom w:w="90" w:type="dxa"/>
              <w:left w:w="90" w:type="dxa"/>
              <w:right w:w="90" w:type="dxa"/>
            </w:tcMar>
            <w:shd w:fill="F6F8FA"/>
          </w:tcPr>
          <w:p>
            <w:pPr>
              <w:spacing w:after="0" w:line="257" w:lineRule="auto"/>
            </w:pPr>
            <w:r>
              <w:rPr>
                <w:sz w:val="18"/>
              </w:rPr>
              <w:t>Apply payment date</w:t>
            </w:r>
          </w:p>
        </w:tc>
        <w:tc>
          <w:tcPr>
            <w:tcW w:type="dxa" w:w="2592"/>
            <w:vAlign w:val="center"/>
            <w:tcMar>
              <w:top w:w="90" w:type="dxa"/>
              <w:bottom w:w="90" w:type="dxa"/>
              <w:left w:w="90" w:type="dxa"/>
              <w:right w:w="90" w:type="dxa"/>
            </w:tcMar>
            <w:shd w:fill="F6F8FA"/>
          </w:tcPr>
          <w:p>
            <w:pPr>
              <w:spacing w:after="0" w:line="257" w:lineRule="auto"/>
            </w:pPr>
            <w:r>
              <w:rPr>
                <w:sz w:val="18"/>
              </w:rPr>
              <w:t>98000000.00</w:t>
            </w:r>
          </w:p>
        </w:tc>
        <w:tc>
          <w:tcPr>
            <w:tcW w:type="dxa" w:w="2160"/>
            <w:vAlign w:val="center"/>
            <w:tcMar>
              <w:top w:w="90" w:type="dxa"/>
              <w:bottom w:w="90" w:type="dxa"/>
              <w:left w:w="90" w:type="dxa"/>
              <w:right w:w="90" w:type="dxa"/>
            </w:tcMar>
            <w:shd w:fill="F6F8FA"/>
          </w:tcPr>
          <w:p>
            <w:pPr>
              <w:spacing w:after="0" w:line="257" w:lineRule="auto"/>
            </w:pPr>
            <w:r>
              <w:rPr>
                <w:sz w:val="18"/>
              </w:rPr>
              <w:t>-1260000.00</w:t>
            </w:r>
          </w:p>
        </w:tc>
        <w:tc>
          <w:tcPr>
            <w:tcW w:type="dxa" w:w="3168"/>
            <w:vAlign w:val="center"/>
            <w:tcMar>
              <w:top w:w="90" w:type="dxa"/>
              <w:bottom w:w="90" w:type="dxa"/>
              <w:left w:w="90" w:type="dxa"/>
              <w:right w:w="90" w:type="dxa"/>
            </w:tcMar>
            <w:shd w:fill="F6F8FA"/>
          </w:tcPr>
          <w:p>
            <w:pPr>
              <w:spacing w:after="0" w:line="257" w:lineRule="auto"/>
            </w:pPr>
            <w:r>
              <w:rPr>
                <w:sz w:val="18"/>
              </w:rPr>
              <w:t>Attribute the period using payment date</w:t>
            </w:r>
          </w:p>
        </w:tc>
      </w:tr>
      <w:tr>
        <w:trPr>
          <w:cantSplit/>
        </w:trPr>
        <w:tc>
          <w:tcPr>
            <w:tcW w:type="dxa" w:w="2304"/>
            <w:vAlign w:val="center"/>
            <w:tcMar>
              <w:top w:w="90" w:type="dxa"/>
              <w:bottom w:w="90" w:type="dxa"/>
              <w:left w:w="90" w:type="dxa"/>
              <w:right w:w="90" w:type="dxa"/>
            </w:tcMar>
            <w:shd w:fill="FFFFFF"/>
          </w:tcPr>
          <w:p>
            <w:pPr>
              <w:spacing w:after="0" w:line="257" w:lineRule="auto"/>
            </w:pPr>
            <w:r>
              <w:rPr>
                <w:sz w:val="18"/>
              </w:rPr>
              <w:t>Finance endpoint</w:t>
            </w:r>
          </w:p>
        </w:tc>
        <w:tc>
          <w:tcPr>
            <w:tcW w:type="dxa" w:w="2592"/>
            <w:vAlign w:val="center"/>
            <w:tcMar>
              <w:top w:w="90" w:type="dxa"/>
              <w:bottom w:w="90" w:type="dxa"/>
              <w:left w:w="90" w:type="dxa"/>
              <w:right w:w="90" w:type="dxa"/>
            </w:tcMar>
            <w:shd w:fill="FFFFFF"/>
          </w:tcPr>
          <w:p>
            <w:pPr>
              <w:spacing w:after="0" w:line="257" w:lineRule="auto"/>
            </w:pPr>
            <w:r>
              <w:rPr>
                <w:sz w:val="18"/>
              </w:rPr>
              <w:t>98000000.00</w:t>
            </w:r>
          </w:p>
        </w:tc>
        <w:tc>
          <w:tcPr>
            <w:tcW w:type="dxa" w:w="2160"/>
            <w:vAlign w:val="center"/>
            <w:tcMar>
              <w:top w:w="90" w:type="dxa"/>
              <w:bottom w:w="90" w:type="dxa"/>
              <w:left w:w="90" w:type="dxa"/>
              <w:right w:w="90" w:type="dxa"/>
            </w:tcMar>
            <w:shd w:fill="FFFFFF"/>
          </w:tcPr>
          <w:p>
            <w:pPr>
              <w:spacing w:after="0" w:line="257" w:lineRule="auto"/>
            </w:pPr>
            <w:r>
              <w:rPr>
                <w:sz w:val="18"/>
              </w:rPr>
              <w:t>-6000000.00 total</w:t>
            </w:r>
          </w:p>
        </w:tc>
        <w:tc>
          <w:tcPr>
            <w:tcW w:type="dxa" w:w="3168"/>
            <w:vAlign w:val="center"/>
            <w:tcMar>
              <w:top w:w="90" w:type="dxa"/>
              <w:bottom w:w="90" w:type="dxa"/>
              <w:left w:w="90" w:type="dxa"/>
              <w:right w:w="90" w:type="dxa"/>
            </w:tcMar>
            <w:shd w:fill="FFFFFF"/>
          </w:tcPr>
          <w:p>
            <w:pPr>
              <w:spacing w:after="0" w:line="257" w:lineRule="auto"/>
            </w:pPr>
            <w:r>
              <w:rPr>
                <w:sz w:val="18"/>
              </w:rPr>
              <w:t>Illustrative paid net sales</w:t>
            </w:r>
          </w:p>
        </w:tc>
      </w:tr>
    </w:tbl>
    <w:p>
      <w:pPr>
        <w:spacing w:after="20"/>
      </w:pPr>
    </w:p>
    <w:p>
      <w:r>
        <w:t>In Indian units the totals are 10.4 crore and 9.8 crore; the gap is 60 lakh. For this declared order, the contributions are 43.2 lakh, 4.2 lakh and 12.6 lakh, corresponding to 72 percent, 7 percent and 21 percent of the signed gap. Another valid order can allocate interactions differently. These percentages must be calculated from the actual run, not stored as an explanation template.</w:t>
      </w:r>
    </w:p>
    <w:p>
      <w:r>
        <w:t>Dashboard B using not Cancelled produces 10.47 crore in this fixture because it additionally includes a pending order. The original assumption that A and B both produce 10.4 crore is not generally valid.</w:t>
      </w:r>
    </w:p>
    <w:p>
      <w:r>
        <w:t>Percentages should be secondary to currency amounts. Opposing contributions can produce negative shares or shares above 100 percent. When the endpoint gap is zero, shares of the gap are undefined even if large offsetting contributions exist. Do not force a pie chart in either case.</w:t>
      </w:r>
    </w:p>
    <w:p>
      <w:pPr>
        <w:pStyle w:val="Heading2"/>
      </w:pPr>
      <w:r>
        <w:t>Optional order independent allocation</w:t>
      </w:r>
    </w:p>
    <w:p>
      <w:r>
        <w:t>After the ordered bridge is correct, consider exact Shapley allocation for at most five independently switchable rule groups. Evaluate every valid combination of baseline and target rules, at most 32 combinations, and average each rule's marginal effect across all possible orders. Cache each unique combination result.</w:t>
      </w:r>
    </w:p>
    <w:p>
      <w:r>
        <w:t>This allocation is independent of the order chosen for presentation, but depends on the chosen groups and admissible counterfactuals. It is an attribution convention, not causal proof. Require every needed hybrid to be valid; do not omit invalid combinations and still label the result exact Shapley.</w:t>
      </w:r>
    </w:p>
    <w:p>
      <w:r>
        <w:t>If there are more groups, use the ordered method or decline this feature. A later sampling approximation would need a sampling seed, error assessment and a clear approximate label. It is not part of the MVP.</w:t>
      </w:r>
    </w:p>
    <w:p>
      <w:pPr>
        <w:pStyle w:val="Heading2"/>
      </w:pPr>
      <w:r>
        <w:t>Semantic drift</w:t>
      </w:r>
    </w:p>
    <w:p>
      <w:r>
        <w:t>Create a new definition version whenever source text changes. Compare both raw and normalized fingerprints. A raw-only cosmetic change remains in history without a meaning-change alert. A supported change to the expression, business predicate or time field creates a definition-change event even if the observed amount does not change.</w:t>
      </w:r>
    </w:p>
    <w:p>
      <w:r>
        <w:t>A meaning-change alert depends on the reviewed intent. If the owner intentionally changed the definition and approved its effective date, classify it as an approved change. An unapproved change against an expected baseline is suspected semantic drift. Without enough source context, use Unknown meaning impact.</w:t>
      </w:r>
    </w:p>
    <w:p>
      <w:r>
        <w:t>Record observed_at, optional source_changed_at and optional effective_from separately. "Changed 12 days ago" is permissible only when source history supports that timestamp. Otherwise say "First observed 12 days ago." Compare old and new definitions on the same snapshot to isolate the definition effect.</w:t>
      </w:r>
    </w:p>
    <w:p>
      <w:r>
        <w:t>For a historical replay, freeze a full extraction with an as-of cutoff and run both versions for each chosen month. Label results as restated under that cutoff. They are not the original figures published at the time unless dated historical snapshots are available. Require both definitions to be evaluable for each period; expose gaps rather than joining missing periods into a continuous line.</w:t>
      </w:r>
    </w:p>
    <w:p>
      <w:pPr>
        <w:pStyle w:val="Heading2"/>
      </w:pPr>
      <w:r>
        <w:t>Separating definition and data changes</w:t>
      </w:r>
    </w:p>
    <w:p>
      <w:r>
        <w:t>When both the definition and data change, use a two-by-two experiment if both data snapshots exist: old definition on old data, new definition on old data, old definition on new data, and new definition on new data. A selected path can separate definition and data contributions, while a Shapley-style average can share the interaction. Label the chosen method.</w:t>
      </w:r>
    </w:p>
    <w:p>
      <w:r>
        <w:t>The MVP fixes the data and changes the definition. It must not call a difference between an old reported number and a newly calculated number a pure semantic drift impact. Changes to late-arriving records, refund cutoffs or mappings are data changes even when the SQL is identical.</w:t>
      </w:r>
    </w:p>
    <w:p>
      <w:pPr>
        <w:pStyle w:val="Heading1"/>
      </w:pPr>
      <w:r>
        <w:t>5 Architecture and deployment</w:t>
      </w:r>
    </w:p>
    <w:p>
      <w:pPr>
        <w:pStyle w:val="Heading2"/>
      </w:pPr>
      <w:r>
        <w:t>Recommended 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384"/>
        <w:gridCol w:w="4320"/>
      </w:tblGrid>
      <w:tr>
        <w:trPr>
          <w:cantSplit/>
          <w:tblHeader/>
        </w:trPr>
        <w:tc>
          <w:tcPr>
            <w:tcW w:type="dxa" w:w="2520"/>
            <w:vAlign w:val="center"/>
            <w:tcMar>
              <w:top w:w="90" w:type="dxa"/>
              <w:bottom w:w="90" w:type="dxa"/>
              <w:left w:w="90" w:type="dxa"/>
              <w:right w:w="90" w:type="dxa"/>
            </w:tcMar>
            <w:shd w:fill="DBE5ED"/>
          </w:tcPr>
          <w:p>
            <w:pPr>
              <w:spacing w:after="0" w:line="257" w:lineRule="auto"/>
            </w:pPr>
            <w:r>
              <w:rPr>
                <w:b/>
                <w:color w:val="000000"/>
                <w:sz w:val="18"/>
              </w:rPr>
              <w:t>Layer</w:t>
            </w:r>
          </w:p>
        </w:tc>
        <w:tc>
          <w:tcPr>
            <w:tcW w:type="dxa" w:w="3384"/>
            <w:vAlign w:val="center"/>
            <w:tcMar>
              <w:top w:w="90" w:type="dxa"/>
              <w:bottom w:w="90" w:type="dxa"/>
              <w:left w:w="90" w:type="dxa"/>
              <w:right w:w="90" w:type="dxa"/>
            </w:tcMar>
            <w:shd w:fill="DBE5ED"/>
          </w:tcPr>
          <w:p>
            <w:pPr>
              <w:spacing w:after="0" w:line="257" w:lineRule="auto"/>
            </w:pPr>
            <w:r>
              <w:rPr>
                <w:b/>
                <w:color w:val="000000"/>
                <w:sz w:val="18"/>
              </w:rPr>
              <w:t>Choice</w:t>
            </w:r>
          </w:p>
        </w:tc>
        <w:tc>
          <w:tcPr>
            <w:tcW w:type="dxa" w:w="4320"/>
            <w:vAlign w:val="center"/>
            <w:tcMar>
              <w:top w:w="90" w:type="dxa"/>
              <w:bottom w:w="90" w:type="dxa"/>
              <w:left w:w="90" w:type="dxa"/>
              <w:right w:w="90" w:type="dxa"/>
            </w:tcMar>
            <w:shd w:fill="DBE5ED"/>
          </w:tcPr>
          <w:p>
            <w:pPr>
              <w:spacing w:after="0" w:line="257" w:lineRule="auto"/>
            </w:pPr>
            <w:r>
              <w:rPr>
                <w:b/>
                <w:color w:val="000000"/>
                <w:sz w:val="18"/>
              </w:rPr>
              <w:t>Reason</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Web interface</w:t>
            </w:r>
          </w:p>
        </w:tc>
        <w:tc>
          <w:tcPr>
            <w:tcW w:type="dxa" w:w="3384"/>
            <w:vAlign w:val="center"/>
            <w:tcMar>
              <w:top w:w="90" w:type="dxa"/>
              <w:bottom w:w="90" w:type="dxa"/>
              <w:left w:w="90" w:type="dxa"/>
              <w:right w:w="90" w:type="dxa"/>
            </w:tcMar>
            <w:shd w:fill="FFFFFF"/>
          </w:tcPr>
          <w:p>
            <w:pPr>
              <w:spacing w:after="0" w:line="257" w:lineRule="auto"/>
            </w:pPr>
            <w:r>
              <w:rPr>
                <w:sz w:val="18"/>
              </w:rPr>
              <w:t>React with TypeScript and Vite</w:t>
            </w:r>
          </w:p>
        </w:tc>
        <w:tc>
          <w:tcPr>
            <w:tcW w:type="dxa" w:w="4320"/>
            <w:vAlign w:val="center"/>
            <w:tcMar>
              <w:top w:w="90" w:type="dxa"/>
              <w:bottom w:w="90" w:type="dxa"/>
              <w:left w:w="90" w:type="dxa"/>
              <w:right w:w="90" w:type="dxa"/>
            </w:tcMar>
            <w:shd w:fill="FFFFFF"/>
          </w:tcPr>
          <w:p>
            <w:pPr>
              <w:spacing w:after="0" w:line="257" w:lineRule="auto"/>
            </w:pPr>
            <w:r>
              <w:rPr>
                <w:sz w:val="18"/>
              </w:rPr>
              <w:t>Clear typed investigation screens without unnecessary server rendering</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API</w:t>
            </w:r>
          </w:p>
        </w:tc>
        <w:tc>
          <w:tcPr>
            <w:tcW w:type="dxa" w:w="3384"/>
            <w:vAlign w:val="center"/>
            <w:tcMar>
              <w:top w:w="90" w:type="dxa"/>
              <w:bottom w:w="90" w:type="dxa"/>
              <w:left w:w="90" w:type="dxa"/>
              <w:right w:w="90" w:type="dxa"/>
            </w:tcMar>
            <w:shd w:fill="F6F8FA"/>
          </w:tcPr>
          <w:p>
            <w:pPr>
              <w:spacing w:after="0" w:line="257" w:lineRule="auto"/>
            </w:pPr>
            <w:r>
              <w:rPr>
                <w:sz w:val="18"/>
              </w:rPr>
              <w:t>Python with FastAPI and Pydantic</w:t>
            </w:r>
          </w:p>
        </w:tc>
        <w:tc>
          <w:tcPr>
            <w:tcW w:type="dxa" w:w="4320"/>
            <w:vAlign w:val="center"/>
            <w:tcMar>
              <w:top w:w="90" w:type="dxa"/>
              <w:bottom w:w="90" w:type="dxa"/>
              <w:left w:w="90" w:type="dxa"/>
              <w:right w:w="90" w:type="dxa"/>
            </w:tcMar>
            <w:shd w:fill="F6F8FA"/>
          </w:tcPr>
          <w:p>
            <w:pPr>
              <w:spacing w:after="0" w:line="257" w:lineRule="auto"/>
            </w:pPr>
            <w:r>
              <w:rPr>
                <w:sz w:val="18"/>
              </w:rPr>
              <w:t>Validation, typed contracts and a Python analytics ecosystem</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SQL interpretation</w:t>
            </w:r>
          </w:p>
        </w:tc>
        <w:tc>
          <w:tcPr>
            <w:tcW w:type="dxa" w:w="3384"/>
            <w:vAlign w:val="center"/>
            <w:tcMar>
              <w:top w:w="90" w:type="dxa"/>
              <w:bottom w:w="90" w:type="dxa"/>
              <w:left w:w="90" w:type="dxa"/>
              <w:right w:w="90" w:type="dxa"/>
            </w:tcMar>
            <w:shd w:fill="FFFFFF"/>
          </w:tcPr>
          <w:p>
            <w:pPr>
              <w:spacing w:after="0" w:line="257" w:lineRule="auto"/>
            </w:pPr>
            <w:r>
              <w:rPr>
                <w:sz w:val="18"/>
              </w:rPr>
              <w:t>SQLGlot with a versioned restricted IR</w:t>
            </w:r>
          </w:p>
        </w:tc>
        <w:tc>
          <w:tcPr>
            <w:tcW w:type="dxa" w:w="4320"/>
            <w:vAlign w:val="center"/>
            <w:tcMar>
              <w:top w:w="90" w:type="dxa"/>
              <w:bottom w:w="90" w:type="dxa"/>
              <w:left w:w="90" w:type="dxa"/>
              <w:right w:w="90" w:type="dxa"/>
            </w:tcMar>
            <w:shd w:fill="FFFFFF"/>
          </w:tcPr>
          <w:p>
            <w:pPr>
              <w:spacing w:after="0" w:line="257" w:lineRule="auto"/>
            </w:pPr>
            <w:r>
              <w:rPr>
                <w:sz w:val="18"/>
              </w:rPr>
              <w:t>Structural parsing and comparison with an explicit support policy</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Analytical execution</w:t>
            </w:r>
          </w:p>
        </w:tc>
        <w:tc>
          <w:tcPr>
            <w:tcW w:type="dxa" w:w="3384"/>
            <w:vAlign w:val="center"/>
            <w:tcMar>
              <w:top w:w="90" w:type="dxa"/>
              <w:bottom w:w="90" w:type="dxa"/>
              <w:left w:w="90" w:type="dxa"/>
              <w:right w:w="90" w:type="dxa"/>
            </w:tcMar>
            <w:shd w:fill="F6F8FA"/>
          </w:tcPr>
          <w:p>
            <w:pPr>
              <w:spacing w:after="0" w:line="257" w:lineRule="auto"/>
            </w:pPr>
            <w:r>
              <w:rPr>
                <w:sz w:val="18"/>
              </w:rPr>
              <w:t>DuckDB in a restricted runner</w:t>
            </w:r>
          </w:p>
        </w:tc>
        <w:tc>
          <w:tcPr>
            <w:tcW w:type="dxa" w:w="4320"/>
            <w:vAlign w:val="center"/>
            <w:tcMar>
              <w:top w:w="90" w:type="dxa"/>
              <w:bottom w:w="90" w:type="dxa"/>
              <w:left w:w="90" w:type="dxa"/>
              <w:right w:w="90" w:type="dxa"/>
            </w:tcMar>
            <w:shd w:fill="F6F8FA"/>
          </w:tcPr>
          <w:p>
            <w:pPr>
              <w:spacing w:after="0" w:line="257" w:lineRule="auto"/>
            </w:pPr>
            <w:r>
              <w:rPr>
                <w:sz w:val="18"/>
              </w:rPr>
              <w:t>Repeatable local queries against frozen analytical snapshots</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Application records</w:t>
            </w:r>
          </w:p>
        </w:tc>
        <w:tc>
          <w:tcPr>
            <w:tcW w:type="dxa" w:w="3384"/>
            <w:vAlign w:val="center"/>
            <w:tcMar>
              <w:top w:w="90" w:type="dxa"/>
              <w:bottom w:w="90" w:type="dxa"/>
              <w:left w:w="90" w:type="dxa"/>
              <w:right w:w="90" w:type="dxa"/>
            </w:tcMar>
            <w:shd w:fill="FFFFFF"/>
          </w:tcPr>
          <w:p>
            <w:pPr>
              <w:spacing w:after="0" w:line="257" w:lineRule="auto"/>
            </w:pPr>
            <w:r>
              <w:rPr>
                <w:sz w:val="18"/>
              </w:rPr>
              <w:t>PostgreSQL</w:t>
            </w:r>
          </w:p>
        </w:tc>
        <w:tc>
          <w:tcPr>
            <w:tcW w:type="dxa" w:w="4320"/>
            <w:vAlign w:val="center"/>
            <w:tcMar>
              <w:top w:w="90" w:type="dxa"/>
              <w:bottom w:w="90" w:type="dxa"/>
              <w:left w:w="90" w:type="dxa"/>
              <w:right w:w="90" w:type="dxa"/>
            </w:tcMar>
            <w:shd w:fill="FFFFFF"/>
          </w:tcPr>
          <w:p>
            <w:pPr>
              <w:spacing w:after="0" w:line="257" w:lineRule="auto"/>
            </w:pPr>
            <w:r>
              <w:rPr>
                <w:sz w:val="18"/>
              </w:rPr>
              <w:t>Transactions for versions, runs, claims and decisions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Data and evidence files</w:t>
            </w:r>
          </w:p>
        </w:tc>
        <w:tc>
          <w:tcPr>
            <w:tcW w:type="dxa" w:w="3384"/>
            <w:vAlign w:val="center"/>
            <w:tcMar>
              <w:top w:w="90" w:type="dxa"/>
              <w:bottom w:w="90" w:type="dxa"/>
              <w:left w:w="90" w:type="dxa"/>
              <w:right w:w="90" w:type="dxa"/>
            </w:tcMar>
            <w:shd w:fill="F6F8FA"/>
          </w:tcPr>
          <w:p>
            <w:pPr>
              <w:spacing w:after="0" w:line="257" w:lineRule="auto"/>
            </w:pPr>
            <w:r>
              <w:rPr>
                <w:sz w:val="18"/>
              </w:rPr>
              <w:t>Local managed directories initially</w:t>
            </w:r>
          </w:p>
        </w:tc>
        <w:tc>
          <w:tcPr>
            <w:tcW w:type="dxa" w:w="4320"/>
            <w:vAlign w:val="center"/>
            <w:tcMar>
              <w:top w:w="90" w:type="dxa"/>
              <w:bottom w:w="90" w:type="dxa"/>
              <w:left w:w="90" w:type="dxa"/>
              <w:right w:w="90" w:type="dxa"/>
            </w:tcMar>
            <w:shd w:fill="F6F8FA"/>
          </w:tcPr>
          <w:p>
            <w:pPr>
              <w:spacing w:after="0" w:line="257" w:lineRule="auto"/>
            </w:pPr>
            <w:r>
              <w:rPr>
                <w:sz w:val="18"/>
              </w:rPr>
              <w:t>Cheap reproducible storage; abstraction permits object storage later</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Data preparation</w:t>
            </w:r>
          </w:p>
        </w:tc>
        <w:tc>
          <w:tcPr>
            <w:tcW w:type="dxa" w:w="3384"/>
            <w:vAlign w:val="center"/>
            <w:tcMar>
              <w:top w:w="90" w:type="dxa"/>
              <w:bottom w:w="90" w:type="dxa"/>
              <w:left w:w="90" w:type="dxa"/>
              <w:right w:w="90" w:type="dxa"/>
            </w:tcMar>
            <w:shd w:fill="FFFFFF"/>
          </w:tcPr>
          <w:p>
            <w:pPr>
              <w:spacing w:after="0" w:line="257" w:lineRule="auto"/>
            </w:pPr>
            <w:r>
              <w:rPr>
                <w:sz w:val="18"/>
              </w:rPr>
              <w:t>DuckDB plus PyArrow where needed</w:t>
            </w:r>
          </w:p>
        </w:tc>
        <w:tc>
          <w:tcPr>
            <w:tcW w:type="dxa" w:w="4320"/>
            <w:vAlign w:val="center"/>
            <w:tcMar>
              <w:top w:w="90" w:type="dxa"/>
              <w:bottom w:w="90" w:type="dxa"/>
              <w:left w:w="90" w:type="dxa"/>
              <w:right w:w="90" w:type="dxa"/>
            </w:tcMar>
            <w:shd w:fill="FFFFFF"/>
          </w:tcPr>
          <w:p>
            <w:pPr>
              <w:spacing w:after="0" w:line="257" w:lineRule="auto"/>
            </w:pPr>
            <w:r>
              <w:rPr>
                <w:sz w:val="18"/>
              </w:rPr>
              <w:t>Typed CSV and Parquet ingestion without maintaining two dataframe stacks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Tests</w:t>
            </w:r>
          </w:p>
        </w:tc>
        <w:tc>
          <w:tcPr>
            <w:tcW w:type="dxa" w:w="3384"/>
            <w:vAlign w:val="center"/>
            <w:tcMar>
              <w:top w:w="90" w:type="dxa"/>
              <w:bottom w:w="90" w:type="dxa"/>
              <w:left w:w="90" w:type="dxa"/>
              <w:right w:w="90" w:type="dxa"/>
            </w:tcMar>
            <w:shd w:fill="F6F8FA"/>
          </w:tcPr>
          <w:p>
            <w:pPr>
              <w:spacing w:after="0" w:line="257" w:lineRule="auto"/>
            </w:pPr>
            <w:r>
              <w:rPr>
                <w:sz w:val="18"/>
              </w:rPr>
              <w:t>pytest, property tests and Playwright</w:t>
            </w:r>
          </w:p>
        </w:tc>
        <w:tc>
          <w:tcPr>
            <w:tcW w:type="dxa" w:w="4320"/>
            <w:vAlign w:val="center"/>
            <w:tcMar>
              <w:top w:w="90" w:type="dxa"/>
              <w:bottom w:w="90" w:type="dxa"/>
              <w:left w:w="90" w:type="dxa"/>
              <w:right w:w="90" w:type="dxa"/>
            </w:tcMar>
            <w:shd w:fill="F6F8FA"/>
          </w:tcPr>
          <w:p>
            <w:pPr>
              <w:spacing w:after="0" w:line="257" w:lineRule="auto"/>
            </w:pPr>
            <w:r>
              <w:rPr>
                <w:sz w:val="18"/>
              </w:rPr>
              <w:t>Numeric invariants, parser behavior and one complete user journey</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Packaging</w:t>
            </w:r>
          </w:p>
        </w:tc>
        <w:tc>
          <w:tcPr>
            <w:tcW w:type="dxa" w:w="3384"/>
            <w:vAlign w:val="center"/>
            <w:tcMar>
              <w:top w:w="90" w:type="dxa"/>
              <w:bottom w:w="90" w:type="dxa"/>
              <w:left w:w="90" w:type="dxa"/>
              <w:right w:w="90" w:type="dxa"/>
            </w:tcMar>
            <w:shd w:fill="FFFFFF"/>
          </w:tcPr>
          <w:p>
            <w:pPr>
              <w:spacing w:after="0" w:line="257" w:lineRule="auto"/>
            </w:pPr>
            <w:r>
              <w:rPr>
                <w:sz w:val="18"/>
              </w:rPr>
              <w:t>Locked Python and JavaScript dependencies with containers</w:t>
            </w:r>
          </w:p>
        </w:tc>
        <w:tc>
          <w:tcPr>
            <w:tcW w:type="dxa" w:w="4320"/>
            <w:vAlign w:val="center"/>
            <w:tcMar>
              <w:top w:w="90" w:type="dxa"/>
              <w:bottom w:w="90" w:type="dxa"/>
              <w:left w:w="90" w:type="dxa"/>
              <w:right w:w="90" w:type="dxa"/>
            </w:tcMar>
            <w:shd w:fill="FFFFFF"/>
          </w:tcPr>
          <w:p>
            <w:pPr>
              <w:spacing w:after="0" w:line="257" w:lineRule="auto"/>
            </w:pPr>
            <w:r>
              <w:rPr>
                <w:sz w:val="18"/>
              </w:rPr>
              <w:t>Repeatability across development machines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AI</w:t>
            </w:r>
          </w:p>
        </w:tc>
        <w:tc>
          <w:tcPr>
            <w:tcW w:type="dxa" w:w="3384"/>
            <w:vAlign w:val="center"/>
            <w:tcMar>
              <w:top w:w="90" w:type="dxa"/>
              <w:bottom w:w="90" w:type="dxa"/>
              <w:left w:w="90" w:type="dxa"/>
              <w:right w:w="90" w:type="dxa"/>
            </w:tcMar>
            <w:shd w:fill="F6F8FA"/>
          </w:tcPr>
          <w:p>
            <w:pPr>
              <w:spacing w:after="0" w:line="257" w:lineRule="auto"/>
            </w:pPr>
            <w:r>
              <w:rPr>
                <w:sz w:val="18"/>
              </w:rPr>
              <w:t>No required provider in the MVP</w:t>
            </w:r>
          </w:p>
        </w:tc>
        <w:tc>
          <w:tcPr>
            <w:tcW w:type="dxa" w:w="4320"/>
            <w:vAlign w:val="center"/>
            <w:tcMar>
              <w:top w:w="90" w:type="dxa"/>
              <w:bottom w:w="90" w:type="dxa"/>
              <w:left w:w="90" w:type="dxa"/>
              <w:right w:w="90" w:type="dxa"/>
            </w:tcMar>
            <w:shd w:fill="F6F8FA"/>
          </w:tcPr>
          <w:p>
            <w:pPr>
              <w:spacing w:after="0" w:line="257" w:lineRule="auto"/>
            </w:pPr>
            <w:r>
              <w:rPr>
                <w:sz w:val="18"/>
              </w:rPr>
              <w:t>Baseline behavior is independently testable and available offline</w:t>
            </w:r>
          </w:p>
        </w:tc>
      </w:tr>
    </w:tbl>
    <w:p>
      <w:pPr>
        <w:spacing w:after="20"/>
      </w:pPr>
    </w:p>
    <w:p>
      <w:r>
        <w:t>Pandas or Polars may be added for a specific measured need. Using both by default duplicates transformations and increases disagreement risk. PostgreSQL stores application metadata; DuckDB calculates analytical results. They have different responsibilities. Redis, Kafka, Kubernetes, a graph database and a vector database are unnecessary for the initial workload.</w:t>
      </w:r>
    </w:p>
    <w:p>
      <w:r>
        <w:t>Select supported stable dependency versions at implementation time, verify compatibility and lock them. This plan specifies behavior rather than claiming a particular version number is the newest.</w:t>
      </w:r>
    </w:p>
    <w:p>
      <w:pPr>
        <w:pStyle w:val="Heading2"/>
      </w:pPr>
      <w:r>
        <w:t>Component boundaries</w:t>
      </w:r>
    </w:p>
    <w:p>
      <w:pPr>
        <w:keepNext/>
        <w:jc w:val="center"/>
      </w:pPr>
      <w:r>
        <w:drawing>
          <wp:inline xmlns:a="http://schemas.openxmlformats.org/drawingml/2006/main" xmlns:pic="http://schemas.openxmlformats.org/drawingml/2006/picture">
            <wp:extent cx="6172200" cy="4539146"/>
            <wp:docPr id="1" name="Picture 1" descr="MetricGuard component 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4539146"/>
                    </a:xfrm>
                    <a:prstGeom prst="rect"/>
                  </pic:spPr>
                </pic:pic>
              </a:graphicData>
            </a:graphic>
          </wp:inline>
        </w:drawing>
      </w:r>
    </w:p>
    <w:p>
      <w:pPr>
        <w:jc w:val="center"/>
      </w:pPr>
      <w:r>
        <w:rPr>
          <w:sz w:val="18"/>
        </w:rPr>
        <w:t>MetricGuard component architecture</w:t>
      </w:r>
    </w:p>
    <w:p>
      <w:r>
        <w:t>The browser communicates only with the API. The API handles imports, context validation, pair review and job creation. PostgreSQL stores durable job and application state. A trusted local worker supervisor claims queued jobs and launches the analytical runner. The runner receives only a validated job description and the selected snapshot, calculates evidence, and returns a bounded result bundle.</w:t>
      </w:r>
    </w:p>
    <w:p>
      <w:r>
        <w:t>Original SQL is parsed and rejected if unsupported. Only SQL regenerated from the validated IR is executed. This reduces the exposed query language but does not replace sandboxing. DuckDB's own guidance treats untrusted SQL as executable code and recommends isolation plus resource controls [S8].</w:t>
      </w:r>
    </w:p>
    <w:p>
      <w:r>
        <w:t>The API never receives a container engine socket. The local supervisor, started by the developer, may use container privileges to launch a fixed runner image. This privilege is confined to the trusted local orchestration process; uploaded text cannot choose images, mounts, commands or flags. In a hosted pilot, replace that mechanism with a restricted job service before allowing arbitrary remote uploads.</w:t>
      </w:r>
    </w:p>
    <w:p>
      <w:pPr>
        <w:pStyle w:val="Heading2"/>
      </w:pPr>
      <w:r>
        <w:t>Execution sequence</w:t>
      </w:r>
    </w:p>
    <w:p>
      <w:pPr>
        <w:ind w:left="317" w:hanging="317"/>
      </w:pPr>
      <w:r>
        <w:t>1. API validates version IDs, context and permissions for the local project, then inserts a queued run transactionally.</w:t>
      </w:r>
    </w:p>
    <w:p>
      <w:pPr>
        <w:ind w:left="317" w:hanging="317"/>
      </w:pPr>
      <w:r>
        <w:t>2. Supervisor claims one job with a lease and an attempt number. The initial deployment permits one analytical run at a time.</w:t>
      </w:r>
    </w:p>
    <w:p>
      <w:pPr>
        <w:ind w:left="317" w:hanging="317"/>
      </w:pPr>
      <w:r>
        <w:t>3. Supervisor prepares a job-specific directory containing an immutable snapshot copy or read-only reference and a validated JSON manifest.</w:t>
      </w:r>
    </w:p>
    <w:p>
      <w:pPr>
        <w:ind w:left="317" w:hanging="317"/>
      </w:pPr>
      <w:r>
        <w:t>4. A fixed runner container starts with no network, no application credentials, no container socket and no unrelated data mounts.</w:t>
      </w:r>
    </w:p>
    <w:p>
      <w:pPr>
        <w:ind w:left="317" w:hanging="317"/>
      </w:pPr>
      <w:r>
        <w:t>5. Runner verifies hashes and policy versions, validates the IR, opens the selected prebuilt database read-only and executes the permitted endpoints and bridge.</w:t>
      </w:r>
    </w:p>
    <w:p>
      <w:pPr>
        <w:ind w:left="317" w:hanging="317"/>
      </w:pPr>
      <w:r>
        <w:t>6. Runner writes bounded JSON and evidence files to a job-specific output directory.</w:t>
      </w:r>
    </w:p>
    <w:p>
      <w:pPr>
        <w:ind w:left="317" w:hanging="317"/>
      </w:pPr>
      <w:r>
        <w:t>7. Supervisor validates output sizes, hashes, schemas and reconciliation invariants, then commits the result pointers and terminal state.</w:t>
      </w:r>
    </w:p>
    <w:p>
      <w:pPr>
        <w:ind w:left="317" w:hanging="317"/>
      </w:pPr>
      <w:r>
        <w:t>8. API serves results and paginated evidence. The browser polls status; streaming is optional later.</w:t>
      </w:r>
    </w:p>
    <w:p>
      <w:r>
        <w:t>Ingestion is a separate operation with its own limits. It turns an accepted flat file into an immutable analytical database before untrusted metric execution begins. Do not require external file scans from the SQL runner. A snapshot is published only after ingestion validation completes.</w:t>
      </w:r>
    </w:p>
    <w:p>
      <w:pPr>
        <w:pStyle w:val="Heading2"/>
      </w:pPr>
      <w:r>
        <w:t>Modules and interfaces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384"/>
        <w:gridCol w:w="4320"/>
      </w:tblGrid>
      <w:tr>
        <w:trPr>
          <w:cantSplit/>
          <w:tblHeader/>
        </w:trPr>
        <w:tc>
          <w:tcPr>
            <w:tcW w:type="dxa" w:w="2520"/>
            <w:vAlign w:val="center"/>
            <w:tcMar>
              <w:top w:w="90" w:type="dxa"/>
              <w:bottom w:w="90" w:type="dxa"/>
              <w:left w:w="90" w:type="dxa"/>
              <w:right w:w="90" w:type="dxa"/>
            </w:tcMar>
            <w:shd w:fill="DBE5ED"/>
          </w:tcPr>
          <w:p>
            <w:pPr>
              <w:spacing w:after="0" w:line="257" w:lineRule="auto"/>
            </w:pPr>
            <w:r>
              <w:rPr>
                <w:b/>
                <w:color w:val="000000"/>
                <w:sz w:val="18"/>
              </w:rPr>
              <w:t>Module</w:t>
            </w:r>
          </w:p>
        </w:tc>
        <w:tc>
          <w:tcPr>
            <w:tcW w:type="dxa" w:w="3384"/>
            <w:vAlign w:val="center"/>
            <w:tcMar>
              <w:top w:w="90" w:type="dxa"/>
              <w:bottom w:w="90" w:type="dxa"/>
              <w:left w:w="90" w:type="dxa"/>
              <w:right w:w="90" w:type="dxa"/>
            </w:tcMar>
            <w:shd w:fill="DBE5ED"/>
          </w:tcPr>
          <w:p>
            <w:pPr>
              <w:spacing w:after="0" w:line="257" w:lineRule="auto"/>
            </w:pPr>
            <w:r>
              <w:rPr>
                <w:b/>
                <w:color w:val="000000"/>
                <w:sz w:val="18"/>
              </w:rPr>
              <w:t>Input</w:t>
            </w:r>
          </w:p>
        </w:tc>
        <w:tc>
          <w:tcPr>
            <w:tcW w:type="dxa" w:w="4320"/>
            <w:vAlign w:val="center"/>
            <w:tcMar>
              <w:top w:w="90" w:type="dxa"/>
              <w:bottom w:w="90" w:type="dxa"/>
              <w:left w:w="90" w:type="dxa"/>
              <w:right w:w="90" w:type="dxa"/>
            </w:tcMar>
            <w:shd w:fill="DBE5ED"/>
          </w:tcPr>
          <w:p>
            <w:pPr>
              <w:spacing w:after="0" w:line="257" w:lineRule="auto"/>
            </w:pPr>
            <w:r>
              <w:rPr>
                <w:b/>
                <w:color w:val="000000"/>
                <w:sz w:val="18"/>
              </w:rPr>
              <w:t>Output</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Import adapter</w:t>
            </w:r>
          </w:p>
        </w:tc>
        <w:tc>
          <w:tcPr>
            <w:tcW w:type="dxa" w:w="3384"/>
            <w:vAlign w:val="center"/>
            <w:tcMar>
              <w:top w:w="90" w:type="dxa"/>
              <w:bottom w:w="90" w:type="dxa"/>
              <w:left w:w="90" w:type="dxa"/>
              <w:right w:w="90" w:type="dxa"/>
            </w:tcMar>
            <w:shd w:fill="FFFFFF"/>
          </w:tcPr>
          <w:p>
            <w:pPr>
              <w:spacing w:after="0" w:line="257" w:lineRule="auto"/>
            </w:pPr>
            <w:r>
              <w:rPr>
                <w:sz w:val="18"/>
              </w:rPr>
              <w:t>SQL text and source metadata</w:t>
            </w:r>
          </w:p>
        </w:tc>
        <w:tc>
          <w:tcPr>
            <w:tcW w:type="dxa" w:w="4320"/>
            <w:vAlign w:val="center"/>
            <w:tcMar>
              <w:top w:w="90" w:type="dxa"/>
              <w:bottom w:w="90" w:type="dxa"/>
              <w:left w:w="90" w:type="dxa"/>
              <w:right w:w="90" w:type="dxa"/>
            </w:tcMar>
            <w:shd w:fill="FFFFFF"/>
          </w:tcPr>
          <w:p>
            <w:pPr>
              <w:spacing w:after="0" w:line="257" w:lineRule="auto"/>
            </w:pPr>
            <w:r>
              <w:rPr>
                <w:sz w:val="18"/>
              </w:rPr>
              <w:t>Definition draft and provenance</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Snapshot ingester</w:t>
            </w:r>
          </w:p>
        </w:tc>
        <w:tc>
          <w:tcPr>
            <w:tcW w:type="dxa" w:w="3384"/>
            <w:vAlign w:val="center"/>
            <w:tcMar>
              <w:top w:w="90" w:type="dxa"/>
              <w:bottom w:w="90" w:type="dxa"/>
              <w:left w:w="90" w:type="dxa"/>
              <w:right w:w="90" w:type="dxa"/>
            </w:tcMar>
            <w:shd w:fill="F6F8FA"/>
          </w:tcPr>
          <w:p>
            <w:pPr>
              <w:spacing w:after="0" w:line="257" w:lineRule="auto"/>
            </w:pPr>
            <w:r>
              <w:rPr>
                <w:sz w:val="18"/>
              </w:rPr>
              <w:t>CSV or Parquet with declared schema</w:t>
            </w:r>
          </w:p>
        </w:tc>
        <w:tc>
          <w:tcPr>
            <w:tcW w:type="dxa" w:w="4320"/>
            <w:vAlign w:val="center"/>
            <w:tcMar>
              <w:top w:w="90" w:type="dxa"/>
              <w:bottom w:w="90" w:type="dxa"/>
              <w:left w:w="90" w:type="dxa"/>
              <w:right w:w="90" w:type="dxa"/>
            </w:tcMar>
            <w:shd w:fill="F6F8FA"/>
          </w:tcPr>
          <w:p>
            <w:pPr>
              <w:spacing w:after="0" w:line="257" w:lineRule="auto"/>
            </w:pPr>
            <w:r>
              <w:rPr>
                <w:sz w:val="18"/>
              </w:rPr>
              <w:t>Validated immutable snapshot manifest</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Parser and binder</w:t>
            </w:r>
          </w:p>
        </w:tc>
        <w:tc>
          <w:tcPr>
            <w:tcW w:type="dxa" w:w="3384"/>
            <w:vAlign w:val="center"/>
            <w:tcMar>
              <w:top w:w="90" w:type="dxa"/>
              <w:bottom w:w="90" w:type="dxa"/>
              <w:left w:w="90" w:type="dxa"/>
              <w:right w:w="90" w:type="dxa"/>
            </w:tcMar>
            <w:shd w:fill="FFFFFF"/>
          </w:tcPr>
          <w:p>
            <w:pPr>
              <w:spacing w:after="0" w:line="257" w:lineRule="auto"/>
            </w:pPr>
            <w:r>
              <w:rPr>
                <w:sz w:val="18"/>
              </w:rPr>
              <w:t>SQL, dialect and schema</w:t>
            </w:r>
          </w:p>
        </w:tc>
        <w:tc>
          <w:tcPr>
            <w:tcW w:type="dxa" w:w="4320"/>
            <w:vAlign w:val="center"/>
            <w:tcMar>
              <w:top w:w="90" w:type="dxa"/>
              <w:bottom w:w="90" w:type="dxa"/>
              <w:left w:w="90" w:type="dxa"/>
              <w:right w:w="90" w:type="dxa"/>
            </w:tcMar>
            <w:shd w:fill="FFFFFF"/>
          </w:tcPr>
          <w:p>
            <w:pPr>
              <w:spacing w:after="0" w:line="257" w:lineRule="auto"/>
            </w:pPr>
            <w:r>
              <w:rPr>
                <w:sz w:val="18"/>
              </w:rPr>
              <w:t>Parsed tree or structured parse error</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Support checker</w:t>
            </w:r>
          </w:p>
        </w:tc>
        <w:tc>
          <w:tcPr>
            <w:tcW w:type="dxa" w:w="3384"/>
            <w:vAlign w:val="center"/>
            <w:tcMar>
              <w:top w:w="90" w:type="dxa"/>
              <w:bottom w:w="90" w:type="dxa"/>
              <w:left w:w="90" w:type="dxa"/>
              <w:right w:w="90" w:type="dxa"/>
            </w:tcMar>
            <w:shd w:fill="F6F8FA"/>
          </w:tcPr>
          <w:p>
            <w:pPr>
              <w:spacing w:after="0" w:line="257" w:lineRule="auto"/>
            </w:pPr>
            <w:r>
              <w:rPr>
                <w:sz w:val="18"/>
              </w:rPr>
              <w:t>Parsed tree and policy version</w:t>
            </w:r>
          </w:p>
        </w:tc>
        <w:tc>
          <w:tcPr>
            <w:tcW w:type="dxa" w:w="4320"/>
            <w:vAlign w:val="center"/>
            <w:tcMar>
              <w:top w:w="90" w:type="dxa"/>
              <w:bottom w:w="90" w:type="dxa"/>
              <w:left w:w="90" w:type="dxa"/>
              <w:right w:w="90" w:type="dxa"/>
            </w:tcMar>
            <w:shd w:fill="F6F8FA"/>
          </w:tcPr>
          <w:p>
            <w:pPr>
              <w:spacing w:after="0" w:line="257" w:lineRule="auto"/>
            </w:pPr>
            <w:r>
              <w:rPr>
                <w:sz w:val="18"/>
              </w:rPr>
              <w:t>Typed IR or unsupported reasons</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Match suggester</w:t>
            </w:r>
          </w:p>
        </w:tc>
        <w:tc>
          <w:tcPr>
            <w:tcW w:type="dxa" w:w="3384"/>
            <w:vAlign w:val="center"/>
            <w:tcMar>
              <w:top w:w="90" w:type="dxa"/>
              <w:bottom w:w="90" w:type="dxa"/>
              <w:left w:w="90" w:type="dxa"/>
              <w:right w:w="90" w:type="dxa"/>
            </w:tcMar>
            <w:shd w:fill="FFFFFF"/>
          </w:tcPr>
          <w:p>
            <w:pPr>
              <w:spacing w:after="0" w:line="257" w:lineRule="auto"/>
            </w:pPr>
            <w:r>
              <w:rPr>
                <w:sz w:val="18"/>
              </w:rPr>
              <w:t>Names, metadata and IR features</w:t>
            </w:r>
          </w:p>
        </w:tc>
        <w:tc>
          <w:tcPr>
            <w:tcW w:type="dxa" w:w="4320"/>
            <w:vAlign w:val="center"/>
            <w:tcMar>
              <w:top w:w="90" w:type="dxa"/>
              <w:bottom w:w="90" w:type="dxa"/>
              <w:left w:w="90" w:type="dxa"/>
              <w:right w:w="90" w:type="dxa"/>
            </w:tcMar>
            <w:shd w:fill="FFFFFF"/>
          </w:tcPr>
          <w:p>
            <w:pPr>
              <w:spacing w:after="0" w:line="257" w:lineRule="auto"/>
            </w:pPr>
            <w:r>
              <w:rPr>
                <w:sz w:val="18"/>
              </w:rPr>
              <w:t>Ranked candidates with reason fields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Context validator</w:t>
            </w:r>
          </w:p>
        </w:tc>
        <w:tc>
          <w:tcPr>
            <w:tcW w:type="dxa" w:w="3384"/>
            <w:vAlign w:val="center"/>
            <w:tcMar>
              <w:top w:w="90" w:type="dxa"/>
              <w:bottom w:w="90" w:type="dxa"/>
              <w:left w:w="90" w:type="dxa"/>
              <w:right w:w="90" w:type="dxa"/>
            </w:tcMar>
            <w:shd w:fill="F6F8FA"/>
          </w:tcPr>
          <w:p>
            <w:pPr>
              <w:spacing w:after="0" w:line="257" w:lineRule="auto"/>
            </w:pPr>
            <w:r>
              <w:rPr>
                <w:sz w:val="18"/>
              </w:rPr>
              <w:t>Definition pair and run context</w:t>
            </w:r>
          </w:p>
        </w:tc>
        <w:tc>
          <w:tcPr>
            <w:tcW w:type="dxa" w:w="4320"/>
            <w:vAlign w:val="center"/>
            <w:tcMar>
              <w:top w:w="90" w:type="dxa"/>
              <w:bottom w:w="90" w:type="dxa"/>
              <w:left w:w="90" w:type="dxa"/>
              <w:right w:w="90" w:type="dxa"/>
            </w:tcMar>
            <w:shd w:fill="F6F8FA"/>
          </w:tcPr>
          <w:p>
            <w:pPr>
              <w:spacing w:after="0" w:line="257" w:lineRule="auto"/>
            </w:pPr>
            <w:r>
              <w:rPr>
                <w:sz w:val="18"/>
              </w:rPr>
              <w:t>Comparable status and missing-context list</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Diff engine</w:t>
            </w:r>
          </w:p>
        </w:tc>
        <w:tc>
          <w:tcPr>
            <w:tcW w:type="dxa" w:w="3384"/>
            <w:vAlign w:val="center"/>
            <w:tcMar>
              <w:top w:w="90" w:type="dxa"/>
              <w:bottom w:w="90" w:type="dxa"/>
              <w:left w:w="90" w:type="dxa"/>
              <w:right w:w="90" w:type="dxa"/>
            </w:tcMar>
            <w:shd w:fill="FFFFFF"/>
          </w:tcPr>
          <w:p>
            <w:pPr>
              <w:spacing w:after="0" w:line="257" w:lineRule="auto"/>
            </w:pPr>
            <w:r>
              <w:rPr>
                <w:sz w:val="18"/>
              </w:rPr>
              <w:t>Two IR versions</w:t>
            </w:r>
          </w:p>
        </w:tc>
        <w:tc>
          <w:tcPr>
            <w:tcW w:type="dxa" w:w="4320"/>
            <w:vAlign w:val="center"/>
            <w:tcMar>
              <w:top w:w="90" w:type="dxa"/>
              <w:bottom w:w="90" w:type="dxa"/>
              <w:left w:w="90" w:type="dxa"/>
              <w:right w:w="90" w:type="dxa"/>
            </w:tcMar>
            <w:shd w:fill="FFFFFF"/>
          </w:tcPr>
          <w:p>
            <w:pPr>
              <w:spacing w:after="0" w:line="257" w:lineRule="auto"/>
            </w:pPr>
            <w:r>
              <w:rPr>
                <w:sz w:val="18"/>
              </w:rPr>
              <w:t>Structured rule changes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Executor</w:t>
            </w:r>
          </w:p>
        </w:tc>
        <w:tc>
          <w:tcPr>
            <w:tcW w:type="dxa" w:w="3384"/>
            <w:vAlign w:val="center"/>
            <w:tcMar>
              <w:top w:w="90" w:type="dxa"/>
              <w:bottom w:w="90" w:type="dxa"/>
              <w:left w:w="90" w:type="dxa"/>
              <w:right w:w="90" w:type="dxa"/>
            </w:tcMar>
            <w:shd w:fill="F6F8FA"/>
          </w:tcPr>
          <w:p>
            <w:pPr>
              <w:spacing w:after="0" w:line="257" w:lineRule="auto"/>
            </w:pPr>
            <w:r>
              <w:rPr>
                <w:sz w:val="18"/>
              </w:rPr>
              <w:t>Approved IR, context and snapshot</w:t>
            </w:r>
          </w:p>
        </w:tc>
        <w:tc>
          <w:tcPr>
            <w:tcW w:type="dxa" w:w="4320"/>
            <w:vAlign w:val="center"/>
            <w:tcMar>
              <w:top w:w="90" w:type="dxa"/>
              <w:bottom w:w="90" w:type="dxa"/>
              <w:left w:w="90" w:type="dxa"/>
              <w:right w:w="90" w:type="dxa"/>
            </w:tcMar>
            <w:shd w:fill="F6F8FA"/>
          </w:tcPr>
          <w:p>
            <w:pPr>
              <w:spacing w:after="0" w:line="257" w:lineRule="auto"/>
            </w:pPr>
            <w:r>
              <w:rPr>
                <w:sz w:val="18"/>
              </w:rPr>
              <w:t>Typed endpoint values and execution diagnostics</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Reconciler</w:t>
            </w:r>
          </w:p>
        </w:tc>
        <w:tc>
          <w:tcPr>
            <w:tcW w:type="dxa" w:w="3384"/>
            <w:vAlign w:val="center"/>
            <w:tcMar>
              <w:top w:w="90" w:type="dxa"/>
              <w:bottom w:w="90" w:type="dxa"/>
              <w:left w:w="90" w:type="dxa"/>
              <w:right w:w="90" w:type="dxa"/>
            </w:tcMar>
            <w:shd w:fill="FFFFFF"/>
          </w:tcPr>
          <w:p>
            <w:pPr>
              <w:spacing w:after="0" w:line="257" w:lineRule="auto"/>
            </w:pPr>
            <w:r>
              <w:rPr>
                <w:sz w:val="18"/>
              </w:rPr>
              <w:t>Endpoint data and valid rule switches</w:t>
            </w:r>
          </w:p>
        </w:tc>
        <w:tc>
          <w:tcPr>
            <w:tcW w:type="dxa" w:w="4320"/>
            <w:vAlign w:val="center"/>
            <w:tcMar>
              <w:top w:w="90" w:type="dxa"/>
              <w:bottom w:w="90" w:type="dxa"/>
              <w:left w:w="90" w:type="dxa"/>
              <w:right w:w="90" w:type="dxa"/>
            </w:tcMar>
            <w:shd w:fill="FFFFFF"/>
          </w:tcPr>
          <w:p>
            <w:pPr>
              <w:spacing w:after="0" w:line="257" w:lineRule="auto"/>
            </w:pPr>
            <w:r>
              <w:rPr>
                <w:sz w:val="18"/>
              </w:rPr>
              <w:t>Row contribution evidence and ordered bridge</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Drift service</w:t>
            </w:r>
          </w:p>
        </w:tc>
        <w:tc>
          <w:tcPr>
            <w:tcW w:type="dxa" w:w="3384"/>
            <w:vAlign w:val="center"/>
            <w:tcMar>
              <w:top w:w="90" w:type="dxa"/>
              <w:bottom w:w="90" w:type="dxa"/>
              <w:left w:w="90" w:type="dxa"/>
              <w:right w:w="90" w:type="dxa"/>
            </w:tcMar>
            <w:shd w:fill="F6F8FA"/>
          </w:tcPr>
          <w:p>
            <w:pPr>
              <w:spacing w:after="0" w:line="257" w:lineRule="auto"/>
            </w:pPr>
            <w:r>
              <w:rPr>
                <w:sz w:val="18"/>
              </w:rPr>
              <w:t>Definition versions and approved scope</w:t>
            </w:r>
          </w:p>
        </w:tc>
        <w:tc>
          <w:tcPr>
            <w:tcW w:type="dxa" w:w="4320"/>
            <w:vAlign w:val="center"/>
            <w:tcMar>
              <w:top w:w="90" w:type="dxa"/>
              <w:bottom w:w="90" w:type="dxa"/>
              <w:left w:w="90" w:type="dxa"/>
              <w:right w:w="90" w:type="dxa"/>
            </w:tcMar>
            <w:shd w:fill="F6F8FA"/>
          </w:tcPr>
          <w:p>
            <w:pPr>
              <w:spacing w:after="0" w:line="257" w:lineRule="auto"/>
            </w:pPr>
            <w:r>
              <w:rPr>
                <w:sz w:val="18"/>
              </w:rPr>
              <w:t>Version event and optional fixed-data replay</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Evidence exporter</w:t>
            </w:r>
          </w:p>
        </w:tc>
        <w:tc>
          <w:tcPr>
            <w:tcW w:type="dxa" w:w="3384"/>
            <w:vAlign w:val="center"/>
            <w:tcMar>
              <w:top w:w="90" w:type="dxa"/>
              <w:bottom w:w="90" w:type="dxa"/>
              <w:left w:w="90" w:type="dxa"/>
              <w:right w:w="90" w:type="dxa"/>
            </w:tcMar>
            <w:shd w:fill="FFFFFF"/>
          </w:tcPr>
          <w:p>
            <w:pPr>
              <w:spacing w:after="0" w:line="257" w:lineRule="auto"/>
            </w:pPr>
            <w:r>
              <w:rPr>
                <w:sz w:val="18"/>
              </w:rPr>
              <w:t>Immutable completed or partial run</w:t>
            </w:r>
          </w:p>
        </w:tc>
        <w:tc>
          <w:tcPr>
            <w:tcW w:type="dxa" w:w="4320"/>
            <w:vAlign w:val="center"/>
            <w:tcMar>
              <w:top w:w="90" w:type="dxa"/>
              <w:bottom w:w="90" w:type="dxa"/>
              <w:left w:w="90" w:type="dxa"/>
              <w:right w:w="90" w:type="dxa"/>
            </w:tcMar>
            <w:shd w:fill="FFFFFF"/>
          </w:tcPr>
          <w:p>
            <w:pPr>
              <w:spacing w:after="0" w:line="257" w:lineRule="auto"/>
            </w:pPr>
            <w:r>
              <w:rPr>
                <w:sz w:val="18"/>
              </w:rPr>
              <w:t>Human-readable report and machine-readable bundle</w:t>
            </w:r>
          </w:p>
        </w:tc>
      </w:tr>
    </w:tbl>
    <w:p>
      <w:pPr>
        <w:spacing w:after="20"/>
      </w:pPr>
    </w:p>
    <w:p>
      <w:r>
        <w:t>Define these boundaries before creating UI pages. A single Python service package can own all modules initially; separating interfaces does not require separate microservices.</w:t>
      </w:r>
    </w:p>
    <w:p>
      <w:pPr>
        <w:pStyle w:val="Heading2"/>
      </w:pPr>
      <w:r>
        <w:t>Job behavior</w:t>
      </w:r>
    </w:p>
    <w:p>
      <w:r>
        <w:t>Lifecycle: queued, running, succeeded, partial, failed, canceled. A job stores started_at, completed_at, heartbeat_at, lease_expires_at, attempt and error_code. An expired worker lease can be reclaimed with a new attempt. Only the current lease owner can finalize that attempt. Results are written under attempt-specific temporary paths and committed atomically.</w:t>
      </w:r>
    </w:p>
    <w:p>
      <w:r>
        <w:t>An idempotency key on run creation prevents a browser retry from creating duplicate jobs. A unique key belongs to a project and the normalized request. Reusing it with a different request returns a conflict. Cancellation sets a requested flag; the supervisor terminates the runner and records the final state. Never mark a job succeeded merely because its process exited with code zero.</w:t>
      </w:r>
    </w:p>
    <w:p>
      <w:r>
        <w:t>A run can be partial when endpoint results exist but a bridge exceeds a limit or cannot be constructed. Endpoint execution failure makes the value comparison unavailable. Parsing and comparability errors should be resolved before queuing whenever possible.</w:t>
      </w:r>
    </w:p>
    <w:p>
      <w:pPr>
        <w:pStyle w:val="Heading2"/>
      </w:pPr>
      <w:r>
        <w:t>Reproducibility and caching</w:t>
      </w:r>
    </w:p>
    <w:p>
      <w:r>
        <w:t>The cache key includes both definition version hashes, the snapshot manifest hash, mapping version, context, IR policy version, engine version, decomposition method and configuration. A name or timestamp is insufficient. Changing any semantic input produces a new run identity.</w:t>
      </w:r>
    </w:p>
    <w:p>
      <w:r>
        <w:t>Reproducibility means the same numeric results and evidence under fixed inputs. Timings, generated timestamps and unordered source record order need not be byte-identical; sort exported evidence by stable key and separate volatile metadata. Preserve decimal formatting and code-version references in the report.</w:t>
      </w:r>
    </w:p>
    <w:p>
      <w:r>
        <w:t>Do not cache a failed or incomplete result as a full success. Cached results keep their original provenance. A new UI label or owner decision can reference an old run but cannot change the stored historical conclusion.</w:t>
      </w:r>
    </w:p>
    <w:p>
      <w:pPr>
        <w:pStyle w:val="Heading2"/>
      </w:pPr>
      <w:r>
        <w:t>Local and hosted deployment</w:t>
      </w:r>
    </w:p>
    <w:p>
      <w:r>
        <w:t>The recommended development environment is a laptop with approximately 16 GB RAM and Docker support, using WSL2 if building on Windows. This is a planning assumption, not a measured minimum. The web service, API and PostgreSQL can run in a local Compose setup; a documented local supervisor starts the restricted job containers. Bind development services to loopback by default.</w:t>
      </w:r>
    </w:p>
    <w:p>
      <w:r>
        <w:t>The first shareable demonstration can be a recording or a web interface using precomputed synthetic evidence. It does not need a public SQL-execution endpoint. A private pilot with uploads requires authentication, project authorization, isolated jobs, managed secrets, retention controls and backups. Add those when moving beyond local use, without pretending the local owner labels already provide them.</w:t>
      </w:r>
    </w:p>
    <w:p>
      <w:r>
        <w:t>Deployment is a separate decision from building the project. No deployment or external integration is required by this planning pack. A container-based backend needs an appropriate execution host; do not assume a static hosting platform can run the analytical worker.</w:t>
      </w:r>
    </w:p>
    <w:p>
      <w:pPr>
        <w:pStyle w:val="Heading2"/>
      </w:pPr>
      <w:r>
        <w:t>Configuration and operation</w:t>
      </w:r>
    </w:p>
    <w:p>
      <w:r>
        <w:t>Configuration includes database URL, artifact root, runner image digest, upload limit, query deadline, run deadline, worker concurrency, memory budget and log level. Keep secrets outside source control. Persist a redacted configuration fingerprint on each run.</w:t>
      </w:r>
    </w:p>
    <w:p>
      <w:r>
        <w:t>Provide health checks for the API and database, a worker heartbeat, a run queue count and an artifact integrity check. Log structured error codes, durations and row counts without raw query text or row contents by default. Maintain a developer runbook for a stuck job, failed ingestion, invalid snapshot and replay failure.</w:t>
      </w:r>
    </w:p>
    <w:p>
      <w:pPr>
        <w:pStyle w:val="Heading1"/>
      </w:pPr>
      <w:r>
        <w:t>6 Data model and API contracts</w:t>
      </w:r>
    </w:p>
    <w:p>
      <w:pPr>
        <w:pStyle w:val="Heading2"/>
      </w:pPr>
      <w:r>
        <w:t>Relational model</w:t>
      </w:r>
    </w:p>
    <w:p>
      <w:r>
        <w:t>Use UUID identifiers in the implementation; fixture labels in this pack are readable examples. All primary objects belong to a project even in the single-user MVP. Project scoping does not itself make the application a secure multitenant service.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4608"/>
        <w:gridCol w:w="3571"/>
      </w:tblGrid>
      <w:tr>
        <w:trPr>
          <w:cantSplit/>
          <w:tblHeader/>
        </w:trPr>
        <w:tc>
          <w:tcPr>
            <w:tcW w:type="dxa" w:w="2045"/>
            <w:vAlign w:val="center"/>
            <w:tcMar>
              <w:top w:w="90" w:type="dxa"/>
              <w:bottom w:w="90" w:type="dxa"/>
              <w:left w:w="90" w:type="dxa"/>
              <w:right w:w="90" w:type="dxa"/>
            </w:tcMar>
            <w:shd w:fill="DBE5ED"/>
          </w:tcPr>
          <w:p>
            <w:pPr>
              <w:spacing w:after="0" w:line="257" w:lineRule="auto"/>
            </w:pPr>
            <w:r>
              <w:rPr>
                <w:b/>
                <w:color w:val="000000"/>
                <w:sz w:val="18"/>
              </w:rPr>
              <w:t>Entity</w:t>
            </w:r>
          </w:p>
        </w:tc>
        <w:tc>
          <w:tcPr>
            <w:tcW w:type="dxa" w:w="4608"/>
            <w:vAlign w:val="center"/>
            <w:tcMar>
              <w:top w:w="90" w:type="dxa"/>
              <w:bottom w:w="90" w:type="dxa"/>
              <w:left w:w="90" w:type="dxa"/>
              <w:right w:w="90" w:type="dxa"/>
            </w:tcMar>
            <w:shd w:fill="DBE5ED"/>
          </w:tcPr>
          <w:p>
            <w:pPr>
              <w:spacing w:after="0" w:line="257" w:lineRule="auto"/>
            </w:pPr>
            <w:r>
              <w:rPr>
                <w:b/>
                <w:color w:val="000000"/>
                <w:sz w:val="18"/>
              </w:rPr>
              <w:t>Important fields</w:t>
            </w:r>
          </w:p>
        </w:tc>
        <w:tc>
          <w:tcPr>
            <w:tcW w:type="dxa" w:w="3571"/>
            <w:vAlign w:val="center"/>
            <w:tcMar>
              <w:top w:w="90" w:type="dxa"/>
              <w:bottom w:w="90" w:type="dxa"/>
              <w:left w:w="90" w:type="dxa"/>
              <w:right w:w="90" w:type="dxa"/>
            </w:tcMar>
            <w:shd w:fill="DBE5ED"/>
          </w:tcPr>
          <w:p>
            <w:pPr>
              <w:spacing w:after="0" w:line="257" w:lineRule="auto"/>
            </w:pPr>
            <w:r>
              <w:rPr>
                <w:b/>
                <w:color w:val="000000"/>
                <w:sz w:val="18"/>
              </w:rPr>
              <w:t>Key constraints</w:t>
            </w:r>
          </w:p>
        </w:tc>
      </w:tr>
      <w:tr>
        <w:trPr>
          <w:cantSplit/>
        </w:trPr>
        <w:tc>
          <w:tcPr>
            <w:tcW w:type="dxa" w:w="2045"/>
            <w:vAlign w:val="center"/>
            <w:tcMar>
              <w:top w:w="90" w:type="dxa"/>
              <w:bottom w:w="90" w:type="dxa"/>
              <w:left w:w="90" w:type="dxa"/>
              <w:right w:w="90" w:type="dxa"/>
            </w:tcMar>
            <w:shd w:fill="FFFFFF"/>
          </w:tcPr>
          <w:p>
            <w:pPr>
              <w:spacing w:after="0" w:line="257" w:lineRule="auto"/>
            </w:pPr>
            <w:r>
              <w:rPr>
                <w:sz w:val="18"/>
              </w:rPr>
              <w:t>project</w:t>
            </w:r>
          </w:p>
        </w:tc>
        <w:tc>
          <w:tcPr>
            <w:tcW w:type="dxa" w:w="4608"/>
            <w:vAlign w:val="center"/>
            <w:tcMar>
              <w:top w:w="90" w:type="dxa"/>
              <w:bottom w:w="90" w:type="dxa"/>
              <w:left w:w="90" w:type="dxa"/>
              <w:right w:w="90" w:type="dxa"/>
            </w:tcMar>
            <w:shd w:fill="FFFFFF"/>
          </w:tcPr>
          <w:p>
            <w:pPr>
              <w:spacing w:after="0" w:line="257" w:lineRule="auto"/>
            </w:pPr>
            <w:r>
              <w:rPr>
                <w:sz w:val="18"/>
              </w:rPr>
              <w:t>id, name, timezone, settings_​version, created_​at</w:t>
            </w:r>
          </w:p>
        </w:tc>
        <w:tc>
          <w:tcPr>
            <w:tcW w:type="dxa" w:w="3571"/>
            <w:vAlign w:val="center"/>
            <w:tcMar>
              <w:top w:w="90" w:type="dxa"/>
              <w:bottom w:w="90" w:type="dxa"/>
              <w:left w:w="90" w:type="dxa"/>
              <w:right w:w="90" w:type="dxa"/>
            </w:tcMar>
            <w:shd w:fill="FFFFFF"/>
          </w:tcPr>
          <w:p>
            <w:pPr>
              <w:spacing w:after="0" w:line="257" w:lineRule="auto"/>
            </w:pPr>
            <w:r>
              <w:rPr>
                <w:sz w:val="18"/>
              </w:rPr>
              <w:t>Owns every import, run and decision</w:t>
            </w:r>
          </w:p>
        </w:tc>
      </w:tr>
      <w:tr>
        <w:trPr>
          <w:cantSplit/>
        </w:trPr>
        <w:tc>
          <w:tcPr>
            <w:tcW w:type="dxa" w:w="2045"/>
            <w:vAlign w:val="center"/>
            <w:tcMar>
              <w:top w:w="90" w:type="dxa"/>
              <w:bottom w:w="90" w:type="dxa"/>
              <w:left w:w="90" w:type="dxa"/>
              <w:right w:w="90" w:type="dxa"/>
            </w:tcMar>
            <w:shd w:fill="F6F8FA"/>
          </w:tcPr>
          <w:p>
            <w:pPr>
              <w:spacing w:after="0" w:line="257" w:lineRule="auto"/>
            </w:pPr>
            <w:r>
              <w:rPr>
                <w:sz w:val="18"/>
              </w:rPr>
              <w:t>source_​asset</w:t>
            </w:r>
          </w:p>
        </w:tc>
        <w:tc>
          <w:tcPr>
            <w:tcW w:type="dxa" w:w="4608"/>
            <w:vAlign w:val="center"/>
            <w:tcMar>
              <w:top w:w="90" w:type="dxa"/>
              <w:bottom w:w="90" w:type="dxa"/>
              <w:left w:w="90" w:type="dxa"/>
              <w:right w:w="90" w:type="dxa"/>
            </w:tcMar>
            <w:shd w:fill="F6F8FA"/>
          </w:tcPr>
          <w:p>
            <w:pPr>
              <w:spacing w:after="0" w:line="257" w:lineRule="auto"/>
            </w:pPr>
            <w:r>
              <w:rPr>
                <w:sz w:val="18"/>
              </w:rPr>
              <w:t>id, project_​id, kind, label, locator, content_​hash, imported_​at</w:t>
            </w:r>
          </w:p>
        </w:tc>
        <w:tc>
          <w:tcPr>
            <w:tcW w:type="dxa" w:w="3571"/>
            <w:vAlign w:val="center"/>
            <w:tcMar>
              <w:top w:w="90" w:type="dxa"/>
              <w:bottom w:w="90" w:type="dxa"/>
              <w:left w:w="90" w:type="dxa"/>
              <w:right w:w="90" w:type="dxa"/>
            </w:tcMar>
            <w:shd w:fill="F6F8FA"/>
          </w:tcPr>
          <w:p>
            <w:pPr>
              <w:spacing w:after="0" w:line="257" w:lineRule="auto"/>
            </w:pPr>
            <w:r>
              <w:rPr>
                <w:sz w:val="18"/>
              </w:rPr>
              <w:t>Locator is display metadata, not an executable path</w:t>
            </w:r>
          </w:p>
        </w:tc>
      </w:tr>
      <w:tr>
        <w:trPr>
          <w:cantSplit/>
        </w:trPr>
        <w:tc>
          <w:tcPr>
            <w:tcW w:type="dxa" w:w="2045"/>
            <w:vAlign w:val="center"/>
            <w:tcMar>
              <w:top w:w="90" w:type="dxa"/>
              <w:bottom w:w="90" w:type="dxa"/>
              <w:left w:w="90" w:type="dxa"/>
              <w:right w:w="90" w:type="dxa"/>
            </w:tcMar>
            <w:shd w:fill="FFFFFF"/>
          </w:tcPr>
          <w:p>
            <w:pPr>
              <w:spacing w:after="0" w:line="257" w:lineRule="auto"/>
            </w:pPr>
            <w:r>
              <w:rPr>
                <w:sz w:val="18"/>
              </w:rPr>
              <w:t>dataset_​snapshot</w:t>
            </w:r>
          </w:p>
        </w:tc>
        <w:tc>
          <w:tcPr>
            <w:tcW w:type="dxa" w:w="4608"/>
            <w:vAlign w:val="center"/>
            <w:tcMar>
              <w:top w:w="90" w:type="dxa"/>
              <w:bottom w:w="90" w:type="dxa"/>
              <w:left w:w="90" w:type="dxa"/>
              <w:right w:w="90" w:type="dxa"/>
            </w:tcMar>
            <w:shd w:fill="FFFFFF"/>
          </w:tcPr>
          <w:p>
            <w:pPr>
              <w:spacing w:after="0" w:line="257" w:lineRule="auto"/>
            </w:pPr>
            <w:r>
              <w:rPr>
                <w:sz w:val="18"/>
              </w:rPr>
              <w:t>id, project_​id, manifest_​hash, schema_​json, key_​columns, cutoff_​at, artifact_​ref, status</w:t>
            </w:r>
          </w:p>
        </w:tc>
        <w:tc>
          <w:tcPr>
            <w:tcW w:type="dxa" w:w="3571"/>
            <w:vAlign w:val="center"/>
            <w:tcMar>
              <w:top w:w="90" w:type="dxa"/>
              <w:bottom w:w="90" w:type="dxa"/>
              <w:left w:w="90" w:type="dxa"/>
              <w:right w:w="90" w:type="dxa"/>
            </w:tcMar>
            <w:shd w:fill="FFFFFF"/>
          </w:tcPr>
          <w:p>
            <w:pPr>
              <w:spacing w:after="0" w:line="257" w:lineRule="auto"/>
            </w:pPr>
            <w:r>
              <w:rPr>
                <w:sz w:val="18"/>
              </w:rPr>
              <w:t>Immutable after validation; unique manifest identity</w:t>
            </w:r>
          </w:p>
        </w:tc>
      </w:tr>
      <w:tr>
        <w:trPr>
          <w:cantSplit/>
        </w:trPr>
        <w:tc>
          <w:tcPr>
            <w:tcW w:type="dxa" w:w="2045"/>
            <w:vAlign w:val="center"/>
            <w:tcMar>
              <w:top w:w="90" w:type="dxa"/>
              <w:bottom w:w="90" w:type="dxa"/>
              <w:left w:w="90" w:type="dxa"/>
              <w:right w:w="90" w:type="dxa"/>
            </w:tcMar>
            <w:shd w:fill="F6F8FA"/>
          </w:tcPr>
          <w:p>
            <w:pPr>
              <w:spacing w:after="0" w:line="257" w:lineRule="auto"/>
            </w:pPr>
            <w:r>
              <w:rPr>
                <w:sz w:val="18"/>
              </w:rPr>
              <w:t>metric_​family</w:t>
            </w:r>
          </w:p>
        </w:tc>
        <w:tc>
          <w:tcPr>
            <w:tcW w:type="dxa" w:w="4608"/>
            <w:vAlign w:val="center"/>
            <w:tcMar>
              <w:top w:w="90" w:type="dxa"/>
              <w:bottom w:w="90" w:type="dxa"/>
              <w:left w:w="90" w:type="dxa"/>
              <w:right w:w="90" w:type="dxa"/>
            </w:tcMar>
            <w:shd w:fill="F6F8FA"/>
          </w:tcPr>
          <w:p>
            <w:pPr>
              <w:spacing w:after="0" w:line="257" w:lineRule="auto"/>
            </w:pPr>
            <w:r>
              <w:rPr>
                <w:sz w:val="18"/>
              </w:rPr>
              <w:t>id, project_​id, name, purpose, owner_​label</w:t>
            </w:r>
          </w:p>
        </w:tc>
        <w:tc>
          <w:tcPr>
            <w:tcW w:type="dxa" w:w="3571"/>
            <w:vAlign w:val="center"/>
            <w:tcMar>
              <w:top w:w="90" w:type="dxa"/>
              <w:bottom w:w="90" w:type="dxa"/>
              <w:left w:w="90" w:type="dxa"/>
              <w:right w:w="90" w:type="dxa"/>
            </w:tcMar>
            <w:shd w:fill="F6F8FA"/>
          </w:tcPr>
          <w:p>
            <w:pPr>
              <w:spacing w:after="0" w:line="257" w:lineRule="auto"/>
            </w:pPr>
            <w:r>
              <w:rPr>
                <w:sz w:val="18"/>
              </w:rPr>
              <w:t>Family membership is reviewed, not solely inferred</w:t>
            </w:r>
          </w:p>
        </w:tc>
      </w:tr>
      <w:tr>
        <w:trPr>
          <w:cantSplit/>
        </w:trPr>
        <w:tc>
          <w:tcPr>
            <w:tcW w:type="dxa" w:w="2045"/>
            <w:vAlign w:val="center"/>
            <w:tcMar>
              <w:top w:w="90" w:type="dxa"/>
              <w:bottom w:w="90" w:type="dxa"/>
              <w:left w:w="90" w:type="dxa"/>
              <w:right w:w="90" w:type="dxa"/>
            </w:tcMar>
            <w:shd w:fill="FFFFFF"/>
          </w:tcPr>
          <w:p>
            <w:pPr>
              <w:spacing w:after="0" w:line="257" w:lineRule="auto"/>
            </w:pPr>
            <w:r>
              <w:rPr>
                <w:sz w:val="18"/>
              </w:rPr>
              <w:t>metric_​definition</w:t>
            </w:r>
          </w:p>
        </w:tc>
        <w:tc>
          <w:tcPr>
            <w:tcW w:type="dxa" w:w="4608"/>
            <w:vAlign w:val="center"/>
            <w:tcMar>
              <w:top w:w="90" w:type="dxa"/>
              <w:bottom w:w="90" w:type="dxa"/>
              <w:left w:w="90" w:type="dxa"/>
              <w:right w:w="90" w:type="dxa"/>
            </w:tcMar>
            <w:shd w:fill="FFFFFF"/>
          </w:tcPr>
          <w:p>
            <w:pPr>
              <w:spacing w:after="0" w:line="257" w:lineRule="auto"/>
            </w:pPr>
            <w:r>
              <w:rPr>
                <w:sz w:val="18"/>
              </w:rPr>
              <w:t>id, project_​id, family_​id nullable, source_​asset_​id, stable_​source_​key</w:t>
            </w:r>
          </w:p>
        </w:tc>
        <w:tc>
          <w:tcPr>
            <w:tcW w:type="dxa" w:w="3571"/>
            <w:vAlign w:val="center"/>
            <w:tcMar>
              <w:top w:w="90" w:type="dxa"/>
              <w:bottom w:w="90" w:type="dxa"/>
              <w:left w:w="90" w:type="dxa"/>
              <w:right w:w="90" w:type="dxa"/>
            </w:tcMar>
            <w:shd w:fill="FFFFFF"/>
          </w:tcPr>
          <w:p>
            <w:pPr>
              <w:spacing w:after="0" w:line="257" w:lineRule="auto"/>
            </w:pPr>
            <w:r>
              <w:rPr>
                <w:sz w:val="18"/>
              </w:rPr>
              <w:t>Stable implementation identity across versions</w:t>
            </w:r>
          </w:p>
        </w:tc>
      </w:tr>
      <w:tr>
        <w:trPr>
          <w:cantSplit/>
        </w:trPr>
        <w:tc>
          <w:tcPr>
            <w:tcW w:type="dxa" w:w="2045"/>
            <w:vAlign w:val="center"/>
            <w:tcMar>
              <w:top w:w="90" w:type="dxa"/>
              <w:bottom w:w="90" w:type="dxa"/>
              <w:left w:w="90" w:type="dxa"/>
              <w:right w:w="90" w:type="dxa"/>
            </w:tcMar>
            <w:shd w:fill="F6F8FA"/>
          </w:tcPr>
          <w:p>
            <w:pPr>
              <w:spacing w:after="0" w:line="257" w:lineRule="auto"/>
            </w:pPr>
            <w:r>
              <w:rPr>
                <w:sz w:val="18"/>
              </w:rPr>
              <w:t>definition_​version</w:t>
            </w:r>
          </w:p>
        </w:tc>
        <w:tc>
          <w:tcPr>
            <w:tcW w:type="dxa" w:w="4608"/>
            <w:vAlign w:val="center"/>
            <w:tcMar>
              <w:top w:w="90" w:type="dxa"/>
              <w:bottom w:w="90" w:type="dxa"/>
              <w:left w:w="90" w:type="dxa"/>
              <w:right w:w="90" w:type="dxa"/>
            </w:tcMar>
            <w:shd w:fill="F6F8FA"/>
          </w:tcPr>
          <w:p>
            <w:pPr>
              <w:spacing w:after="0" w:line="257" w:lineRule="auto"/>
            </w:pPr>
            <w:r>
              <w:rPr>
                <w:sz w:val="18"/>
              </w:rPr>
              <w:t>id, definition_​id, version_​number, raw_​sql, dialect, raw_​hash, ir_​json, ir_​hash, support_​state, observed_​at</w:t>
            </w:r>
          </w:p>
        </w:tc>
        <w:tc>
          <w:tcPr>
            <w:tcW w:type="dxa" w:w="3571"/>
            <w:vAlign w:val="center"/>
            <w:tcMar>
              <w:top w:w="90" w:type="dxa"/>
              <w:bottom w:w="90" w:type="dxa"/>
              <w:left w:w="90" w:type="dxa"/>
              <w:right w:w="90" w:type="dxa"/>
            </w:tcMar>
            <w:shd w:fill="F6F8FA"/>
          </w:tcPr>
          <w:p>
            <w:pPr>
              <w:spacing w:after="0" w:line="257" w:lineRule="auto"/>
            </w:pPr>
            <w:r>
              <w:rPr>
                <w:sz w:val="18"/>
              </w:rPr>
              <w:t>Unique definition and version number; immutable</w:t>
            </w:r>
          </w:p>
        </w:tc>
      </w:tr>
      <w:tr>
        <w:trPr>
          <w:cantSplit/>
        </w:trPr>
        <w:tc>
          <w:tcPr>
            <w:tcW w:type="dxa" w:w="2045"/>
            <w:vAlign w:val="center"/>
            <w:tcMar>
              <w:top w:w="90" w:type="dxa"/>
              <w:bottom w:w="90" w:type="dxa"/>
              <w:left w:w="90" w:type="dxa"/>
              <w:right w:w="90" w:type="dxa"/>
            </w:tcMar>
            <w:shd w:fill="FFFFFF"/>
          </w:tcPr>
          <w:p>
            <w:pPr>
              <w:spacing w:after="0" w:line="257" w:lineRule="auto"/>
            </w:pPr>
            <w:r>
              <w:rPr>
                <w:sz w:val="18"/>
              </w:rPr>
              <w:t>pair_​review</w:t>
            </w:r>
          </w:p>
        </w:tc>
        <w:tc>
          <w:tcPr>
            <w:tcW w:type="dxa" w:w="4608"/>
            <w:vAlign w:val="center"/>
            <w:tcMar>
              <w:top w:w="90" w:type="dxa"/>
              <w:bottom w:w="90" w:type="dxa"/>
              <w:left w:w="90" w:type="dxa"/>
              <w:right w:w="90" w:type="dxa"/>
            </w:tcMar>
            <w:shd w:fill="FFFFFF"/>
          </w:tcPr>
          <w:p>
            <w:pPr>
              <w:spacing w:after="0" w:line="257" w:lineRule="auto"/>
            </w:pPr>
            <w:r>
              <w:rPr>
                <w:sz w:val="18"/>
              </w:rPr>
              <w:t>id, left_​definition_​id, right_​definition_​id, relation, reason, actor_​label, created_​at</w:t>
            </w:r>
          </w:p>
        </w:tc>
        <w:tc>
          <w:tcPr>
            <w:tcW w:type="dxa" w:w="3571"/>
            <w:vAlign w:val="center"/>
            <w:tcMar>
              <w:top w:w="90" w:type="dxa"/>
              <w:bottom w:w="90" w:type="dxa"/>
              <w:left w:w="90" w:type="dxa"/>
              <w:right w:w="90" w:type="dxa"/>
            </w:tcMar>
            <w:shd w:fill="FFFFFF"/>
          </w:tcPr>
          <w:p>
            <w:pPr>
              <w:spacing w:after="0" w:line="257" w:lineRule="auto"/>
            </w:pPr>
            <w:r>
              <w:rPr>
                <w:sz w:val="18"/>
              </w:rPr>
              <w:t>Canonical pair ordering; decisions append or supersede</w:t>
            </w:r>
          </w:p>
        </w:tc>
      </w:tr>
      <w:tr>
        <w:trPr>
          <w:cantSplit/>
        </w:trPr>
        <w:tc>
          <w:tcPr>
            <w:tcW w:type="dxa" w:w="2045"/>
            <w:vAlign w:val="center"/>
            <w:tcMar>
              <w:top w:w="90" w:type="dxa"/>
              <w:bottom w:w="90" w:type="dxa"/>
              <w:left w:w="90" w:type="dxa"/>
              <w:right w:w="90" w:type="dxa"/>
            </w:tcMar>
            <w:shd w:fill="F6F8FA"/>
          </w:tcPr>
          <w:p>
            <w:pPr>
              <w:spacing w:after="0" w:line="257" w:lineRule="auto"/>
            </w:pPr>
            <w:r>
              <w:rPr>
                <w:sz w:val="18"/>
              </w:rPr>
              <w:t>comparison_​run</w:t>
            </w:r>
          </w:p>
        </w:tc>
        <w:tc>
          <w:tcPr>
            <w:tcW w:type="dxa" w:w="4608"/>
            <w:vAlign w:val="center"/>
            <w:tcMar>
              <w:top w:w="90" w:type="dxa"/>
              <w:bottom w:w="90" w:type="dxa"/>
              <w:left w:w="90" w:type="dxa"/>
              <w:right w:w="90" w:type="dxa"/>
            </w:tcMar>
            <w:shd w:fill="F6F8FA"/>
          </w:tcPr>
          <w:p>
            <w:pPr>
              <w:spacing w:after="0" w:line="257" w:lineRule="auto"/>
            </w:pPr>
            <w:r>
              <w:rPr>
                <w:sz w:val="18"/>
              </w:rPr>
              <w:t>id, project_​id, version_​a, version_​b, snapshot_​id, context_​json, method, state, idempotency_​key, lease fields</w:t>
            </w:r>
          </w:p>
        </w:tc>
        <w:tc>
          <w:tcPr>
            <w:tcW w:type="dxa" w:w="3571"/>
            <w:vAlign w:val="center"/>
            <w:tcMar>
              <w:top w:w="90" w:type="dxa"/>
              <w:bottom w:w="90" w:type="dxa"/>
              <w:left w:w="90" w:type="dxa"/>
              <w:right w:w="90" w:type="dxa"/>
            </w:tcMar>
            <w:shd w:fill="F6F8FA"/>
          </w:tcPr>
          <w:p>
            <w:pPr>
              <w:spacing w:after="0" w:line="257" w:lineRule="auto"/>
            </w:pPr>
            <w:r>
              <w:rPr>
                <w:sz w:val="18"/>
              </w:rPr>
              <w:t>Inputs immutable after queueing; unique idempotency key per project</w:t>
            </w:r>
          </w:p>
        </w:tc>
      </w:tr>
      <w:tr>
        <w:trPr>
          <w:cantSplit/>
        </w:trPr>
        <w:tc>
          <w:tcPr>
            <w:tcW w:type="dxa" w:w="2045"/>
            <w:vAlign w:val="center"/>
            <w:tcMar>
              <w:top w:w="90" w:type="dxa"/>
              <w:bottom w:w="90" w:type="dxa"/>
              <w:left w:w="90" w:type="dxa"/>
              <w:right w:w="90" w:type="dxa"/>
            </w:tcMar>
            <w:shd w:fill="FFFFFF"/>
          </w:tcPr>
          <w:p>
            <w:pPr>
              <w:spacing w:after="0" w:line="257" w:lineRule="auto"/>
            </w:pPr>
            <w:r>
              <w:rPr>
                <w:sz w:val="18"/>
              </w:rPr>
              <w:t>run_​result</w:t>
            </w:r>
          </w:p>
        </w:tc>
        <w:tc>
          <w:tcPr>
            <w:tcW w:type="dxa" w:w="4608"/>
            <w:vAlign w:val="center"/>
            <w:tcMar>
              <w:top w:w="90" w:type="dxa"/>
              <w:bottom w:w="90" w:type="dxa"/>
              <w:left w:w="90" w:type="dxa"/>
              <w:right w:w="90" w:type="dxa"/>
            </w:tcMar>
            <w:shd w:fill="FFFFFF"/>
          </w:tcPr>
          <w:p>
            <w:pPr>
              <w:spacing w:after="0" w:line="257" w:lineRule="auto"/>
            </w:pPr>
            <w:r>
              <w:rPr>
                <w:sz w:val="18"/>
              </w:rPr>
              <w:t>id, run_​id, endpoint_​values, delta, status_​fields, residual, engine_​versions, evidence_​ref</w:t>
            </w:r>
          </w:p>
        </w:tc>
        <w:tc>
          <w:tcPr>
            <w:tcW w:type="dxa" w:w="3571"/>
            <w:vAlign w:val="center"/>
            <w:tcMar>
              <w:top w:w="90" w:type="dxa"/>
              <w:bottom w:w="90" w:type="dxa"/>
              <w:left w:w="90" w:type="dxa"/>
              <w:right w:w="90" w:type="dxa"/>
            </w:tcMar>
            <w:shd w:fill="FFFFFF"/>
          </w:tcPr>
          <w:p>
            <w:pPr>
              <w:spacing w:after="0" w:line="257" w:lineRule="auto"/>
            </w:pPr>
            <w:r>
              <w:rPr>
                <w:sz w:val="18"/>
              </w:rPr>
              <w:t>One accepted terminal result per attempt; decimal values stored exactly</w:t>
            </w:r>
          </w:p>
        </w:tc>
      </w:tr>
      <w:tr>
        <w:trPr>
          <w:cantSplit/>
        </w:trPr>
        <w:tc>
          <w:tcPr>
            <w:tcW w:type="dxa" w:w="2045"/>
            <w:vAlign w:val="center"/>
            <w:tcMar>
              <w:top w:w="90" w:type="dxa"/>
              <w:bottom w:w="90" w:type="dxa"/>
              <w:left w:w="90" w:type="dxa"/>
              <w:right w:w="90" w:type="dxa"/>
            </w:tcMar>
            <w:shd w:fill="F6F8FA"/>
          </w:tcPr>
          <w:p>
            <w:pPr>
              <w:spacing w:after="0" w:line="257" w:lineRule="auto"/>
            </w:pPr>
            <w:r>
              <w:rPr>
                <w:sz w:val="18"/>
              </w:rPr>
              <w:t>bridge_​step</w:t>
            </w:r>
          </w:p>
        </w:tc>
        <w:tc>
          <w:tcPr>
            <w:tcW w:type="dxa" w:w="4608"/>
            <w:vAlign w:val="center"/>
            <w:tcMar>
              <w:top w:w="90" w:type="dxa"/>
              <w:bottom w:w="90" w:type="dxa"/>
              <w:left w:w="90" w:type="dxa"/>
              <w:right w:w="90" w:type="dxa"/>
            </w:tcMar>
            <w:shd w:fill="F6F8FA"/>
          </w:tcPr>
          <w:p>
            <w:pPr>
              <w:spacing w:after="0" w:line="257" w:lineRule="auto"/>
            </w:pPr>
            <w:r>
              <w:rPr>
                <w:sz w:val="18"/>
              </w:rPr>
              <w:t>id, run_​result_​id, position, rule_​group, ir_​hash, previous_​value, next_​value, contribution</w:t>
            </w:r>
          </w:p>
        </w:tc>
        <w:tc>
          <w:tcPr>
            <w:tcW w:type="dxa" w:w="3571"/>
            <w:vAlign w:val="center"/>
            <w:tcMar>
              <w:top w:w="90" w:type="dxa"/>
              <w:bottom w:w="90" w:type="dxa"/>
              <w:left w:w="90" w:type="dxa"/>
              <w:right w:w="90" w:type="dxa"/>
            </w:tcMar>
            <w:shd w:fill="F6F8FA"/>
          </w:tcPr>
          <w:p>
            <w:pPr>
              <w:spacing w:after="0" w:line="257" w:lineRule="auto"/>
            </w:pPr>
            <w:r>
              <w:rPr>
                <w:sz w:val="18"/>
              </w:rPr>
              <w:t>Unique result and position; ordered contributions</w:t>
            </w:r>
          </w:p>
        </w:tc>
      </w:tr>
      <w:tr>
        <w:trPr>
          <w:cantSplit/>
        </w:trPr>
        <w:tc>
          <w:tcPr>
            <w:tcW w:type="dxa" w:w="2045"/>
            <w:vAlign w:val="center"/>
            <w:tcMar>
              <w:top w:w="90" w:type="dxa"/>
              <w:bottom w:w="90" w:type="dxa"/>
              <w:left w:w="90" w:type="dxa"/>
              <w:right w:w="90" w:type="dxa"/>
            </w:tcMar>
            <w:shd w:fill="FFFFFF"/>
          </w:tcPr>
          <w:p>
            <w:pPr>
              <w:spacing w:after="0" w:line="257" w:lineRule="auto"/>
            </w:pPr>
            <w:r>
              <w:rPr>
                <w:sz w:val="18"/>
              </w:rPr>
              <w:t>baseline_​approval</w:t>
            </w:r>
          </w:p>
        </w:tc>
        <w:tc>
          <w:tcPr>
            <w:tcW w:type="dxa" w:w="4608"/>
            <w:vAlign w:val="center"/>
            <w:tcMar>
              <w:top w:w="90" w:type="dxa"/>
              <w:bottom w:w="90" w:type="dxa"/>
              <w:left w:w="90" w:type="dxa"/>
              <w:right w:w="90" w:type="dxa"/>
            </w:tcMar>
            <w:shd w:fill="FFFFFF"/>
          </w:tcPr>
          <w:p>
            <w:pPr>
              <w:spacing w:after="0" w:line="257" w:lineRule="auto"/>
            </w:pPr>
            <w:r>
              <w:rPr>
                <w:sz w:val="18"/>
              </w:rPr>
              <w:t>id, family_​id, version_​id, scope_​json, effective_​from, reason, actor_​label, supersedes_​id</w:t>
            </w:r>
          </w:p>
        </w:tc>
        <w:tc>
          <w:tcPr>
            <w:tcW w:type="dxa" w:w="3571"/>
            <w:vAlign w:val="center"/>
            <w:tcMar>
              <w:top w:w="90" w:type="dxa"/>
              <w:bottom w:w="90" w:type="dxa"/>
              <w:left w:w="90" w:type="dxa"/>
              <w:right w:w="90" w:type="dxa"/>
            </w:tcMar>
            <w:shd w:fill="FFFFFF"/>
          </w:tcPr>
          <w:p>
            <w:pPr>
              <w:spacing w:after="0" w:line="257" w:lineRule="auto"/>
            </w:pPr>
            <w:r>
              <w:rPr>
                <w:sz w:val="18"/>
              </w:rPr>
              <w:t>No conflicting active approval for the same declared scope</w:t>
            </w:r>
          </w:p>
        </w:tc>
      </w:tr>
      <w:tr>
        <w:trPr>
          <w:cantSplit/>
        </w:trPr>
        <w:tc>
          <w:tcPr>
            <w:tcW w:type="dxa" w:w="2045"/>
            <w:vAlign w:val="center"/>
            <w:tcMar>
              <w:top w:w="90" w:type="dxa"/>
              <w:bottom w:w="90" w:type="dxa"/>
              <w:left w:w="90" w:type="dxa"/>
              <w:right w:w="90" w:type="dxa"/>
            </w:tcMar>
            <w:shd w:fill="F6F8FA"/>
          </w:tcPr>
          <w:p>
            <w:pPr>
              <w:spacing w:after="0" w:line="257" w:lineRule="auto"/>
            </w:pPr>
            <w:r>
              <w:rPr>
                <w:sz w:val="18"/>
              </w:rPr>
              <w:t>dependency_​edge</w:t>
            </w:r>
          </w:p>
        </w:tc>
        <w:tc>
          <w:tcPr>
            <w:tcW w:type="dxa" w:w="4608"/>
            <w:vAlign w:val="center"/>
            <w:tcMar>
              <w:top w:w="90" w:type="dxa"/>
              <w:bottom w:w="90" w:type="dxa"/>
              <w:left w:w="90" w:type="dxa"/>
              <w:right w:w="90" w:type="dxa"/>
            </w:tcMar>
            <w:shd w:fill="F6F8FA"/>
          </w:tcPr>
          <w:p>
            <w:pPr>
              <w:spacing w:after="0" w:line="257" w:lineRule="auto"/>
            </w:pPr>
            <w:r>
              <w:rPr>
                <w:sz w:val="18"/>
              </w:rPr>
              <w:t>id, project_​id, upstream_​asset, downstream_​asset, origin, observed_​at, confidence_​label</w:t>
            </w:r>
          </w:p>
        </w:tc>
        <w:tc>
          <w:tcPr>
            <w:tcW w:type="dxa" w:w="3571"/>
            <w:vAlign w:val="center"/>
            <w:tcMar>
              <w:top w:w="90" w:type="dxa"/>
              <w:bottom w:w="90" w:type="dxa"/>
              <w:left w:w="90" w:type="dxa"/>
              <w:right w:w="90" w:type="dxa"/>
            </w:tcMar>
            <w:shd w:fill="F6F8FA"/>
          </w:tcPr>
          <w:p>
            <w:pPr>
              <w:spacing w:after="0" w:line="257" w:lineRule="auto"/>
            </w:pPr>
            <w:r>
              <w:rPr>
                <w:sz w:val="18"/>
              </w:rPr>
              <w:t>Known, declared or inferred origin retained</w:t>
            </w:r>
          </w:p>
        </w:tc>
      </w:tr>
      <w:tr>
        <w:trPr>
          <w:cantSplit/>
        </w:trPr>
        <w:tc>
          <w:tcPr>
            <w:tcW w:type="dxa" w:w="2045"/>
            <w:vAlign w:val="center"/>
            <w:tcMar>
              <w:top w:w="90" w:type="dxa"/>
              <w:bottom w:w="90" w:type="dxa"/>
              <w:left w:w="90" w:type="dxa"/>
              <w:right w:w="90" w:type="dxa"/>
            </w:tcMar>
            <w:shd w:fill="FFFFFF"/>
          </w:tcPr>
          <w:p>
            <w:pPr>
              <w:spacing w:after="0" w:line="257" w:lineRule="auto"/>
            </w:pPr>
            <w:r>
              <w:rPr>
                <w:sz w:val="18"/>
              </w:rPr>
              <w:t>drift_​event</w:t>
            </w:r>
          </w:p>
        </w:tc>
        <w:tc>
          <w:tcPr>
            <w:tcW w:type="dxa" w:w="4608"/>
            <w:vAlign w:val="center"/>
            <w:tcMar>
              <w:top w:w="90" w:type="dxa"/>
              <w:bottom w:w="90" w:type="dxa"/>
              <w:left w:w="90" w:type="dxa"/>
              <w:right w:w="90" w:type="dxa"/>
            </w:tcMar>
            <w:shd w:fill="FFFFFF"/>
          </w:tcPr>
          <w:p>
            <w:pPr>
              <w:spacing w:after="0" w:line="257" w:lineRule="auto"/>
            </w:pPr>
            <w:r>
              <w:rPr>
                <w:sz w:val="18"/>
              </w:rPr>
              <w:t>id, definition_​id, old_​version, new_​version, change_​kind, approval_​state, replay_​run_​id</w:t>
            </w:r>
          </w:p>
        </w:tc>
        <w:tc>
          <w:tcPr>
            <w:tcW w:type="dxa" w:w="3571"/>
            <w:vAlign w:val="center"/>
            <w:tcMar>
              <w:top w:w="90" w:type="dxa"/>
              <w:bottom w:w="90" w:type="dxa"/>
              <w:left w:w="90" w:type="dxa"/>
              <w:right w:w="90" w:type="dxa"/>
            </w:tcMar>
            <w:shd w:fill="FFFFFF"/>
          </w:tcPr>
          <w:p>
            <w:pPr>
              <w:spacing w:after="0" w:line="257" w:lineRule="auto"/>
            </w:pPr>
            <w:r>
              <w:rPr>
                <w:sz w:val="18"/>
              </w:rPr>
              <w:t>Old and new versions fixed</w:t>
            </w:r>
          </w:p>
        </w:tc>
      </w:tr>
      <w:tr>
        <w:trPr>
          <w:cantSplit/>
        </w:trPr>
        <w:tc>
          <w:tcPr>
            <w:tcW w:type="dxa" w:w="2045"/>
            <w:vAlign w:val="center"/>
            <w:tcMar>
              <w:top w:w="90" w:type="dxa"/>
              <w:bottom w:w="90" w:type="dxa"/>
              <w:left w:w="90" w:type="dxa"/>
              <w:right w:w="90" w:type="dxa"/>
            </w:tcMar>
            <w:shd w:fill="F6F8FA"/>
          </w:tcPr>
          <w:p>
            <w:pPr>
              <w:spacing w:after="0" w:line="257" w:lineRule="auto"/>
            </w:pPr>
            <w:r>
              <w:rPr>
                <w:sz w:val="18"/>
              </w:rPr>
              <w:t>audit_​event</w:t>
            </w:r>
          </w:p>
        </w:tc>
        <w:tc>
          <w:tcPr>
            <w:tcW w:type="dxa" w:w="4608"/>
            <w:vAlign w:val="center"/>
            <w:tcMar>
              <w:top w:w="90" w:type="dxa"/>
              <w:bottom w:w="90" w:type="dxa"/>
              <w:left w:w="90" w:type="dxa"/>
              <w:right w:w="90" w:type="dxa"/>
            </w:tcMar>
            <w:shd w:fill="F6F8FA"/>
          </w:tcPr>
          <w:p>
            <w:pPr>
              <w:spacing w:after="0" w:line="257" w:lineRule="auto"/>
            </w:pPr>
            <w:r>
              <w:rPr>
                <w:sz w:val="18"/>
              </w:rPr>
              <w:t>id, project_​id, event_​type, actor_​label, target_​type, target_​id, before_​ref, after_​ref, created_​at</w:t>
            </w:r>
          </w:p>
        </w:tc>
        <w:tc>
          <w:tcPr>
            <w:tcW w:type="dxa" w:w="3571"/>
            <w:vAlign w:val="center"/>
            <w:tcMar>
              <w:top w:w="90" w:type="dxa"/>
              <w:bottom w:w="90" w:type="dxa"/>
              <w:left w:w="90" w:type="dxa"/>
              <w:right w:w="90" w:type="dxa"/>
            </w:tcMar>
            <w:shd w:fill="F6F8FA"/>
          </w:tcPr>
          <w:p>
            <w:pPr>
              <w:spacing w:after="0" w:line="257" w:lineRule="auto"/>
            </w:pPr>
            <w:r>
              <w:rPr>
                <w:sz w:val="18"/>
              </w:rPr>
              <w:t>Append-only through the application interface</w:t>
            </w:r>
          </w:p>
        </w:tc>
      </w:tr>
    </w:tbl>
    <w:p>
      <w:pPr>
        <w:spacing w:after="20"/>
      </w:pPr>
    </w:p>
    <w:p>
      <w:r>
        <w:t>Use foreign keys and transactional state transitions. Large row evidence stays in a bounded Parquet or JSON artifact, with its hash and schema referenced from the database. A result should never rely on a mutable filesystem path without an integrity record.</w:t>
      </w:r>
    </w:p>
    <w:p>
      <w:pPr>
        <w:pStyle w:val="Heading2"/>
      </w:pPr>
      <w:r>
        <w:t>Versioning and retention</w:t>
      </w:r>
    </w:p>
    <w:p>
      <w:r>
        <w:t>Importing identical source bytes creates a new import event if useful but should not create a fake semantic version change. Importing a changed definition produces a new immutable version. A changed parser or normalization policy may generate a new derived analysis; do not overwrite the old IR used by completed runs.</w:t>
      </w:r>
    </w:p>
    <w:p>
      <w:r>
        <w:t>A baseline approval points at one immutable definition version. Editing that definition creates a new version and requires a new decision for the applicable scope. Approvals are historical records even if superseded. Reports list whether their baseline was approved at run time.</w:t>
      </w:r>
    </w:p>
    <w:p>
      <w:r>
        <w:t>Snapshot deletion should explicitly mark dependent runs as no longer replayable while preserving their recorded results and hashes, unless the user chooses to delete those results too. Do not silently leave a reproducibility badge after source evidence is removed.</w:t>
      </w:r>
    </w:p>
    <w:p>
      <w:pPr>
        <w:pStyle w:val="Heading2"/>
      </w:pPr>
      <w:r>
        <w:t>API conventions</w:t>
      </w:r>
    </w:p>
    <w:p>
      <w:r>
        <w:t xml:space="preserve">Proposed base path is </w:t>
      </w:r>
      <w:r>
        <w:rPr>
          <w:rFonts w:ascii="DejaVu Sans Mono" w:hAnsi="DejaVu Sans Mono"/>
          <w:sz w:val="18"/>
        </w:rPr>
        <w:t>/api/v1</w:t>
      </w:r>
      <w:r>
        <w:t>. The API uses JSON except file upload and downloads. Monetary values are decimal strings. Dates are ISO 8601; timestamps include offsets. List endpoints use cursor pagination. Errors include a stable code, readable message, affected field and correlation ID. Never expose local paths, database secrets or raw stack traces in the browser.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02"/>
        <w:gridCol w:w="2592"/>
        <w:gridCol w:w="3830"/>
      </w:tblGrid>
      <w:tr>
        <w:trPr>
          <w:cantSplit/>
          <w:tblHeader/>
        </w:trPr>
        <w:tc>
          <w:tcPr>
            <w:tcW w:type="dxa" w:w="3802"/>
            <w:vAlign w:val="center"/>
            <w:tcMar>
              <w:top w:w="90" w:type="dxa"/>
              <w:bottom w:w="90" w:type="dxa"/>
              <w:left w:w="90" w:type="dxa"/>
              <w:right w:w="90" w:type="dxa"/>
            </w:tcMar>
            <w:shd w:fill="DBE5ED"/>
          </w:tcPr>
          <w:p>
            <w:pPr>
              <w:spacing w:after="0" w:line="257" w:lineRule="auto"/>
            </w:pPr>
            <w:r>
              <w:rPr>
                <w:b/>
                <w:color w:val="000000"/>
                <w:sz w:val="18"/>
              </w:rPr>
              <w:t>Method and path</w:t>
            </w:r>
          </w:p>
        </w:tc>
        <w:tc>
          <w:tcPr>
            <w:tcW w:type="dxa" w:w="2592"/>
            <w:vAlign w:val="center"/>
            <w:tcMar>
              <w:top w:w="90" w:type="dxa"/>
              <w:bottom w:w="90" w:type="dxa"/>
              <w:left w:w="90" w:type="dxa"/>
              <w:right w:w="90" w:type="dxa"/>
            </w:tcMar>
            <w:shd w:fill="DBE5ED"/>
          </w:tcPr>
          <w:p>
            <w:pPr>
              <w:spacing w:after="0" w:line="257" w:lineRule="auto"/>
            </w:pPr>
            <w:r>
              <w:rPr>
                <w:b/>
                <w:color w:val="000000"/>
                <w:sz w:val="18"/>
              </w:rPr>
              <w:t>Purpose</w:t>
            </w:r>
          </w:p>
        </w:tc>
        <w:tc>
          <w:tcPr>
            <w:tcW w:type="dxa" w:w="3830"/>
            <w:vAlign w:val="center"/>
            <w:tcMar>
              <w:top w:w="90" w:type="dxa"/>
              <w:bottom w:w="90" w:type="dxa"/>
              <w:left w:w="90" w:type="dxa"/>
              <w:right w:w="90" w:type="dxa"/>
            </w:tcMar>
            <w:shd w:fill="DBE5ED"/>
          </w:tcPr>
          <w:p>
            <w:pPr>
              <w:spacing w:after="0" w:line="257" w:lineRule="auto"/>
            </w:pPr>
            <w:r>
              <w:rPr>
                <w:b/>
                <w:color w:val="000000"/>
                <w:sz w:val="18"/>
              </w:rPr>
              <w:t>Important behavior</w:t>
            </w:r>
          </w:p>
        </w:tc>
      </w:tr>
      <w:tr>
        <w:trPr>
          <w:cantSplit/>
        </w:trPr>
        <w:tc>
          <w:tcPr>
            <w:tcW w:type="dxa" w:w="3802"/>
            <w:vAlign w:val="center"/>
            <w:tcMar>
              <w:top w:w="90" w:type="dxa"/>
              <w:bottom w:w="90" w:type="dxa"/>
              <w:left w:w="90" w:type="dxa"/>
              <w:right w:w="90" w:type="dxa"/>
            </w:tcMar>
            <w:shd w:fill="FFFFFF"/>
          </w:tcPr>
          <w:p>
            <w:pPr>
              <w:spacing w:after="0" w:line="257" w:lineRule="auto"/>
            </w:pPr>
            <w:r>
              <w:rPr>
                <w:sz w:val="18"/>
              </w:rPr>
              <w:t>POST /projects</w:t>
            </w:r>
          </w:p>
        </w:tc>
        <w:tc>
          <w:tcPr>
            <w:tcW w:type="dxa" w:w="2592"/>
            <w:vAlign w:val="center"/>
            <w:tcMar>
              <w:top w:w="90" w:type="dxa"/>
              <w:bottom w:w="90" w:type="dxa"/>
              <w:left w:w="90" w:type="dxa"/>
              <w:right w:w="90" w:type="dxa"/>
            </w:tcMar>
            <w:shd w:fill="FFFFFF"/>
          </w:tcPr>
          <w:p>
            <w:pPr>
              <w:spacing w:after="0" w:line="257" w:lineRule="auto"/>
            </w:pPr>
            <w:r>
              <w:rPr>
                <w:sz w:val="18"/>
              </w:rPr>
              <w:t>Create a local project</w:t>
            </w:r>
          </w:p>
        </w:tc>
        <w:tc>
          <w:tcPr>
            <w:tcW w:type="dxa" w:w="3830"/>
            <w:vAlign w:val="center"/>
            <w:tcMar>
              <w:top w:w="90" w:type="dxa"/>
              <w:bottom w:w="90" w:type="dxa"/>
              <w:left w:w="90" w:type="dxa"/>
              <w:right w:w="90" w:type="dxa"/>
            </w:tcMar>
            <w:shd w:fill="FFFFFF"/>
          </w:tcPr>
          <w:p>
            <w:pPr>
              <w:spacing w:after="0" w:line="257" w:lineRule="auto"/>
            </w:pPr>
            <w:r>
              <w:rPr>
                <w:sz w:val="18"/>
              </w:rPr>
              <w:t>Returns its configuration version</w:t>
            </w:r>
          </w:p>
        </w:tc>
      </w:tr>
      <w:tr>
        <w:trPr>
          <w:cantSplit/>
        </w:trPr>
        <w:tc>
          <w:tcPr>
            <w:tcW w:type="dxa" w:w="3802"/>
            <w:vAlign w:val="center"/>
            <w:tcMar>
              <w:top w:w="90" w:type="dxa"/>
              <w:bottom w:w="90" w:type="dxa"/>
              <w:left w:w="90" w:type="dxa"/>
              <w:right w:w="90" w:type="dxa"/>
            </w:tcMar>
            <w:shd w:fill="F6F8FA"/>
          </w:tcPr>
          <w:p>
            <w:pPr>
              <w:spacing w:after="0" w:line="257" w:lineRule="auto"/>
            </w:pPr>
            <w:r>
              <w:rPr>
                <w:sz w:val="18"/>
              </w:rPr>
              <w:t>POST /projects/{id}/snapshots</w:t>
            </w:r>
          </w:p>
        </w:tc>
        <w:tc>
          <w:tcPr>
            <w:tcW w:type="dxa" w:w="2592"/>
            <w:vAlign w:val="center"/>
            <w:tcMar>
              <w:top w:w="90" w:type="dxa"/>
              <w:bottom w:w="90" w:type="dxa"/>
              <w:left w:w="90" w:type="dxa"/>
              <w:right w:w="90" w:type="dxa"/>
            </w:tcMar>
            <w:shd w:fill="F6F8FA"/>
          </w:tcPr>
          <w:p>
            <w:pPr>
              <w:spacing w:after="0" w:line="257" w:lineRule="auto"/>
            </w:pPr>
            <w:r>
              <w:rPr>
                <w:sz w:val="18"/>
              </w:rPr>
              <w:t>Upload a dataset and ingestion metadata</w:t>
            </w:r>
          </w:p>
        </w:tc>
        <w:tc>
          <w:tcPr>
            <w:tcW w:type="dxa" w:w="3830"/>
            <w:vAlign w:val="center"/>
            <w:tcMar>
              <w:top w:w="90" w:type="dxa"/>
              <w:bottom w:w="90" w:type="dxa"/>
              <w:left w:w="90" w:type="dxa"/>
              <w:right w:w="90" w:type="dxa"/>
            </w:tcMar>
            <w:shd w:fill="F6F8FA"/>
          </w:tcPr>
          <w:p>
            <w:pPr>
              <w:spacing w:after="0" w:line="257" w:lineRule="auto"/>
            </w:pPr>
            <w:r>
              <w:rPr>
                <w:sz w:val="18"/>
              </w:rPr>
              <w:t>Returns validation job; rejects size or format violations</w:t>
            </w:r>
          </w:p>
        </w:tc>
      </w:tr>
      <w:tr>
        <w:trPr>
          <w:cantSplit/>
        </w:trPr>
        <w:tc>
          <w:tcPr>
            <w:tcW w:type="dxa" w:w="3802"/>
            <w:vAlign w:val="center"/>
            <w:tcMar>
              <w:top w:w="90" w:type="dxa"/>
              <w:bottom w:w="90" w:type="dxa"/>
              <w:left w:w="90" w:type="dxa"/>
              <w:right w:w="90" w:type="dxa"/>
            </w:tcMar>
            <w:shd w:fill="FFFFFF"/>
          </w:tcPr>
          <w:p>
            <w:pPr>
              <w:spacing w:after="0" w:line="257" w:lineRule="auto"/>
            </w:pPr>
            <w:r>
              <w:rPr>
                <w:sz w:val="18"/>
              </w:rPr>
              <w:t>GET /snapshots/{id}</w:t>
            </w:r>
          </w:p>
        </w:tc>
        <w:tc>
          <w:tcPr>
            <w:tcW w:type="dxa" w:w="2592"/>
            <w:vAlign w:val="center"/>
            <w:tcMar>
              <w:top w:w="90" w:type="dxa"/>
              <w:bottom w:w="90" w:type="dxa"/>
              <w:left w:w="90" w:type="dxa"/>
              <w:right w:w="90" w:type="dxa"/>
            </w:tcMar>
            <w:shd w:fill="FFFFFF"/>
          </w:tcPr>
          <w:p>
            <w:pPr>
              <w:spacing w:after="0" w:line="257" w:lineRule="auto"/>
            </w:pPr>
            <w:r>
              <w:rPr>
                <w:sz w:val="18"/>
              </w:rPr>
              <w:t>Read schema and validation result</w:t>
            </w:r>
          </w:p>
        </w:tc>
        <w:tc>
          <w:tcPr>
            <w:tcW w:type="dxa" w:w="3830"/>
            <w:vAlign w:val="center"/>
            <w:tcMar>
              <w:top w:w="90" w:type="dxa"/>
              <w:bottom w:w="90" w:type="dxa"/>
              <w:left w:w="90" w:type="dxa"/>
              <w:right w:w="90" w:type="dxa"/>
            </w:tcMar>
            <w:shd w:fill="FFFFFF"/>
          </w:tcPr>
          <w:p>
            <w:pPr>
              <w:spacing w:after="0" w:line="257" w:lineRule="auto"/>
            </w:pPr>
            <w:r>
              <w:rPr>
                <w:sz w:val="18"/>
              </w:rPr>
              <w:t>No accepted snapshot before validation succeeds</w:t>
            </w:r>
          </w:p>
        </w:tc>
      </w:tr>
      <w:tr>
        <w:trPr>
          <w:cantSplit/>
        </w:trPr>
        <w:tc>
          <w:tcPr>
            <w:tcW w:type="dxa" w:w="3802"/>
            <w:vAlign w:val="center"/>
            <w:tcMar>
              <w:top w:w="90" w:type="dxa"/>
              <w:bottom w:w="90" w:type="dxa"/>
              <w:left w:w="90" w:type="dxa"/>
              <w:right w:w="90" w:type="dxa"/>
            </w:tcMar>
            <w:shd w:fill="F6F8FA"/>
          </w:tcPr>
          <w:p>
            <w:pPr>
              <w:spacing w:after="0" w:line="257" w:lineRule="auto"/>
            </w:pPr>
            <w:r>
              <w:rPr>
                <w:sz w:val="18"/>
              </w:rPr>
              <w:t>POST /projects/{id}/definitions</w:t>
            </w:r>
          </w:p>
        </w:tc>
        <w:tc>
          <w:tcPr>
            <w:tcW w:type="dxa" w:w="2592"/>
            <w:vAlign w:val="center"/>
            <w:tcMar>
              <w:top w:w="90" w:type="dxa"/>
              <w:bottom w:w="90" w:type="dxa"/>
              <w:left w:w="90" w:type="dxa"/>
              <w:right w:w="90" w:type="dxa"/>
            </w:tcMar>
            <w:shd w:fill="F6F8FA"/>
          </w:tcPr>
          <w:p>
            <w:pPr>
              <w:spacing w:after="0" w:line="257" w:lineRule="auto"/>
            </w:pPr>
            <w:r>
              <w:rPr>
                <w:sz w:val="18"/>
              </w:rPr>
              <w:t>Import SQL and provenance</w:t>
            </w:r>
          </w:p>
        </w:tc>
        <w:tc>
          <w:tcPr>
            <w:tcW w:type="dxa" w:w="3830"/>
            <w:vAlign w:val="center"/>
            <w:tcMar>
              <w:top w:w="90" w:type="dxa"/>
              <w:bottom w:w="90" w:type="dxa"/>
              <w:left w:w="90" w:type="dxa"/>
              <w:right w:w="90" w:type="dxa"/>
            </w:tcMar>
            <w:shd w:fill="F6F8FA"/>
          </w:tcPr>
          <w:p>
            <w:pPr>
              <w:spacing w:after="0" w:line="257" w:lineRule="auto"/>
            </w:pPr>
            <w:r>
              <w:rPr>
                <w:sz w:val="18"/>
              </w:rPr>
              <w:t>Returns support status and structured errors</w:t>
            </w:r>
          </w:p>
        </w:tc>
      </w:tr>
      <w:tr>
        <w:trPr>
          <w:cantSplit/>
        </w:trPr>
        <w:tc>
          <w:tcPr>
            <w:tcW w:type="dxa" w:w="3802"/>
            <w:vAlign w:val="center"/>
            <w:tcMar>
              <w:top w:w="90" w:type="dxa"/>
              <w:bottom w:w="90" w:type="dxa"/>
              <w:left w:w="90" w:type="dxa"/>
              <w:right w:w="90" w:type="dxa"/>
            </w:tcMar>
            <w:shd w:fill="FFFFFF"/>
          </w:tcPr>
          <w:p>
            <w:pPr>
              <w:spacing w:after="0" w:line="257" w:lineRule="auto"/>
            </w:pPr>
            <w:r>
              <w:rPr>
                <w:sz w:val="18"/>
              </w:rPr>
              <w:t>POST /definitions/{id}/versions</w:t>
            </w:r>
          </w:p>
        </w:tc>
        <w:tc>
          <w:tcPr>
            <w:tcW w:type="dxa" w:w="2592"/>
            <w:vAlign w:val="center"/>
            <w:tcMar>
              <w:top w:w="90" w:type="dxa"/>
              <w:bottom w:w="90" w:type="dxa"/>
              <w:left w:w="90" w:type="dxa"/>
              <w:right w:w="90" w:type="dxa"/>
            </w:tcMar>
            <w:shd w:fill="FFFFFF"/>
          </w:tcPr>
          <w:p>
            <w:pPr>
              <w:spacing w:after="0" w:line="257" w:lineRule="auto"/>
            </w:pPr>
            <w:r>
              <w:rPr>
                <w:sz w:val="18"/>
              </w:rPr>
              <w:t>Add a new immutable version</w:t>
            </w:r>
          </w:p>
        </w:tc>
        <w:tc>
          <w:tcPr>
            <w:tcW w:type="dxa" w:w="3830"/>
            <w:vAlign w:val="center"/>
            <w:tcMar>
              <w:top w:w="90" w:type="dxa"/>
              <w:bottom w:w="90" w:type="dxa"/>
              <w:left w:w="90" w:type="dxa"/>
              <w:right w:w="90" w:type="dxa"/>
            </w:tcMar>
            <w:shd w:fill="FFFFFF"/>
          </w:tcPr>
          <w:p>
            <w:pPr>
              <w:spacing w:after="0" w:line="257" w:lineRule="auto"/>
            </w:pPr>
            <w:r>
              <w:rPr>
                <w:sz w:val="18"/>
              </w:rPr>
              <w:t>Does not update completed runs</w:t>
            </w:r>
          </w:p>
        </w:tc>
      </w:tr>
      <w:tr>
        <w:trPr>
          <w:cantSplit/>
        </w:trPr>
        <w:tc>
          <w:tcPr>
            <w:tcW w:type="dxa" w:w="3802"/>
            <w:vAlign w:val="center"/>
            <w:tcMar>
              <w:top w:w="90" w:type="dxa"/>
              <w:bottom w:w="90" w:type="dxa"/>
              <w:left w:w="90" w:type="dxa"/>
              <w:right w:w="90" w:type="dxa"/>
            </w:tcMar>
            <w:shd w:fill="F6F8FA"/>
          </w:tcPr>
          <w:p>
            <w:pPr>
              <w:spacing w:after="0" w:line="257" w:lineRule="auto"/>
            </w:pPr>
            <w:r>
              <w:rPr>
                <w:sz w:val="18"/>
              </w:rPr>
              <w:t>GET /projects/{id}/definitions</w:t>
            </w:r>
          </w:p>
        </w:tc>
        <w:tc>
          <w:tcPr>
            <w:tcW w:type="dxa" w:w="2592"/>
            <w:vAlign w:val="center"/>
            <w:tcMar>
              <w:top w:w="90" w:type="dxa"/>
              <w:bottom w:w="90" w:type="dxa"/>
              <w:left w:w="90" w:type="dxa"/>
              <w:right w:w="90" w:type="dxa"/>
            </w:tcMar>
            <w:shd w:fill="F6F8FA"/>
          </w:tcPr>
          <w:p>
            <w:pPr>
              <w:spacing w:after="0" w:line="257" w:lineRule="auto"/>
            </w:pPr>
            <w:r>
              <w:rPr>
                <w:sz w:val="18"/>
              </w:rPr>
              <w:t>List inventory and support coverage</w:t>
            </w:r>
          </w:p>
        </w:tc>
        <w:tc>
          <w:tcPr>
            <w:tcW w:type="dxa" w:w="3830"/>
            <w:vAlign w:val="center"/>
            <w:tcMar>
              <w:top w:w="90" w:type="dxa"/>
              <w:bottom w:w="90" w:type="dxa"/>
              <w:left w:w="90" w:type="dxa"/>
              <w:right w:w="90" w:type="dxa"/>
            </w:tcMar>
            <w:shd w:fill="F6F8FA"/>
          </w:tcPr>
          <w:p>
            <w:pPr>
              <w:spacing w:after="0" w:line="257" w:lineRule="auto"/>
            </w:pPr>
            <w:r>
              <w:rPr>
                <w:sz w:val="18"/>
              </w:rPr>
              <w:t>Paginated with server-side filtering</w:t>
            </w:r>
          </w:p>
        </w:tc>
      </w:tr>
      <w:tr>
        <w:trPr>
          <w:cantSplit/>
        </w:trPr>
        <w:tc>
          <w:tcPr>
            <w:tcW w:type="dxa" w:w="3802"/>
            <w:vAlign w:val="center"/>
            <w:tcMar>
              <w:top w:w="90" w:type="dxa"/>
              <w:bottom w:w="90" w:type="dxa"/>
              <w:left w:w="90" w:type="dxa"/>
              <w:right w:w="90" w:type="dxa"/>
            </w:tcMar>
            <w:shd w:fill="FFFFFF"/>
          </w:tcPr>
          <w:p>
            <w:pPr>
              <w:spacing w:after="0" w:line="257" w:lineRule="auto"/>
            </w:pPr>
            <w:r>
              <w:rPr>
                <w:sz w:val="18"/>
              </w:rPr>
              <w:t>GET /projects/{id}/candidates</w:t>
            </w:r>
          </w:p>
        </w:tc>
        <w:tc>
          <w:tcPr>
            <w:tcW w:type="dxa" w:w="2592"/>
            <w:vAlign w:val="center"/>
            <w:tcMar>
              <w:top w:w="90" w:type="dxa"/>
              <w:bottom w:w="90" w:type="dxa"/>
              <w:left w:w="90" w:type="dxa"/>
              <w:right w:w="90" w:type="dxa"/>
            </w:tcMar>
            <w:shd w:fill="FFFFFF"/>
          </w:tcPr>
          <w:p>
            <w:pPr>
              <w:spacing w:after="0" w:line="257" w:lineRule="auto"/>
            </w:pPr>
            <w:r>
              <w:rPr>
                <w:sz w:val="18"/>
              </w:rPr>
              <w:t>List ranked potential pairs</w:t>
            </w:r>
          </w:p>
        </w:tc>
        <w:tc>
          <w:tcPr>
            <w:tcW w:type="dxa" w:w="3830"/>
            <w:vAlign w:val="center"/>
            <w:tcMar>
              <w:top w:w="90" w:type="dxa"/>
              <w:bottom w:w="90" w:type="dxa"/>
              <w:left w:w="90" w:type="dxa"/>
              <w:right w:w="90" w:type="dxa"/>
            </w:tcMar>
            <w:shd w:fill="FFFFFF"/>
          </w:tcPr>
          <w:p>
            <w:pPr>
              <w:spacing w:after="0" w:line="257" w:lineRule="auto"/>
            </w:pPr>
            <w:r>
              <w:rPr>
                <w:sz w:val="18"/>
              </w:rPr>
              <w:t>Includes heuristic reasons and review state</w:t>
            </w:r>
          </w:p>
        </w:tc>
      </w:tr>
      <w:tr>
        <w:trPr>
          <w:cantSplit/>
        </w:trPr>
        <w:tc>
          <w:tcPr>
            <w:tcW w:type="dxa" w:w="3802"/>
            <w:vAlign w:val="center"/>
            <w:tcMar>
              <w:top w:w="90" w:type="dxa"/>
              <w:bottom w:w="90" w:type="dxa"/>
              <w:left w:w="90" w:type="dxa"/>
              <w:right w:w="90" w:type="dxa"/>
            </w:tcMar>
            <w:shd w:fill="F6F8FA"/>
          </w:tcPr>
          <w:p>
            <w:pPr>
              <w:spacing w:after="0" w:line="257" w:lineRule="auto"/>
            </w:pPr>
            <w:r>
              <w:rPr>
                <w:sz w:val="18"/>
              </w:rPr>
              <w:t>POST /projects/{id}/pair-reviews</w:t>
            </w:r>
          </w:p>
        </w:tc>
        <w:tc>
          <w:tcPr>
            <w:tcW w:type="dxa" w:w="2592"/>
            <w:vAlign w:val="center"/>
            <w:tcMar>
              <w:top w:w="90" w:type="dxa"/>
              <w:bottom w:w="90" w:type="dxa"/>
              <w:left w:w="90" w:type="dxa"/>
              <w:right w:w="90" w:type="dxa"/>
            </w:tcMar>
            <w:shd w:fill="F6F8FA"/>
          </w:tcPr>
          <w:p>
            <w:pPr>
              <w:spacing w:after="0" w:line="257" w:lineRule="auto"/>
            </w:pPr>
            <w:r>
              <w:rPr>
                <w:sz w:val="18"/>
              </w:rPr>
              <w:t>Record intended relationship</w:t>
            </w:r>
          </w:p>
        </w:tc>
        <w:tc>
          <w:tcPr>
            <w:tcW w:type="dxa" w:w="3830"/>
            <w:vAlign w:val="center"/>
            <w:tcMar>
              <w:top w:w="90" w:type="dxa"/>
              <w:bottom w:w="90" w:type="dxa"/>
              <w:left w:w="90" w:type="dxa"/>
              <w:right w:w="90" w:type="dxa"/>
            </w:tcMar>
            <w:shd w:fill="F6F8FA"/>
          </w:tcPr>
          <w:p>
            <w:pPr>
              <w:spacing w:after="0" w:line="257" w:lineRule="auto"/>
            </w:pPr>
            <w:r>
              <w:rPr>
                <w:sz w:val="18"/>
              </w:rPr>
              <w:t>Requires rationale for intentional variant or rejection</w:t>
            </w:r>
          </w:p>
        </w:tc>
      </w:tr>
      <w:tr>
        <w:trPr>
          <w:cantSplit/>
        </w:trPr>
        <w:tc>
          <w:tcPr>
            <w:tcW w:type="dxa" w:w="3802"/>
            <w:vAlign w:val="center"/>
            <w:tcMar>
              <w:top w:w="90" w:type="dxa"/>
              <w:bottom w:w="90" w:type="dxa"/>
              <w:left w:w="90" w:type="dxa"/>
              <w:right w:w="90" w:type="dxa"/>
            </w:tcMar>
            <w:shd w:fill="FFFFFF"/>
          </w:tcPr>
          <w:p>
            <w:pPr>
              <w:spacing w:after="0" w:line="257" w:lineRule="auto"/>
            </w:pPr>
            <w:r>
              <w:rPr>
                <w:sz w:val="18"/>
              </w:rPr>
              <w:t>POST /comparisons/validate</w:t>
            </w:r>
          </w:p>
        </w:tc>
        <w:tc>
          <w:tcPr>
            <w:tcW w:type="dxa" w:w="2592"/>
            <w:vAlign w:val="center"/>
            <w:tcMar>
              <w:top w:w="90" w:type="dxa"/>
              <w:bottom w:w="90" w:type="dxa"/>
              <w:left w:w="90" w:type="dxa"/>
              <w:right w:w="90" w:type="dxa"/>
            </w:tcMar>
            <w:shd w:fill="FFFFFF"/>
          </w:tcPr>
          <w:p>
            <w:pPr>
              <w:spacing w:after="0" w:line="257" w:lineRule="auto"/>
            </w:pPr>
            <w:r>
              <w:rPr>
                <w:sz w:val="18"/>
              </w:rPr>
              <w:t>Check proposed pair and context</w:t>
            </w:r>
          </w:p>
        </w:tc>
        <w:tc>
          <w:tcPr>
            <w:tcW w:type="dxa" w:w="3830"/>
            <w:vAlign w:val="center"/>
            <w:tcMar>
              <w:top w:w="90" w:type="dxa"/>
              <w:bottom w:w="90" w:type="dxa"/>
              <w:left w:w="90" w:type="dxa"/>
              <w:right w:w="90" w:type="dxa"/>
            </w:tcMar>
            <w:shd w:fill="FFFFFF"/>
          </w:tcPr>
          <w:p>
            <w:pPr>
              <w:spacing w:after="0" w:line="257" w:lineRule="auto"/>
            </w:pPr>
            <w:r>
              <w:rPr>
                <w:sz w:val="18"/>
              </w:rPr>
              <w:t>Does not execute SQL</w:t>
            </w:r>
          </w:p>
        </w:tc>
      </w:tr>
      <w:tr>
        <w:trPr>
          <w:cantSplit/>
        </w:trPr>
        <w:tc>
          <w:tcPr>
            <w:tcW w:type="dxa" w:w="3802"/>
            <w:vAlign w:val="center"/>
            <w:tcMar>
              <w:top w:w="90" w:type="dxa"/>
              <w:bottom w:w="90" w:type="dxa"/>
              <w:left w:w="90" w:type="dxa"/>
              <w:right w:w="90" w:type="dxa"/>
            </w:tcMar>
            <w:shd w:fill="F6F8FA"/>
          </w:tcPr>
          <w:p>
            <w:pPr>
              <w:spacing w:after="0" w:line="257" w:lineRule="auto"/>
            </w:pPr>
            <w:r>
              <w:rPr>
                <w:sz w:val="18"/>
              </w:rPr>
              <w:t>POST /comparisons</w:t>
            </w:r>
          </w:p>
        </w:tc>
        <w:tc>
          <w:tcPr>
            <w:tcW w:type="dxa" w:w="2592"/>
            <w:vAlign w:val="center"/>
            <w:tcMar>
              <w:top w:w="90" w:type="dxa"/>
              <w:bottom w:w="90" w:type="dxa"/>
              <w:left w:w="90" w:type="dxa"/>
              <w:right w:w="90" w:type="dxa"/>
            </w:tcMar>
            <w:shd w:fill="F6F8FA"/>
          </w:tcPr>
          <w:p>
            <w:pPr>
              <w:spacing w:after="0" w:line="257" w:lineRule="auto"/>
            </w:pPr>
            <w:r>
              <w:rPr>
                <w:sz w:val="18"/>
              </w:rPr>
              <w:t>Queue a validated comparison</w:t>
            </w:r>
          </w:p>
        </w:tc>
        <w:tc>
          <w:tcPr>
            <w:tcW w:type="dxa" w:w="3830"/>
            <w:vAlign w:val="center"/>
            <w:tcMar>
              <w:top w:w="90" w:type="dxa"/>
              <w:bottom w:w="90" w:type="dxa"/>
              <w:left w:w="90" w:type="dxa"/>
              <w:right w:w="90" w:type="dxa"/>
            </w:tcMar>
            <w:shd w:fill="F6F8FA"/>
          </w:tcPr>
          <w:p>
            <w:pPr>
              <w:spacing w:after="0" w:line="257" w:lineRule="auto"/>
            </w:pPr>
            <w:r>
              <w:rPr>
                <w:sz w:val="18"/>
              </w:rPr>
              <w:t>Requires Idempotency-Key; returns 202 with run ID</w:t>
            </w:r>
          </w:p>
        </w:tc>
      </w:tr>
      <w:tr>
        <w:trPr>
          <w:cantSplit/>
        </w:trPr>
        <w:tc>
          <w:tcPr>
            <w:tcW w:type="dxa" w:w="3802"/>
            <w:vAlign w:val="center"/>
            <w:tcMar>
              <w:top w:w="90" w:type="dxa"/>
              <w:bottom w:w="90" w:type="dxa"/>
              <w:left w:w="90" w:type="dxa"/>
              <w:right w:w="90" w:type="dxa"/>
            </w:tcMar>
            <w:shd w:fill="FFFFFF"/>
          </w:tcPr>
          <w:p>
            <w:pPr>
              <w:spacing w:after="0" w:line="257" w:lineRule="auto"/>
            </w:pPr>
            <w:r>
              <w:rPr>
                <w:sz w:val="18"/>
              </w:rPr>
              <w:t>GET /comparisons/{id}</w:t>
            </w:r>
          </w:p>
        </w:tc>
        <w:tc>
          <w:tcPr>
            <w:tcW w:type="dxa" w:w="2592"/>
            <w:vAlign w:val="center"/>
            <w:tcMar>
              <w:top w:w="90" w:type="dxa"/>
              <w:bottom w:w="90" w:type="dxa"/>
              <w:left w:w="90" w:type="dxa"/>
              <w:right w:w="90" w:type="dxa"/>
            </w:tcMar>
            <w:shd w:fill="FFFFFF"/>
          </w:tcPr>
          <w:p>
            <w:pPr>
              <w:spacing w:after="0" w:line="257" w:lineRule="auto"/>
            </w:pPr>
            <w:r>
              <w:rPr>
                <w:sz w:val="18"/>
              </w:rPr>
              <w:t>Read state and results</w:t>
            </w:r>
          </w:p>
        </w:tc>
        <w:tc>
          <w:tcPr>
            <w:tcW w:type="dxa" w:w="3830"/>
            <w:vAlign w:val="center"/>
            <w:tcMar>
              <w:top w:w="90" w:type="dxa"/>
              <w:bottom w:w="90" w:type="dxa"/>
              <w:left w:w="90" w:type="dxa"/>
              <w:right w:w="90" w:type="dxa"/>
            </w:tcMar>
            <w:shd w:fill="FFFFFF"/>
          </w:tcPr>
          <w:p>
            <w:pPr>
              <w:spacing w:after="0" w:line="257" w:lineRule="auto"/>
            </w:pPr>
            <w:r>
              <w:rPr>
                <w:sz w:val="18"/>
              </w:rPr>
              <w:t>Partial results retain limitations</w:t>
            </w:r>
          </w:p>
        </w:tc>
      </w:tr>
      <w:tr>
        <w:trPr>
          <w:cantSplit/>
        </w:trPr>
        <w:tc>
          <w:tcPr>
            <w:tcW w:type="dxa" w:w="3802"/>
            <w:vAlign w:val="center"/>
            <w:tcMar>
              <w:top w:w="90" w:type="dxa"/>
              <w:bottom w:w="90" w:type="dxa"/>
              <w:left w:w="90" w:type="dxa"/>
              <w:right w:w="90" w:type="dxa"/>
            </w:tcMar>
            <w:shd w:fill="F6F8FA"/>
          </w:tcPr>
          <w:p>
            <w:pPr>
              <w:spacing w:after="0" w:line="257" w:lineRule="auto"/>
            </w:pPr>
            <w:r>
              <w:rPr>
                <w:sz w:val="18"/>
              </w:rPr>
              <w:t>GET /comparisons/{id}/evidence</w:t>
            </w:r>
          </w:p>
        </w:tc>
        <w:tc>
          <w:tcPr>
            <w:tcW w:type="dxa" w:w="2592"/>
            <w:vAlign w:val="center"/>
            <w:tcMar>
              <w:top w:w="90" w:type="dxa"/>
              <w:bottom w:w="90" w:type="dxa"/>
              <w:left w:w="90" w:type="dxa"/>
              <w:right w:w="90" w:type="dxa"/>
            </w:tcMar>
            <w:shd w:fill="F6F8FA"/>
          </w:tcPr>
          <w:p>
            <w:pPr>
              <w:spacing w:after="0" w:line="257" w:lineRule="auto"/>
            </w:pPr>
            <w:r>
              <w:rPr>
                <w:sz w:val="18"/>
              </w:rPr>
              <w:t>Page or download evidence</w:t>
            </w:r>
          </w:p>
        </w:tc>
        <w:tc>
          <w:tcPr>
            <w:tcW w:type="dxa" w:w="3830"/>
            <w:vAlign w:val="center"/>
            <w:tcMar>
              <w:top w:w="90" w:type="dxa"/>
              <w:bottom w:w="90" w:type="dxa"/>
              <w:left w:w="90" w:type="dxa"/>
              <w:right w:w="90" w:type="dxa"/>
            </w:tcMar>
            <w:shd w:fill="F6F8FA"/>
          </w:tcPr>
          <w:p>
            <w:pPr>
              <w:spacing w:after="0" w:line="257" w:lineRule="auto"/>
            </w:pPr>
            <w:r>
              <w:rPr>
                <w:sz w:val="18"/>
              </w:rPr>
              <w:t>Applies export limit and safe filename rules</w:t>
            </w:r>
          </w:p>
        </w:tc>
      </w:tr>
      <w:tr>
        <w:trPr>
          <w:cantSplit/>
        </w:trPr>
        <w:tc>
          <w:tcPr>
            <w:tcW w:type="dxa" w:w="3802"/>
            <w:vAlign w:val="center"/>
            <w:tcMar>
              <w:top w:w="90" w:type="dxa"/>
              <w:bottom w:w="90" w:type="dxa"/>
              <w:left w:w="90" w:type="dxa"/>
              <w:right w:w="90" w:type="dxa"/>
            </w:tcMar>
            <w:shd w:fill="FFFFFF"/>
          </w:tcPr>
          <w:p>
            <w:pPr>
              <w:spacing w:after="0" w:line="257" w:lineRule="auto"/>
            </w:pPr>
            <w:r>
              <w:rPr>
                <w:sz w:val="18"/>
              </w:rPr>
              <w:t>POST /comparisons/{id}/cancel</w:t>
            </w:r>
          </w:p>
        </w:tc>
        <w:tc>
          <w:tcPr>
            <w:tcW w:type="dxa" w:w="2592"/>
            <w:vAlign w:val="center"/>
            <w:tcMar>
              <w:top w:w="90" w:type="dxa"/>
              <w:bottom w:w="90" w:type="dxa"/>
              <w:left w:w="90" w:type="dxa"/>
              <w:right w:w="90" w:type="dxa"/>
            </w:tcMar>
            <w:shd w:fill="FFFFFF"/>
          </w:tcPr>
          <w:p>
            <w:pPr>
              <w:spacing w:after="0" w:line="257" w:lineRule="auto"/>
            </w:pPr>
            <w:r>
              <w:rPr>
                <w:sz w:val="18"/>
              </w:rPr>
              <w:t>Request cancellation</w:t>
            </w:r>
          </w:p>
        </w:tc>
        <w:tc>
          <w:tcPr>
            <w:tcW w:type="dxa" w:w="3830"/>
            <w:vAlign w:val="center"/>
            <w:tcMar>
              <w:top w:w="90" w:type="dxa"/>
              <w:bottom w:w="90" w:type="dxa"/>
              <w:left w:w="90" w:type="dxa"/>
              <w:right w:w="90" w:type="dxa"/>
            </w:tcMar>
            <w:shd w:fill="FFFFFF"/>
          </w:tcPr>
          <w:p>
            <w:pPr>
              <w:spacing w:after="0" w:line="257" w:lineRule="auto"/>
            </w:pPr>
            <w:r>
              <w:rPr>
                <w:sz w:val="18"/>
              </w:rPr>
              <w:t>Idempotent for a terminal run</w:t>
            </w:r>
          </w:p>
        </w:tc>
      </w:tr>
      <w:tr>
        <w:trPr>
          <w:cantSplit/>
        </w:trPr>
        <w:tc>
          <w:tcPr>
            <w:tcW w:type="dxa" w:w="3802"/>
            <w:vAlign w:val="center"/>
            <w:tcMar>
              <w:top w:w="90" w:type="dxa"/>
              <w:bottom w:w="90" w:type="dxa"/>
              <w:left w:w="90" w:type="dxa"/>
              <w:right w:w="90" w:type="dxa"/>
            </w:tcMar>
            <w:shd w:fill="F6F8FA"/>
          </w:tcPr>
          <w:p>
            <w:pPr>
              <w:spacing w:after="0" w:line="257" w:lineRule="auto"/>
            </w:pPr>
            <w:r>
              <w:rPr>
                <w:sz w:val="18"/>
              </w:rPr>
              <w:t>GET /definitions/{id}/history</w:t>
            </w:r>
          </w:p>
        </w:tc>
        <w:tc>
          <w:tcPr>
            <w:tcW w:type="dxa" w:w="2592"/>
            <w:vAlign w:val="center"/>
            <w:tcMar>
              <w:top w:w="90" w:type="dxa"/>
              <w:bottom w:w="90" w:type="dxa"/>
              <w:left w:w="90" w:type="dxa"/>
              <w:right w:w="90" w:type="dxa"/>
            </w:tcMar>
            <w:shd w:fill="F6F8FA"/>
          </w:tcPr>
          <w:p>
            <w:pPr>
              <w:spacing w:after="0" w:line="257" w:lineRule="auto"/>
            </w:pPr>
            <w:r>
              <w:rPr>
                <w:sz w:val="18"/>
              </w:rPr>
              <w:t>Read versions and drift events</w:t>
            </w:r>
          </w:p>
        </w:tc>
        <w:tc>
          <w:tcPr>
            <w:tcW w:type="dxa" w:w="3830"/>
            <w:vAlign w:val="center"/>
            <w:tcMar>
              <w:top w:w="90" w:type="dxa"/>
              <w:bottom w:w="90" w:type="dxa"/>
              <w:left w:w="90" w:type="dxa"/>
              <w:right w:w="90" w:type="dxa"/>
            </w:tcMar>
            <w:shd w:fill="F6F8FA"/>
          </w:tcPr>
          <w:p>
            <w:pPr>
              <w:spacing w:after="0" w:line="257" w:lineRule="auto"/>
            </w:pPr>
            <w:r>
              <w:rPr>
                <w:sz w:val="18"/>
              </w:rPr>
              <w:t>Distinguishes source time from observation time</w:t>
            </w:r>
          </w:p>
        </w:tc>
      </w:tr>
      <w:tr>
        <w:trPr>
          <w:cantSplit/>
        </w:trPr>
        <w:tc>
          <w:tcPr>
            <w:tcW w:type="dxa" w:w="3802"/>
            <w:vAlign w:val="center"/>
            <w:tcMar>
              <w:top w:w="90" w:type="dxa"/>
              <w:bottom w:w="90" w:type="dxa"/>
              <w:left w:w="90" w:type="dxa"/>
              <w:right w:w="90" w:type="dxa"/>
            </w:tcMar>
            <w:shd w:fill="FFFFFF"/>
          </w:tcPr>
          <w:p>
            <w:pPr>
              <w:spacing w:after="0" w:line="257" w:lineRule="auto"/>
            </w:pPr>
            <w:r>
              <w:rPr>
                <w:sz w:val="18"/>
              </w:rPr>
              <w:t>POST /families/{id}/baselines</w:t>
            </w:r>
          </w:p>
        </w:tc>
        <w:tc>
          <w:tcPr>
            <w:tcW w:type="dxa" w:w="2592"/>
            <w:vAlign w:val="center"/>
            <w:tcMar>
              <w:top w:w="90" w:type="dxa"/>
              <w:bottom w:w="90" w:type="dxa"/>
              <w:left w:w="90" w:type="dxa"/>
              <w:right w:w="90" w:type="dxa"/>
            </w:tcMar>
            <w:shd w:fill="FFFFFF"/>
          </w:tcPr>
          <w:p>
            <w:pPr>
              <w:spacing w:after="0" w:line="257" w:lineRule="auto"/>
            </w:pPr>
            <w:r>
              <w:rPr>
                <w:sz w:val="18"/>
              </w:rPr>
              <w:t>Record a scoped baseline</w:t>
            </w:r>
          </w:p>
        </w:tc>
        <w:tc>
          <w:tcPr>
            <w:tcW w:type="dxa" w:w="3830"/>
            <w:vAlign w:val="center"/>
            <w:tcMar>
              <w:top w:w="90" w:type="dxa"/>
              <w:bottom w:w="90" w:type="dxa"/>
              <w:left w:w="90" w:type="dxa"/>
              <w:right w:w="90" w:type="dxa"/>
            </w:tcMar>
            <w:shd w:fill="FFFFFF"/>
          </w:tcPr>
          <w:p>
            <w:pPr>
              <w:spacing w:after="0" w:line="257" w:lineRule="auto"/>
            </w:pPr>
            <w:r>
              <w:rPr>
                <w:sz w:val="18"/>
              </w:rPr>
              <w:t>Expected current approval version prevents stale overwrite</w:t>
            </w:r>
          </w:p>
        </w:tc>
      </w:tr>
      <w:tr>
        <w:trPr>
          <w:cantSplit/>
        </w:trPr>
        <w:tc>
          <w:tcPr>
            <w:tcW w:type="dxa" w:w="3802"/>
            <w:vAlign w:val="center"/>
            <w:tcMar>
              <w:top w:w="90" w:type="dxa"/>
              <w:bottom w:w="90" w:type="dxa"/>
              <w:left w:w="90" w:type="dxa"/>
              <w:right w:w="90" w:type="dxa"/>
            </w:tcMar>
            <w:shd w:fill="F6F8FA"/>
          </w:tcPr>
          <w:p>
            <w:pPr>
              <w:spacing w:after="0" w:line="257" w:lineRule="auto"/>
            </w:pPr>
            <w:r>
              <w:rPr>
                <w:sz w:val="18"/>
              </w:rPr>
              <w:t>POST /projects/{id}/dependencies</w:t>
            </w:r>
          </w:p>
        </w:tc>
        <w:tc>
          <w:tcPr>
            <w:tcW w:type="dxa" w:w="2592"/>
            <w:vAlign w:val="center"/>
            <w:tcMar>
              <w:top w:w="90" w:type="dxa"/>
              <w:bottom w:w="90" w:type="dxa"/>
              <w:left w:w="90" w:type="dxa"/>
              <w:right w:w="90" w:type="dxa"/>
            </w:tcMar>
            <w:shd w:fill="F6F8FA"/>
          </w:tcPr>
          <w:p>
            <w:pPr>
              <w:spacing w:after="0" w:line="257" w:lineRule="auto"/>
            </w:pPr>
            <w:r>
              <w:rPr>
                <w:sz w:val="18"/>
              </w:rPr>
              <w:t>Register a known consumer link</w:t>
            </w:r>
          </w:p>
        </w:tc>
        <w:tc>
          <w:tcPr>
            <w:tcW w:type="dxa" w:w="3830"/>
            <w:vAlign w:val="center"/>
            <w:tcMar>
              <w:top w:w="90" w:type="dxa"/>
              <w:bottom w:w="90" w:type="dxa"/>
              <w:left w:w="90" w:type="dxa"/>
              <w:right w:w="90" w:type="dxa"/>
            </w:tcMar>
            <w:shd w:fill="F6F8FA"/>
          </w:tcPr>
          <w:p>
            <w:pPr>
              <w:spacing w:after="0" w:line="257" w:lineRule="auto"/>
            </w:pPr>
            <w:r>
              <w:rPr>
                <w:sz w:val="18"/>
              </w:rPr>
              <w:t>Records manual origin and coverage limits</w:t>
            </w:r>
          </w:p>
        </w:tc>
      </w:tr>
      <w:tr>
        <w:trPr>
          <w:cantSplit/>
        </w:trPr>
        <w:tc>
          <w:tcPr>
            <w:tcW w:type="dxa" w:w="3802"/>
            <w:vAlign w:val="center"/>
            <w:tcMar>
              <w:top w:w="90" w:type="dxa"/>
              <w:bottom w:w="90" w:type="dxa"/>
              <w:left w:w="90" w:type="dxa"/>
              <w:right w:w="90" w:type="dxa"/>
            </w:tcMar>
            <w:shd w:fill="FFFFFF"/>
          </w:tcPr>
          <w:p>
            <w:pPr>
              <w:spacing w:after="0" w:line="257" w:lineRule="auto"/>
            </w:pPr>
            <w:r>
              <w:rPr>
                <w:sz w:val="18"/>
              </w:rPr>
              <w:t>POST /comparisons/{id}/exports</w:t>
            </w:r>
          </w:p>
        </w:tc>
        <w:tc>
          <w:tcPr>
            <w:tcW w:type="dxa" w:w="2592"/>
            <w:vAlign w:val="center"/>
            <w:tcMar>
              <w:top w:w="90" w:type="dxa"/>
              <w:bottom w:w="90" w:type="dxa"/>
              <w:left w:w="90" w:type="dxa"/>
              <w:right w:w="90" w:type="dxa"/>
            </w:tcMar>
            <w:shd w:fill="FFFFFF"/>
          </w:tcPr>
          <w:p>
            <w:pPr>
              <w:spacing w:after="0" w:line="257" w:lineRule="auto"/>
            </w:pPr>
            <w:r>
              <w:rPr>
                <w:sz w:val="18"/>
              </w:rPr>
              <w:t>Generate report and JSON bundle</w:t>
            </w:r>
          </w:p>
        </w:tc>
        <w:tc>
          <w:tcPr>
            <w:tcW w:type="dxa" w:w="3830"/>
            <w:vAlign w:val="center"/>
            <w:tcMar>
              <w:top w:w="90" w:type="dxa"/>
              <w:bottom w:w="90" w:type="dxa"/>
              <w:left w:w="90" w:type="dxa"/>
              <w:right w:w="90" w:type="dxa"/>
            </w:tcMar>
            <w:shd w:fill="FFFFFF"/>
          </w:tcPr>
          <w:p>
            <w:pPr>
              <w:spacing w:after="0" w:line="257" w:lineRule="auto"/>
            </w:pPr>
            <w:r>
              <w:rPr>
                <w:sz w:val="18"/>
              </w:rPr>
              <w:t>Preserves incomplete and unknown result statuses</w:t>
            </w:r>
          </w:p>
        </w:tc>
      </w:tr>
    </w:tbl>
    <w:p>
      <w:pPr>
        <w:spacing w:after="20"/>
      </w:pPr>
    </w:p>
    <w:p>
      <w:r>
        <w:t>The path list is a proposed interface specification, not a generated production OpenAPI document. During implementation, generate OpenAPI from validated server models and check that the UI uses those same contracts.</w:t>
      </w:r>
    </w:p>
    <w:p>
      <w:pPr>
        <w:pStyle w:val="Heading2"/>
      </w:pPr>
      <w:r>
        <w:t>Comparison request</w:t>
      </w:r>
    </w:p>
    <w:p>
      <w:r>
        <w:t xml:space="preserve">The illustrative request in </w:t>
      </w:r>
      <w:r>
        <w:rPr>
          <w:rFonts w:ascii="DejaVu Sans Mono" w:hAnsi="DejaVu Sans Mono"/>
          <w:sz w:val="18"/>
        </w:rPr>
        <w:t>examples/comparison_request.json</w:t>
      </w:r>
      <w:r>
        <w:t xml:space="preserve"> references two immutable versions, one snapshot and an August 2026 half-open interval. It names the ordered bridge method and fixes the rule order. Date parameters are bound values; no client-supplied SQL fragments are appended to queries.</w:t>
      </w:r>
    </w:p>
    <w:p>
      <w:r>
        <w:t>Required context fields are snapshot_id, start, end_exclusive, timezone, unit, currency, grain and scope. Each definition's time field remains in that definition. The shared reporting window stays the same while attribution fields may differ.</w:t>
      </w:r>
    </w:p>
    <w:p>
      <w:r>
        <w:t>The server checks that both versions and the snapshot belong to the same project. It rejects unknown or unsupported versions, contradictory context and incompatible scopes. A currency string on the request cannot override a snapshot's currency without an explicit supported mapping.</w:t>
      </w:r>
    </w:p>
    <w:p>
      <w:pPr>
        <w:pStyle w:val="Heading2"/>
      </w:pPr>
      <w:r>
        <w:t>Result contract</w:t>
      </w:r>
    </w:p>
    <w:p>
      <w:r>
        <w:t>The result separates relationship_status, comparability_status, definition_status, value_status and explanation_status. It includes baseline and target decimal values, signed delta, absolute gap, baseline-relative change when defined, tolerance, ordered contributions, residual and artifact references.</w:t>
      </w:r>
    </w:p>
    <w:p>
      <w:r>
        <w:t>Provenance includes source text hashes, IR hashes, snapshot manifest hash, context fingerprint, mapping version, parser version, DuckDB version, application revision and decomposition method version. A display summary is derived from these fields. The JSON example contains readable identifiers and fixture results; actual hashes are generated from real bytes during implementation.</w:t>
      </w:r>
    </w:p>
    <w:p>
      <w:pPr>
        <w:pStyle w:val="Heading2"/>
      </w:pPr>
      <w:r>
        <w:t>Error taxonomy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384"/>
        <w:gridCol w:w="4320"/>
      </w:tblGrid>
      <w:tr>
        <w:trPr>
          <w:cantSplit/>
          <w:tblHeader/>
        </w:trPr>
        <w:tc>
          <w:tcPr>
            <w:tcW w:type="dxa" w:w="2520"/>
            <w:vAlign w:val="center"/>
            <w:tcMar>
              <w:top w:w="90" w:type="dxa"/>
              <w:bottom w:w="90" w:type="dxa"/>
              <w:left w:w="90" w:type="dxa"/>
              <w:right w:w="90" w:type="dxa"/>
            </w:tcMar>
            <w:shd w:fill="DBE5ED"/>
          </w:tcPr>
          <w:p>
            <w:pPr>
              <w:spacing w:after="0" w:line="257" w:lineRule="auto"/>
            </w:pPr>
            <w:r>
              <w:rPr>
                <w:b/>
                <w:color w:val="000000"/>
                <w:sz w:val="18"/>
              </w:rPr>
              <w:t>Code</w:t>
            </w:r>
          </w:p>
        </w:tc>
        <w:tc>
          <w:tcPr>
            <w:tcW w:type="dxa" w:w="3384"/>
            <w:vAlign w:val="center"/>
            <w:tcMar>
              <w:top w:w="90" w:type="dxa"/>
              <w:bottom w:w="90" w:type="dxa"/>
              <w:left w:w="90" w:type="dxa"/>
              <w:right w:w="90" w:type="dxa"/>
            </w:tcMar>
            <w:shd w:fill="DBE5ED"/>
          </w:tcPr>
          <w:p>
            <w:pPr>
              <w:spacing w:after="0" w:line="257" w:lineRule="auto"/>
            </w:pPr>
            <w:r>
              <w:rPr>
                <w:b/>
                <w:color w:val="000000"/>
                <w:sz w:val="18"/>
              </w:rPr>
              <w:t>Meaning</w:t>
            </w:r>
          </w:p>
        </w:tc>
        <w:tc>
          <w:tcPr>
            <w:tcW w:type="dxa" w:w="4320"/>
            <w:vAlign w:val="center"/>
            <w:tcMar>
              <w:top w:w="90" w:type="dxa"/>
              <w:bottom w:w="90" w:type="dxa"/>
              <w:left w:w="90" w:type="dxa"/>
              <w:right w:w="90" w:type="dxa"/>
            </w:tcMar>
            <w:shd w:fill="DBE5ED"/>
          </w:tcPr>
          <w:p>
            <w:pPr>
              <w:spacing w:after="0" w:line="257" w:lineRule="auto"/>
            </w:pPr>
            <w:r>
              <w:rPr>
                <w:b/>
                <w:color w:val="000000"/>
                <w:sz w:val="18"/>
              </w:rPr>
              <w:t>User action</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PARSE_​ERROR</w:t>
            </w:r>
          </w:p>
        </w:tc>
        <w:tc>
          <w:tcPr>
            <w:tcW w:type="dxa" w:w="3384"/>
            <w:vAlign w:val="center"/>
            <w:tcMar>
              <w:top w:w="90" w:type="dxa"/>
              <w:bottom w:w="90" w:type="dxa"/>
              <w:left w:w="90" w:type="dxa"/>
              <w:right w:w="90" w:type="dxa"/>
            </w:tcMar>
            <w:shd w:fill="FFFFFF"/>
          </w:tcPr>
          <w:p>
            <w:pPr>
              <w:spacing w:after="0" w:line="257" w:lineRule="auto"/>
            </w:pPr>
            <w:r>
              <w:rPr>
                <w:sz w:val="18"/>
              </w:rPr>
              <w:t>SQL cannot be parsed with the declared dialect</w:t>
            </w:r>
          </w:p>
        </w:tc>
        <w:tc>
          <w:tcPr>
            <w:tcW w:type="dxa" w:w="4320"/>
            <w:vAlign w:val="center"/>
            <w:tcMar>
              <w:top w:w="90" w:type="dxa"/>
              <w:bottom w:w="90" w:type="dxa"/>
              <w:left w:w="90" w:type="dxa"/>
              <w:right w:w="90" w:type="dxa"/>
            </w:tcMar>
            <w:shd w:fill="FFFFFF"/>
          </w:tcPr>
          <w:p>
            <w:pPr>
              <w:spacing w:after="0" w:line="257" w:lineRule="auto"/>
            </w:pPr>
            <w:r>
              <w:rPr>
                <w:sz w:val="18"/>
              </w:rPr>
              <w:t>Correct SQL or dialect</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UNSUPPORTED_​CONSTRUCT</w:t>
            </w:r>
          </w:p>
        </w:tc>
        <w:tc>
          <w:tcPr>
            <w:tcW w:type="dxa" w:w="3384"/>
            <w:vAlign w:val="center"/>
            <w:tcMar>
              <w:top w:w="90" w:type="dxa"/>
              <w:bottom w:w="90" w:type="dxa"/>
              <w:left w:w="90" w:type="dxa"/>
              <w:right w:w="90" w:type="dxa"/>
            </w:tcMar>
            <w:shd w:fill="F6F8FA"/>
          </w:tcPr>
          <w:p>
            <w:pPr>
              <w:spacing w:after="0" w:line="257" w:lineRule="auto"/>
            </w:pPr>
            <w:r>
              <w:rPr>
                <w:sz w:val="18"/>
              </w:rPr>
              <w:t>Query uses a feature outside the declared subset</w:t>
            </w:r>
          </w:p>
        </w:tc>
        <w:tc>
          <w:tcPr>
            <w:tcW w:type="dxa" w:w="4320"/>
            <w:vAlign w:val="center"/>
            <w:tcMar>
              <w:top w:w="90" w:type="dxa"/>
              <w:bottom w:w="90" w:type="dxa"/>
              <w:left w:w="90" w:type="dxa"/>
              <w:right w:w="90" w:type="dxa"/>
            </w:tcMar>
            <w:shd w:fill="F6F8FA"/>
          </w:tcPr>
          <w:p>
            <w:pPr>
              <w:spacing w:after="0" w:line="257" w:lineRule="auto"/>
            </w:pPr>
            <w:r>
              <w:rPr>
                <w:sz w:val="18"/>
              </w:rPr>
              <w:t>Use a supported extract or defer the case</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UNKNOWN_​COLUMN</w:t>
            </w:r>
          </w:p>
        </w:tc>
        <w:tc>
          <w:tcPr>
            <w:tcW w:type="dxa" w:w="3384"/>
            <w:vAlign w:val="center"/>
            <w:tcMar>
              <w:top w:w="90" w:type="dxa"/>
              <w:bottom w:w="90" w:type="dxa"/>
              <w:left w:w="90" w:type="dxa"/>
              <w:right w:w="90" w:type="dxa"/>
            </w:tcMar>
            <w:shd w:fill="FFFFFF"/>
          </w:tcPr>
          <w:p>
            <w:pPr>
              <w:spacing w:after="0" w:line="257" w:lineRule="auto"/>
            </w:pPr>
            <w:r>
              <w:rPr>
                <w:sz w:val="18"/>
              </w:rPr>
              <w:t>Definition cannot bind to the snapshot schema</w:t>
            </w:r>
          </w:p>
        </w:tc>
        <w:tc>
          <w:tcPr>
            <w:tcW w:type="dxa" w:w="4320"/>
            <w:vAlign w:val="center"/>
            <w:tcMar>
              <w:top w:w="90" w:type="dxa"/>
              <w:bottom w:w="90" w:type="dxa"/>
              <w:left w:w="90" w:type="dxa"/>
              <w:right w:w="90" w:type="dxa"/>
            </w:tcMar>
            <w:shd w:fill="FFFFFF"/>
          </w:tcPr>
          <w:p>
            <w:pPr>
              <w:spacing w:after="0" w:line="257" w:lineRule="auto"/>
            </w:pPr>
            <w:r>
              <w:rPr>
                <w:sz w:val="18"/>
              </w:rPr>
              <w:t>Correct mapping or select another dataset</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CONTEXT_​REQUIRED</w:t>
            </w:r>
          </w:p>
        </w:tc>
        <w:tc>
          <w:tcPr>
            <w:tcW w:type="dxa" w:w="3384"/>
            <w:vAlign w:val="center"/>
            <w:tcMar>
              <w:top w:w="90" w:type="dxa"/>
              <w:bottom w:w="90" w:type="dxa"/>
              <w:left w:w="90" w:type="dxa"/>
              <w:right w:w="90" w:type="dxa"/>
            </w:tcMar>
            <w:shd w:fill="F6F8FA"/>
          </w:tcPr>
          <w:p>
            <w:pPr>
              <w:spacing w:after="0" w:line="257" w:lineRule="auto"/>
            </w:pPr>
            <w:r>
              <w:rPr>
                <w:sz w:val="18"/>
              </w:rPr>
              <w:t>Period, timezone, grain or scope is missing</w:t>
            </w:r>
          </w:p>
        </w:tc>
        <w:tc>
          <w:tcPr>
            <w:tcW w:type="dxa" w:w="4320"/>
            <w:vAlign w:val="center"/>
            <w:tcMar>
              <w:top w:w="90" w:type="dxa"/>
              <w:bottom w:w="90" w:type="dxa"/>
              <w:left w:w="90" w:type="dxa"/>
              <w:right w:w="90" w:type="dxa"/>
            </w:tcMar>
            <w:shd w:fill="F6F8FA"/>
          </w:tcPr>
          <w:p>
            <w:pPr>
              <w:spacing w:after="0" w:line="257" w:lineRule="auto"/>
            </w:pPr>
            <w:r>
              <w:rPr>
                <w:sz w:val="18"/>
              </w:rPr>
              <w:t>Supply the missing context</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NOT_​COMPARABLE</w:t>
            </w:r>
          </w:p>
        </w:tc>
        <w:tc>
          <w:tcPr>
            <w:tcW w:type="dxa" w:w="3384"/>
            <w:vAlign w:val="center"/>
            <w:tcMar>
              <w:top w:w="90" w:type="dxa"/>
              <w:bottom w:w="90" w:type="dxa"/>
              <w:left w:w="90" w:type="dxa"/>
              <w:right w:w="90" w:type="dxa"/>
            </w:tcMar>
            <w:shd w:fill="FFFFFF"/>
          </w:tcPr>
          <w:p>
            <w:pPr>
              <w:spacing w:after="0" w:line="257" w:lineRule="auto"/>
            </w:pPr>
            <w:r>
              <w:rPr>
                <w:sz w:val="18"/>
              </w:rPr>
              <w:t>Known scopes, units or data are incompatible</w:t>
            </w:r>
          </w:p>
        </w:tc>
        <w:tc>
          <w:tcPr>
            <w:tcW w:type="dxa" w:w="4320"/>
            <w:vAlign w:val="center"/>
            <w:tcMar>
              <w:top w:w="90" w:type="dxa"/>
              <w:bottom w:w="90" w:type="dxa"/>
              <w:left w:w="90" w:type="dxa"/>
              <w:right w:w="90" w:type="dxa"/>
            </w:tcMar>
            <w:shd w:fill="FFFFFF"/>
          </w:tcPr>
          <w:p>
            <w:pPr>
              <w:spacing w:after="0" w:line="257" w:lineRule="auto"/>
            </w:pPr>
            <w:r>
              <w:rPr>
                <w:sz w:val="18"/>
              </w:rPr>
              <w:t>Resolve mismatch before interpreting impact</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SNAPSHOT_​INVALID</w:t>
            </w:r>
          </w:p>
        </w:tc>
        <w:tc>
          <w:tcPr>
            <w:tcW w:type="dxa" w:w="3384"/>
            <w:vAlign w:val="center"/>
            <w:tcMar>
              <w:top w:w="90" w:type="dxa"/>
              <w:bottom w:w="90" w:type="dxa"/>
              <w:left w:w="90" w:type="dxa"/>
              <w:right w:w="90" w:type="dxa"/>
            </w:tcMar>
            <w:shd w:fill="F6F8FA"/>
          </w:tcPr>
          <w:p>
            <w:pPr>
              <w:spacing w:after="0" w:line="257" w:lineRule="auto"/>
            </w:pPr>
            <w:r>
              <w:rPr>
                <w:sz w:val="18"/>
              </w:rPr>
              <w:t>Data fails declared structural rules</w:t>
            </w:r>
          </w:p>
        </w:tc>
        <w:tc>
          <w:tcPr>
            <w:tcW w:type="dxa" w:w="4320"/>
            <w:vAlign w:val="center"/>
            <w:tcMar>
              <w:top w:w="90" w:type="dxa"/>
              <w:bottom w:w="90" w:type="dxa"/>
              <w:left w:w="90" w:type="dxa"/>
              <w:right w:w="90" w:type="dxa"/>
            </w:tcMar>
            <w:shd w:fill="F6F8FA"/>
          </w:tcPr>
          <w:p>
            <w:pPr>
              <w:spacing w:after="0" w:line="257" w:lineRule="auto"/>
            </w:pPr>
            <w:r>
              <w:rPr>
                <w:sz w:val="18"/>
              </w:rPr>
              <w:t>Inspect ingestion report</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UNDEFINED_​ENDPOINT</w:t>
            </w:r>
          </w:p>
        </w:tc>
        <w:tc>
          <w:tcPr>
            <w:tcW w:type="dxa" w:w="3384"/>
            <w:vAlign w:val="center"/>
            <w:tcMar>
              <w:top w:w="90" w:type="dxa"/>
              <w:bottom w:w="90" w:type="dxa"/>
              <w:left w:w="90" w:type="dxa"/>
              <w:right w:w="90" w:type="dxa"/>
            </w:tcMar>
            <w:shd w:fill="FFFFFF"/>
          </w:tcPr>
          <w:p>
            <w:pPr>
              <w:spacing w:after="0" w:line="257" w:lineRule="auto"/>
            </w:pPr>
            <w:r>
              <w:rPr>
                <w:sz w:val="18"/>
              </w:rPr>
              <w:t>An aggregate result is NULL or otherwise undefined</w:t>
            </w:r>
          </w:p>
        </w:tc>
        <w:tc>
          <w:tcPr>
            <w:tcW w:type="dxa" w:w="4320"/>
            <w:vAlign w:val="center"/>
            <w:tcMar>
              <w:top w:w="90" w:type="dxa"/>
              <w:bottom w:w="90" w:type="dxa"/>
              <w:left w:w="90" w:type="dxa"/>
              <w:right w:w="90" w:type="dxa"/>
            </w:tcMar>
            <w:shd w:fill="FFFFFF"/>
          </w:tcPr>
          <w:p>
            <w:pPr>
              <w:spacing w:after="0" w:line="257" w:lineRule="auto"/>
            </w:pPr>
            <w:r>
              <w:rPr>
                <w:sz w:val="18"/>
              </w:rPr>
              <w:t>Inspect empty population or missing terms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EXECUTION_​LIMIT</w:t>
            </w:r>
          </w:p>
        </w:tc>
        <w:tc>
          <w:tcPr>
            <w:tcW w:type="dxa" w:w="3384"/>
            <w:vAlign w:val="center"/>
            <w:tcMar>
              <w:top w:w="90" w:type="dxa"/>
              <w:bottom w:w="90" w:type="dxa"/>
              <w:left w:w="90" w:type="dxa"/>
              <w:right w:w="90" w:type="dxa"/>
            </w:tcMar>
            <w:shd w:fill="F6F8FA"/>
          </w:tcPr>
          <w:p>
            <w:pPr>
              <w:spacing w:after="0" w:line="257" w:lineRule="auto"/>
            </w:pPr>
            <w:r>
              <w:rPr>
                <w:sz w:val="18"/>
              </w:rPr>
              <w:t>Time, memory, disk or row output limit reached</w:t>
            </w:r>
          </w:p>
        </w:tc>
        <w:tc>
          <w:tcPr>
            <w:tcW w:type="dxa" w:w="4320"/>
            <w:vAlign w:val="center"/>
            <w:tcMar>
              <w:top w:w="90" w:type="dxa"/>
              <w:bottom w:w="90" w:type="dxa"/>
              <w:left w:w="90" w:type="dxa"/>
              <w:right w:w="90" w:type="dxa"/>
            </w:tcMar>
            <w:shd w:fill="F6F8FA"/>
          </w:tcPr>
          <w:p>
            <w:pPr>
              <w:spacing w:after="0" w:line="257" w:lineRule="auto"/>
            </w:pPr>
            <w:r>
              <w:rPr>
                <w:sz w:val="18"/>
              </w:rPr>
              <w:t>Narrow the case or revise configured limits</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RECONCILIATION_​MISMATCH</w:t>
            </w:r>
          </w:p>
        </w:tc>
        <w:tc>
          <w:tcPr>
            <w:tcW w:type="dxa" w:w="3384"/>
            <w:vAlign w:val="center"/>
            <w:tcMar>
              <w:top w:w="90" w:type="dxa"/>
              <w:bottom w:w="90" w:type="dxa"/>
              <w:left w:w="90" w:type="dxa"/>
              <w:right w:w="90" w:type="dxa"/>
            </w:tcMar>
            <w:shd w:fill="FFFFFF"/>
          </w:tcPr>
          <w:p>
            <w:pPr>
              <w:spacing w:after="0" w:line="257" w:lineRule="auto"/>
            </w:pPr>
            <w:r>
              <w:rPr>
                <w:sz w:val="18"/>
              </w:rPr>
              <w:t>An invariant failed</w:t>
            </w:r>
          </w:p>
        </w:tc>
        <w:tc>
          <w:tcPr>
            <w:tcW w:type="dxa" w:w="4320"/>
            <w:vAlign w:val="center"/>
            <w:tcMar>
              <w:top w:w="90" w:type="dxa"/>
              <w:bottom w:w="90" w:type="dxa"/>
              <w:left w:w="90" w:type="dxa"/>
              <w:right w:w="90" w:type="dxa"/>
            </w:tcMar>
            <w:shd w:fill="FFFFFF"/>
          </w:tcPr>
          <w:p>
            <w:pPr>
              <w:spacing w:after="0" w:line="257" w:lineRule="auto"/>
            </w:pPr>
            <w:r>
              <w:rPr>
                <w:sz w:val="18"/>
              </w:rPr>
              <w:t>Inspect evidence; report cannot claim full explanation</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STALE_​REVIEW</w:t>
            </w:r>
          </w:p>
        </w:tc>
        <w:tc>
          <w:tcPr>
            <w:tcW w:type="dxa" w:w="3384"/>
            <w:vAlign w:val="center"/>
            <w:tcMar>
              <w:top w:w="90" w:type="dxa"/>
              <w:bottom w:w="90" w:type="dxa"/>
              <w:left w:w="90" w:type="dxa"/>
              <w:right w:w="90" w:type="dxa"/>
            </w:tcMar>
            <w:shd w:fill="F6F8FA"/>
          </w:tcPr>
          <w:p>
            <w:pPr>
              <w:spacing w:after="0" w:line="257" w:lineRule="auto"/>
            </w:pPr>
            <w:r>
              <w:rPr>
                <w:sz w:val="18"/>
              </w:rPr>
              <w:t>Baseline changed since the review was opened</w:t>
            </w:r>
          </w:p>
        </w:tc>
        <w:tc>
          <w:tcPr>
            <w:tcW w:type="dxa" w:w="4320"/>
            <w:vAlign w:val="center"/>
            <w:tcMar>
              <w:top w:w="90" w:type="dxa"/>
              <w:bottom w:w="90" w:type="dxa"/>
              <w:left w:w="90" w:type="dxa"/>
              <w:right w:w="90" w:type="dxa"/>
            </w:tcMar>
            <w:shd w:fill="F6F8FA"/>
          </w:tcPr>
          <w:p>
            <w:pPr>
              <w:spacing w:after="0" w:line="257" w:lineRule="auto"/>
            </w:pPr>
            <w:r>
              <w:rPr>
                <w:sz w:val="18"/>
              </w:rPr>
              <w:t>Reload and review the current state</w:t>
            </w:r>
          </w:p>
        </w:tc>
      </w:tr>
    </w:tbl>
    <w:p>
      <w:pPr>
        <w:spacing w:after="20"/>
      </w:pPr>
    </w:p>
    <w:p>
      <w:r>
        <w:t>Use HTTP 400 for malformed requests, 413 for size violations, 422 for typed semantic validation failures, 404 for unavailable objects and 409 for idempotency or version conflicts. A queued job can later fail with a structured domain error without turning its status endpoint into an HTTP server failure.</w:t>
      </w:r>
    </w:p>
    <w:p>
      <w:pPr>
        <w:pStyle w:val="Heading1"/>
      </w:pPr>
      <w:r>
        <w:t>7 Security and operational requirements</w:t>
      </w:r>
    </w:p>
    <w:p>
      <w:pPr>
        <w:pStyle w:val="Heading2"/>
      </w:pPr>
      <w:r>
        <w:t>Trust boundaries</w:t>
      </w:r>
    </w:p>
    <w:p>
      <w:r>
        <w:t>The MVP is a local single-user application for imported extracts and synthetic demonstrations. Uploaded files, SQL, descriptions, filenames and any future model output are untrusted inputs. The API, parser, supervisor and runner image are trusted application components. The runner receives no production credentials and has no network access.</w:t>
      </w:r>
    </w:p>
    <w:p>
      <w:r>
        <w:t>Do not rely on a SELECT-only string check. A SELECT can call functions that read files or perform expensive work. Enforce a typed allowlist across the whole parsed structure, registered table references and approved expressions, then regenerate executable SQL from the IR. Bind period values separately and quote validated identifiers through the SQL library.</w:t>
      </w:r>
    </w:p>
    <w:p>
      <w:r>
        <w:t>DuckDB settings can reduce capabilities but are not a complete sandbox [S8]. Apply external-access restrictions, disable extension installation and autoloading, lock configuration after setup, and open the prepared database read-only. Also restrict the process at the container and host level. Do not claim read-only access alone prevents file reads or resource exhaustion.</w:t>
      </w:r>
    </w:p>
    <w:p>
      <w:pPr>
        <w:pStyle w:val="Heading2"/>
      </w:pPr>
      <w:r>
        <w:t>Initial limits</w:t>
      </w:r>
    </w:p>
    <w:p>
      <w:r>
        <w:t>These are proposed conservative defaults to validate during the engineering spike. They are not measured scale claims.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384"/>
        <w:gridCol w:w="4320"/>
      </w:tblGrid>
      <w:tr>
        <w:trPr>
          <w:cantSplit/>
          <w:tblHeader/>
        </w:trPr>
        <w:tc>
          <w:tcPr>
            <w:tcW w:type="dxa" w:w="2520"/>
            <w:vAlign w:val="center"/>
            <w:tcMar>
              <w:top w:w="90" w:type="dxa"/>
              <w:bottom w:w="90" w:type="dxa"/>
              <w:left w:w="90" w:type="dxa"/>
              <w:right w:w="90" w:type="dxa"/>
            </w:tcMar>
            <w:shd w:fill="DBE5ED"/>
          </w:tcPr>
          <w:p>
            <w:pPr>
              <w:spacing w:after="0" w:line="257" w:lineRule="auto"/>
            </w:pPr>
            <w:r>
              <w:rPr>
                <w:b/>
                <w:color w:val="000000"/>
                <w:sz w:val="18"/>
              </w:rPr>
              <w:t>Resource</w:t>
            </w:r>
          </w:p>
        </w:tc>
        <w:tc>
          <w:tcPr>
            <w:tcW w:type="dxa" w:w="3384"/>
            <w:vAlign w:val="center"/>
            <w:tcMar>
              <w:top w:w="90" w:type="dxa"/>
              <w:bottom w:w="90" w:type="dxa"/>
              <w:left w:w="90" w:type="dxa"/>
              <w:right w:w="90" w:type="dxa"/>
            </w:tcMar>
            <w:shd w:fill="DBE5ED"/>
          </w:tcPr>
          <w:p>
            <w:pPr>
              <w:spacing w:after="0" w:line="257" w:lineRule="auto"/>
            </w:pPr>
            <w:r>
              <w:rPr>
                <w:b/>
                <w:color w:val="000000"/>
                <w:sz w:val="18"/>
              </w:rPr>
              <w:t>Proposed initial limit</w:t>
            </w:r>
          </w:p>
        </w:tc>
        <w:tc>
          <w:tcPr>
            <w:tcW w:type="dxa" w:w="4320"/>
            <w:vAlign w:val="center"/>
            <w:tcMar>
              <w:top w:w="90" w:type="dxa"/>
              <w:bottom w:w="90" w:type="dxa"/>
              <w:left w:w="90" w:type="dxa"/>
              <w:right w:w="90" w:type="dxa"/>
            </w:tcMar>
            <w:shd w:fill="DBE5ED"/>
          </w:tcPr>
          <w:p>
            <w:pPr>
              <w:spacing w:after="0" w:line="257" w:lineRule="auto"/>
            </w:pPr>
            <w:r>
              <w:rPr>
                <w:b/>
                <w:color w:val="000000"/>
                <w:sz w:val="18"/>
              </w:rPr>
              <w:t>Failure behavior</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Uploaded analytical file</w:t>
            </w:r>
          </w:p>
        </w:tc>
        <w:tc>
          <w:tcPr>
            <w:tcW w:type="dxa" w:w="3384"/>
            <w:vAlign w:val="center"/>
            <w:tcMar>
              <w:top w:w="90" w:type="dxa"/>
              <w:bottom w:w="90" w:type="dxa"/>
              <w:left w:w="90" w:type="dxa"/>
              <w:right w:w="90" w:type="dxa"/>
            </w:tcMar>
            <w:shd w:fill="FFFFFF"/>
          </w:tcPr>
          <w:p>
            <w:pPr>
              <w:spacing w:after="0" w:line="257" w:lineRule="auto"/>
            </w:pPr>
            <w:r>
              <w:rPr>
                <w:sz w:val="18"/>
              </w:rPr>
              <w:t>25 MiB</w:t>
            </w:r>
          </w:p>
        </w:tc>
        <w:tc>
          <w:tcPr>
            <w:tcW w:type="dxa" w:w="4320"/>
            <w:vAlign w:val="center"/>
            <w:tcMar>
              <w:top w:w="90" w:type="dxa"/>
              <w:bottom w:w="90" w:type="dxa"/>
              <w:left w:w="90" w:type="dxa"/>
              <w:right w:w="90" w:type="dxa"/>
            </w:tcMar>
            <w:shd w:fill="FFFFFF"/>
          </w:tcPr>
          <w:p>
            <w:pPr>
              <w:spacing w:after="0" w:line="257" w:lineRule="auto"/>
            </w:pPr>
            <w:r>
              <w:rPr>
                <w:sz w:val="18"/>
              </w:rPr>
              <w:t>Reject before ingestion; explain the configured limit</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Imported definitions per project</w:t>
            </w:r>
          </w:p>
        </w:tc>
        <w:tc>
          <w:tcPr>
            <w:tcW w:type="dxa" w:w="3384"/>
            <w:vAlign w:val="center"/>
            <w:tcMar>
              <w:top w:w="90" w:type="dxa"/>
              <w:bottom w:w="90" w:type="dxa"/>
              <w:left w:w="90" w:type="dxa"/>
              <w:right w:w="90" w:type="dxa"/>
            </w:tcMar>
            <w:shd w:fill="F6F8FA"/>
          </w:tcPr>
          <w:p>
            <w:pPr>
              <w:spacing w:after="0" w:line="257" w:lineRule="auto"/>
            </w:pPr>
            <w:r>
              <w:rPr>
                <w:sz w:val="18"/>
              </w:rPr>
              <w:t>100</w:t>
            </w:r>
          </w:p>
        </w:tc>
        <w:tc>
          <w:tcPr>
            <w:tcW w:type="dxa" w:w="4320"/>
            <w:vAlign w:val="center"/>
            <w:tcMar>
              <w:top w:w="90" w:type="dxa"/>
              <w:bottom w:w="90" w:type="dxa"/>
              <w:left w:w="90" w:type="dxa"/>
              <w:right w:w="90" w:type="dxa"/>
            </w:tcMar>
            <w:shd w:fill="F6F8FA"/>
          </w:tcPr>
          <w:p>
            <w:pPr>
              <w:spacing w:after="0" w:line="257" w:lineRule="auto"/>
            </w:pPr>
            <w:r>
              <w:rPr>
                <w:sz w:val="18"/>
              </w:rPr>
              <w:t>Ask user to remove or split the import</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SQL definition length</w:t>
            </w:r>
          </w:p>
        </w:tc>
        <w:tc>
          <w:tcPr>
            <w:tcW w:type="dxa" w:w="3384"/>
            <w:vAlign w:val="center"/>
            <w:tcMar>
              <w:top w:w="90" w:type="dxa"/>
              <w:bottom w:w="90" w:type="dxa"/>
              <w:left w:w="90" w:type="dxa"/>
              <w:right w:w="90" w:type="dxa"/>
            </w:tcMar>
            <w:shd w:fill="FFFFFF"/>
          </w:tcPr>
          <w:p>
            <w:pPr>
              <w:spacing w:after="0" w:line="257" w:lineRule="auto"/>
            </w:pPr>
            <w:r>
              <w:rPr>
                <w:sz w:val="18"/>
              </w:rPr>
              <w:t>50000 characters</w:t>
            </w:r>
          </w:p>
        </w:tc>
        <w:tc>
          <w:tcPr>
            <w:tcW w:type="dxa" w:w="4320"/>
            <w:vAlign w:val="center"/>
            <w:tcMar>
              <w:top w:w="90" w:type="dxa"/>
              <w:bottom w:w="90" w:type="dxa"/>
              <w:left w:w="90" w:type="dxa"/>
              <w:right w:w="90" w:type="dxa"/>
            </w:tcMar>
            <w:shd w:fill="FFFFFF"/>
          </w:tcPr>
          <w:p>
            <w:pPr>
              <w:spacing w:after="0" w:line="257" w:lineRule="auto"/>
            </w:pPr>
            <w:r>
              <w:rPr>
                <w:sz w:val="18"/>
              </w:rPr>
              <w:t>Reject before parse</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Snapshot rows</w:t>
            </w:r>
          </w:p>
        </w:tc>
        <w:tc>
          <w:tcPr>
            <w:tcW w:type="dxa" w:w="3384"/>
            <w:vAlign w:val="center"/>
            <w:tcMar>
              <w:top w:w="90" w:type="dxa"/>
              <w:bottom w:w="90" w:type="dxa"/>
              <w:left w:w="90" w:type="dxa"/>
              <w:right w:w="90" w:type="dxa"/>
            </w:tcMar>
            <w:shd w:fill="F6F8FA"/>
          </w:tcPr>
          <w:p>
            <w:pPr>
              <w:spacing w:after="0" w:line="257" w:lineRule="auto"/>
            </w:pPr>
            <w:r>
              <w:rPr>
                <w:sz w:val="18"/>
              </w:rPr>
              <w:t>1000000</w:t>
            </w:r>
          </w:p>
        </w:tc>
        <w:tc>
          <w:tcPr>
            <w:tcW w:type="dxa" w:w="4320"/>
            <w:vAlign w:val="center"/>
            <w:tcMar>
              <w:top w:w="90" w:type="dxa"/>
              <w:bottom w:w="90" w:type="dxa"/>
              <w:left w:w="90" w:type="dxa"/>
              <w:right w:w="90" w:type="dxa"/>
            </w:tcMar>
            <w:shd w:fill="F6F8FA"/>
          </w:tcPr>
          <w:p>
            <w:pPr>
              <w:spacing w:after="0" w:line="257" w:lineRule="auto"/>
            </w:pPr>
            <w:r>
              <w:rPr>
                <w:sz w:val="18"/>
              </w:rPr>
              <w:t>Reject or request a smaller extract; no silent sampling</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Analytical concurrency</w:t>
            </w:r>
          </w:p>
        </w:tc>
        <w:tc>
          <w:tcPr>
            <w:tcW w:type="dxa" w:w="3384"/>
            <w:vAlign w:val="center"/>
            <w:tcMar>
              <w:top w:w="90" w:type="dxa"/>
              <w:bottom w:w="90" w:type="dxa"/>
              <w:left w:w="90" w:type="dxa"/>
              <w:right w:w="90" w:type="dxa"/>
            </w:tcMar>
            <w:shd w:fill="FFFFFF"/>
          </w:tcPr>
          <w:p>
            <w:pPr>
              <w:spacing w:after="0" w:line="257" w:lineRule="auto"/>
            </w:pPr>
            <w:r>
              <w:rPr>
                <w:sz w:val="18"/>
              </w:rPr>
              <w:t>One job</w:t>
            </w:r>
          </w:p>
        </w:tc>
        <w:tc>
          <w:tcPr>
            <w:tcW w:type="dxa" w:w="4320"/>
            <w:vAlign w:val="center"/>
            <w:tcMar>
              <w:top w:w="90" w:type="dxa"/>
              <w:bottom w:w="90" w:type="dxa"/>
              <w:left w:w="90" w:type="dxa"/>
              <w:right w:w="90" w:type="dxa"/>
            </w:tcMar>
            <w:shd w:fill="FFFFFF"/>
          </w:tcPr>
          <w:p>
            <w:pPr>
              <w:spacing w:after="0" w:line="257" w:lineRule="auto"/>
            </w:pPr>
            <w:r>
              <w:rPr>
                <w:sz w:val="18"/>
              </w:rPr>
              <w:t>Queue additional jobs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Per-query wall time</w:t>
            </w:r>
          </w:p>
        </w:tc>
        <w:tc>
          <w:tcPr>
            <w:tcW w:type="dxa" w:w="3384"/>
            <w:vAlign w:val="center"/>
            <w:tcMar>
              <w:top w:w="90" w:type="dxa"/>
              <w:bottom w:w="90" w:type="dxa"/>
              <w:left w:w="90" w:type="dxa"/>
              <w:right w:w="90" w:type="dxa"/>
            </w:tcMar>
            <w:shd w:fill="F6F8FA"/>
          </w:tcPr>
          <w:p>
            <w:pPr>
              <w:spacing w:after="0" w:line="257" w:lineRule="auto"/>
            </w:pPr>
            <w:r>
              <w:rPr>
                <w:sz w:val="18"/>
              </w:rPr>
              <w:t>15 seconds</w:t>
            </w:r>
          </w:p>
        </w:tc>
        <w:tc>
          <w:tcPr>
            <w:tcW w:type="dxa" w:w="4320"/>
            <w:vAlign w:val="center"/>
            <w:tcMar>
              <w:top w:w="90" w:type="dxa"/>
              <w:bottom w:w="90" w:type="dxa"/>
              <w:left w:w="90" w:type="dxa"/>
              <w:right w:w="90" w:type="dxa"/>
            </w:tcMar>
            <w:shd w:fill="F6F8FA"/>
          </w:tcPr>
          <w:p>
            <w:pPr>
              <w:spacing w:after="0" w:line="257" w:lineRule="auto"/>
            </w:pPr>
            <w:r>
              <w:rPr>
                <w:sz w:val="18"/>
              </w:rPr>
              <w:t>Terminate execution and mark partial or failed</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Total run wall time</w:t>
            </w:r>
          </w:p>
        </w:tc>
        <w:tc>
          <w:tcPr>
            <w:tcW w:type="dxa" w:w="3384"/>
            <w:vAlign w:val="center"/>
            <w:tcMar>
              <w:top w:w="90" w:type="dxa"/>
              <w:bottom w:w="90" w:type="dxa"/>
              <w:left w:w="90" w:type="dxa"/>
              <w:right w:w="90" w:type="dxa"/>
            </w:tcMar>
            <w:shd w:fill="FFFFFF"/>
          </w:tcPr>
          <w:p>
            <w:pPr>
              <w:spacing w:after="0" w:line="257" w:lineRule="auto"/>
            </w:pPr>
            <w:r>
              <w:rPr>
                <w:sz w:val="18"/>
              </w:rPr>
              <w:t>60 seconds</w:t>
            </w:r>
          </w:p>
        </w:tc>
        <w:tc>
          <w:tcPr>
            <w:tcW w:type="dxa" w:w="4320"/>
            <w:vAlign w:val="center"/>
            <w:tcMar>
              <w:top w:w="90" w:type="dxa"/>
              <w:bottom w:w="90" w:type="dxa"/>
              <w:left w:w="90" w:type="dxa"/>
              <w:right w:w="90" w:type="dxa"/>
            </w:tcMar>
            <w:shd w:fill="FFFFFF"/>
          </w:tcPr>
          <w:p>
            <w:pPr>
              <w:spacing w:after="0" w:line="257" w:lineRule="auto"/>
            </w:pPr>
            <w:r>
              <w:rPr>
                <w:sz w:val="18"/>
              </w:rPr>
              <w:t>Stop remaining work and preserve honest status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Runner memory</w:t>
            </w:r>
          </w:p>
        </w:tc>
        <w:tc>
          <w:tcPr>
            <w:tcW w:type="dxa" w:w="3384"/>
            <w:vAlign w:val="center"/>
            <w:tcMar>
              <w:top w:w="90" w:type="dxa"/>
              <w:bottom w:w="90" w:type="dxa"/>
              <w:left w:w="90" w:type="dxa"/>
              <w:right w:w="90" w:type="dxa"/>
            </w:tcMar>
            <w:shd w:fill="F6F8FA"/>
          </w:tcPr>
          <w:p>
            <w:pPr>
              <w:spacing w:after="0" w:line="257" w:lineRule="auto"/>
            </w:pPr>
            <w:r>
              <w:rPr>
                <w:sz w:val="18"/>
              </w:rPr>
              <w:t>512 MiB DuckDB target within a 1 GiB container limit</w:t>
            </w:r>
          </w:p>
        </w:tc>
        <w:tc>
          <w:tcPr>
            <w:tcW w:type="dxa" w:w="4320"/>
            <w:vAlign w:val="center"/>
            <w:tcMar>
              <w:top w:w="90" w:type="dxa"/>
              <w:bottom w:w="90" w:type="dxa"/>
              <w:left w:w="90" w:type="dxa"/>
              <w:right w:w="90" w:type="dxa"/>
            </w:tcMar>
            <w:shd w:fill="F6F8FA"/>
          </w:tcPr>
          <w:p>
            <w:pPr>
              <w:spacing w:after="0" w:line="257" w:lineRule="auto"/>
            </w:pPr>
            <w:r>
              <w:rPr>
                <w:sz w:val="18"/>
              </w:rPr>
              <w:t>Terminate on hard limit; avoid claiming engine limit covers all memory</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Output rows displayed</w:t>
            </w:r>
          </w:p>
        </w:tc>
        <w:tc>
          <w:tcPr>
            <w:tcW w:type="dxa" w:w="3384"/>
            <w:vAlign w:val="center"/>
            <w:tcMar>
              <w:top w:w="90" w:type="dxa"/>
              <w:bottom w:w="90" w:type="dxa"/>
              <w:left w:w="90" w:type="dxa"/>
              <w:right w:w="90" w:type="dxa"/>
            </w:tcMar>
            <w:shd w:fill="FFFFFF"/>
          </w:tcPr>
          <w:p>
            <w:pPr>
              <w:spacing w:after="0" w:line="257" w:lineRule="auto"/>
            </w:pPr>
            <w:r>
              <w:rPr>
                <w:sz w:val="18"/>
              </w:rPr>
              <w:t>100 per page</w:t>
            </w:r>
          </w:p>
        </w:tc>
        <w:tc>
          <w:tcPr>
            <w:tcW w:type="dxa" w:w="4320"/>
            <w:vAlign w:val="center"/>
            <w:tcMar>
              <w:top w:w="90" w:type="dxa"/>
              <w:bottom w:w="90" w:type="dxa"/>
              <w:left w:w="90" w:type="dxa"/>
              <w:right w:w="90" w:type="dxa"/>
            </w:tcMar>
            <w:shd w:fill="FFFFFF"/>
          </w:tcPr>
          <w:p>
            <w:pPr>
              <w:spacing w:after="0" w:line="257" w:lineRule="auto"/>
            </w:pPr>
            <w:r>
              <w:rPr>
                <w:sz w:val="18"/>
              </w:rPr>
              <w:t>Cursor pagination</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Evidence export size</w:t>
            </w:r>
          </w:p>
        </w:tc>
        <w:tc>
          <w:tcPr>
            <w:tcW w:type="dxa" w:w="3384"/>
            <w:vAlign w:val="center"/>
            <w:tcMar>
              <w:top w:w="90" w:type="dxa"/>
              <w:bottom w:w="90" w:type="dxa"/>
              <w:left w:w="90" w:type="dxa"/>
              <w:right w:w="90" w:type="dxa"/>
            </w:tcMar>
            <w:shd w:fill="F6F8FA"/>
          </w:tcPr>
          <w:p>
            <w:pPr>
              <w:spacing w:after="0" w:line="257" w:lineRule="auto"/>
            </w:pPr>
            <w:r>
              <w:rPr>
                <w:sz w:val="18"/>
              </w:rPr>
              <w:t>100000 rows or 25 MiB</w:t>
            </w:r>
          </w:p>
        </w:tc>
        <w:tc>
          <w:tcPr>
            <w:tcW w:type="dxa" w:w="4320"/>
            <w:vAlign w:val="center"/>
            <w:tcMar>
              <w:top w:w="90" w:type="dxa"/>
              <w:bottom w:w="90" w:type="dxa"/>
              <w:left w:w="90" w:type="dxa"/>
              <w:right w:w="90" w:type="dxa"/>
            </w:tcMar>
            <w:shd w:fill="F6F8FA"/>
          </w:tcPr>
          <w:p>
            <w:pPr>
              <w:spacing w:after="0" w:line="257" w:lineRule="auto"/>
            </w:pPr>
            <w:r>
              <w:rPr>
                <w:sz w:val="18"/>
              </w:rPr>
              <w:t>Offer aggregate evidence and mark full-row export limited</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Rule groups in ordered bridge</w:t>
            </w:r>
          </w:p>
        </w:tc>
        <w:tc>
          <w:tcPr>
            <w:tcW w:type="dxa" w:w="3384"/>
            <w:vAlign w:val="center"/>
            <w:tcMar>
              <w:top w:w="90" w:type="dxa"/>
              <w:bottom w:w="90" w:type="dxa"/>
              <w:left w:w="90" w:type="dxa"/>
              <w:right w:w="90" w:type="dxa"/>
            </w:tcMar>
            <w:shd w:fill="FFFFFF"/>
          </w:tcPr>
          <w:p>
            <w:pPr>
              <w:spacing w:after="0" w:line="257" w:lineRule="auto"/>
            </w:pPr>
            <w:r>
              <w:rPr>
                <w:sz w:val="18"/>
              </w:rPr>
              <w:t>Five</w:t>
            </w:r>
          </w:p>
        </w:tc>
        <w:tc>
          <w:tcPr>
            <w:tcW w:type="dxa" w:w="4320"/>
            <w:vAlign w:val="center"/>
            <w:tcMar>
              <w:top w:w="90" w:type="dxa"/>
              <w:bottom w:w="90" w:type="dxa"/>
              <w:left w:w="90" w:type="dxa"/>
              <w:right w:w="90" w:type="dxa"/>
            </w:tcMar>
            <w:shd w:fill="FFFFFF"/>
          </w:tcPr>
          <w:p>
            <w:pPr>
              <w:spacing w:after="0" w:line="257" w:lineRule="auto"/>
            </w:pPr>
            <w:r>
              <w:rPr>
                <w:sz w:val="18"/>
              </w:rPr>
              <w:t>Decline more complex attribution for MVP</w:t>
            </w:r>
          </w:p>
        </w:tc>
      </w:tr>
    </w:tbl>
    <w:p>
      <w:pPr>
        <w:spacing w:after="20"/>
      </w:pPr>
    </w:p>
    <w:p>
      <w:r>
        <w:t>The normal performance target of 30 seconds applies to the standard 100000-row fixture under the named development hardware. The larger accepted maximum is a hard admission limit, not a promise of the same latency. Record query count and total runtime so expensive decompositions remain visible.</w:t>
      </w:r>
    </w:p>
    <w:p>
      <w:pPr>
        <w:pStyle w:val="Heading2"/>
      </w:pPr>
      <w:r>
        <w:t>File and runner controls</w:t>
      </w:r>
    </w:p>
    <w:p>
      <w:r>
        <w:t>Use generated filenames and a managed root, not user-supplied paths. Check MIME and extension against actual parser behavior. Reject archive uploads initially to avoid path traversal and decompression complexity. CSV and Parquet readers need type, size and structural validation. Malformed files should be isolated during ingestion just like queries during execution.</w:t>
      </w:r>
    </w:p>
    <w:p>
      <w:r>
        <w:t>Run the fixed analytical image as a non-root user with a read-only root filesystem, dropped capabilities, a bounded temporary directory, process and CPU limits, and no network. Mount only that job's snapshot read-only and a dedicated output directory with a quota or equivalent host-enforced bound. The supervisor must validate result size and schema before reading it into application memory.</w:t>
      </w:r>
    </w:p>
    <w:p>
      <w:r>
        <w:t>The local supervisor can use container launch privileges but has no remotely exposed arbitrary-command interface. Its launch template, image digest and mount roots are application-controlled. If this isolation cannot be reliably provided on the development machine, use the precomputed demo mode until the runner is fixed; do not quietly run uploaded SQL in the API process.</w:t>
      </w:r>
    </w:p>
    <w:p>
      <w:pPr>
        <w:pStyle w:val="Heading2"/>
      </w:pPr>
      <w:r>
        <w:t>Data minimization and exports</w:t>
      </w:r>
    </w:p>
    <w:p>
      <w:r>
        <w:t>Use synthetic order and customer IDs for the portfolio. Real names, emails and payment details are unnecessary for reconciliation. Row evidence defaults to IDs, membership flags and numerical contributions. An explicit user choice is required before adding other columns to an evidence export.</w:t>
      </w:r>
    </w:p>
    <w:p>
      <w:r>
        <w:t>Do not send source records or SQL literals to an AI provider in the MVP. If an optional metadata matcher is later enabled, document what fields leave the machine and provide an offline alternative. Descriptions and comments remain data even when they contain instructions addressed to a model.</w:t>
      </w:r>
    </w:p>
    <w:p>
      <w:r>
        <w:t>Escape HTML in displayed source text and reports. Make spreadsheet-compatible CSV exports safe from formula injection by treating untrusted text beginning with formula characters as text. Keep the exact machine-readable evidence separately so display escaping does not change underlying values.</w:t>
      </w:r>
    </w:p>
    <w:p>
      <w:pPr>
        <w:pStyle w:val="Heading2"/>
      </w:pPr>
      <w:r>
        <w:t>Authentication and review</w:t>
      </w:r>
    </w:p>
    <w:p>
      <w:r>
        <w:t>The local version uses a self-declared owner label and loopback-only access. It should say Recorded locally instead of Authenticated approval. Before a network-accessible private pilot, add identity, project-level authorization on every object, protection against cross-project references, secure sessions and download authorization.</w:t>
      </w:r>
    </w:p>
    <w:p>
      <w:r>
        <w:t>Reader, analyst and owner roles are a later deployment concern. Readers can view approved evidence, analysts can import and investigate, owners can record scoped baselines. Do not invent an enterprise compliance badge or claim an audit log is tamper-proof; the local database administrator can modify it.</w:t>
      </w:r>
    </w:p>
    <w:p>
      <w:pPr>
        <w:pStyle w:val="Heading2"/>
      </w:pPr>
      <w:r>
        <w:t>Retention and recovery</w:t>
      </w:r>
    </w:p>
    <w:p>
      <w:r>
        <w:t>Default local retention can preserve snapshots and evidence until the project owner deletes them. Show disk usage and allow deleting a project or snapshot with clear dependent-run consequences. A private pilot should define a stated retention period with its users rather than inherit unlimited retention accidentally.</w:t>
      </w:r>
    </w:p>
    <w:p>
      <w:r>
        <w:t>Back up metadata and artifact files together with a manifest of hashes. Test one restore before using real pilot data. A database-only backup cannot reproduce runs whose snapshots were lost. Clean abandoned temporary run directories after a defined interval while retaining accepted result artifacts.</w:t>
      </w:r>
    </w:p>
    <w:p>
      <w:pPr>
        <w:pStyle w:val="Heading2"/>
      </w:pPr>
      <w:r>
        <w:t>Operational runbook</w:t>
      </w:r>
    </w:p>
    <w:p>
      <w:r>
        <w:t>For a stuck job, inspect the worker heartbeat and lease, terminate the expired runner if it still exists, and requeue only through an explicit new attempt. For a corrupted snapshot, block new runs and ask for reimport; preserve existing reports with an integrity warning. For a parser upgrade, rerun the regression corpus before changing the policy version used for new analyses.</w:t>
      </w:r>
    </w:p>
    <w:p>
      <w:r>
        <w:t>Monitor run states, failure codes, parse coverage, context-blocked cases, queue wait, execution time, output size and reconciliation failures. Avoid raw-data logging. A successful API health check says nothing about whether the analytical runner can complete a job, so include a bounded synthetic health fixture in operational checks when needed.</w:t>
      </w:r>
    </w:p>
    <w:p>
      <w:pPr>
        <w:pStyle w:val="Heading1"/>
      </w:pPr>
      <w:r>
        <w:t>8 Demo data and evaluation plan</w:t>
      </w:r>
    </w:p>
    <w:p>
      <w:pPr>
        <w:pStyle w:val="Heading2"/>
      </w:pPr>
      <w:r>
        <w:t>Dataset design</w:t>
      </w:r>
    </w:p>
    <w:p>
      <w:r>
        <w:t>Use an invented online retailer and a documented order-level dataset. The eight-row golden fixture below establishes the worked example by hand. A separate seeded generator can later create 100000 orders over twelve months for performance and history demonstrations. Synthetic scale data must not replace edge cases or independent expected results.</w:t>
      </w:r>
    </w:p>
    <w:p>
      <w:r>
        <w:t xml:space="preserve">The golden fixture is stored as </w:t>
      </w:r>
      <w:r>
        <w:rPr>
          <w:rFonts w:ascii="DejaVu Sans Mono" w:hAnsi="DejaVu Sans Mono"/>
          <w:sz w:val="18"/>
        </w:rPr>
        <w:t>examples/orders_golden.csv</w:t>
      </w:r>
      <w:r>
        <w:t>. All amounts are INR. order_amount excludes tax and shipping. refund_amount is the total refund attached to that order as of the declared extraction cutoff, rather than a refund-event ledger. Dates are business dates in Asia/Kolkata. The August window is 1 August inclusive through 1 September exclusive. The extraction cutoff is 2 September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4"/>
        <w:gridCol w:w="1626"/>
        <w:gridCol w:w="1626"/>
        <w:gridCol w:w="1525"/>
        <w:gridCol w:w="1123"/>
        <w:gridCol w:w="1877"/>
        <w:gridCol w:w="1743"/>
      </w:tblGrid>
      <w:tr>
        <w:trPr>
          <w:cantSplit/>
          <w:tblHeader/>
        </w:trPr>
        <w:tc>
          <w:tcPr>
            <w:tcW w:type="dxa" w:w="704"/>
            <w:vAlign w:val="center"/>
            <w:tcMar>
              <w:top w:w="90" w:type="dxa"/>
              <w:bottom w:w="90" w:type="dxa"/>
              <w:left w:w="90" w:type="dxa"/>
              <w:right w:w="90" w:type="dxa"/>
            </w:tcMar>
            <w:shd w:fill="DBE5ED"/>
          </w:tcPr>
          <w:p>
            <w:pPr>
              <w:spacing w:after="0" w:line="257" w:lineRule="auto"/>
              <w:jc w:val="center"/>
            </w:pPr>
            <w:r>
              <w:rPr>
                <w:b/>
                <w:color w:val="000000"/>
                <w:sz w:val="18"/>
              </w:rPr>
              <w:t>ID</w:t>
            </w:r>
          </w:p>
        </w:tc>
        <w:tc>
          <w:tcPr>
            <w:tcW w:type="dxa" w:w="1626"/>
            <w:vAlign w:val="center"/>
            <w:tcMar>
              <w:top w:w="90" w:type="dxa"/>
              <w:bottom w:w="90" w:type="dxa"/>
              <w:left w:w="90" w:type="dxa"/>
              <w:right w:w="90" w:type="dxa"/>
            </w:tcMar>
            <w:shd w:fill="DBE5ED"/>
          </w:tcPr>
          <w:p>
            <w:pPr>
              <w:spacing w:after="0" w:line="257" w:lineRule="auto"/>
            </w:pPr>
            <w:r>
              <w:rPr>
                <w:b/>
                <w:color w:val="000000"/>
                <w:sz w:val="18"/>
              </w:rPr>
              <w:t>Order date</w:t>
            </w:r>
          </w:p>
        </w:tc>
        <w:tc>
          <w:tcPr>
            <w:tcW w:type="dxa" w:w="1626"/>
            <w:vAlign w:val="center"/>
            <w:tcMar>
              <w:top w:w="90" w:type="dxa"/>
              <w:bottom w:w="90" w:type="dxa"/>
              <w:left w:w="90" w:type="dxa"/>
              <w:right w:w="90" w:type="dxa"/>
            </w:tcMar>
            <w:shd w:fill="DBE5ED"/>
          </w:tcPr>
          <w:p>
            <w:pPr>
              <w:spacing w:after="0" w:line="257" w:lineRule="auto"/>
            </w:pPr>
            <w:r>
              <w:rPr>
                <w:b/>
                <w:color w:val="000000"/>
                <w:sz w:val="18"/>
              </w:rPr>
              <w:t>Payment date</w:t>
            </w:r>
          </w:p>
        </w:tc>
        <w:tc>
          <w:tcPr>
            <w:tcW w:type="dxa" w:w="1525"/>
            <w:vAlign w:val="center"/>
            <w:tcMar>
              <w:top w:w="90" w:type="dxa"/>
              <w:bottom w:w="90" w:type="dxa"/>
              <w:left w:w="90" w:type="dxa"/>
              <w:right w:w="90" w:type="dxa"/>
            </w:tcMar>
            <w:shd w:fill="DBE5ED"/>
          </w:tcPr>
          <w:p>
            <w:pPr>
              <w:spacing w:after="0" w:line="257" w:lineRule="auto"/>
            </w:pPr>
            <w:r>
              <w:rPr>
                <w:b/>
                <w:color w:val="000000"/>
                <w:sz w:val="18"/>
              </w:rPr>
              <w:t>Status</w:t>
            </w:r>
          </w:p>
        </w:tc>
        <w:tc>
          <w:tcPr>
            <w:tcW w:type="dxa" w:w="1123"/>
            <w:vAlign w:val="center"/>
            <w:tcMar>
              <w:top w:w="90" w:type="dxa"/>
              <w:bottom w:w="90" w:type="dxa"/>
              <w:left w:w="90" w:type="dxa"/>
              <w:right w:w="90" w:type="dxa"/>
            </w:tcMar>
            <w:shd w:fill="DBE5ED"/>
          </w:tcPr>
          <w:p>
            <w:pPr>
              <w:spacing w:after="0" w:line="257" w:lineRule="auto"/>
            </w:pPr>
            <w:r>
              <w:rPr>
                <w:b/>
                <w:color w:val="000000"/>
                <w:sz w:val="18"/>
              </w:rPr>
              <w:t>Payment</w:t>
            </w:r>
          </w:p>
        </w:tc>
        <w:tc>
          <w:tcPr>
            <w:tcW w:type="dxa" w:w="1877"/>
            <w:vAlign w:val="center"/>
            <w:tcMar>
              <w:top w:w="90" w:type="dxa"/>
              <w:bottom w:w="90" w:type="dxa"/>
              <w:left w:w="90" w:type="dxa"/>
              <w:right w:w="90" w:type="dxa"/>
            </w:tcMar>
            <w:shd w:fill="DBE5ED"/>
          </w:tcPr>
          <w:p>
            <w:pPr>
              <w:spacing w:after="0" w:line="257" w:lineRule="auto"/>
            </w:pPr>
            <w:r>
              <w:rPr>
                <w:b/>
                <w:color w:val="000000"/>
                <w:sz w:val="18"/>
              </w:rPr>
              <w:t>Amount INR</w:t>
            </w:r>
          </w:p>
        </w:tc>
        <w:tc>
          <w:tcPr>
            <w:tcW w:type="dxa" w:w="1743"/>
            <w:vAlign w:val="center"/>
            <w:tcMar>
              <w:top w:w="90" w:type="dxa"/>
              <w:bottom w:w="90" w:type="dxa"/>
              <w:left w:w="90" w:type="dxa"/>
              <w:right w:w="90" w:type="dxa"/>
            </w:tcMar>
            <w:shd w:fill="DBE5ED"/>
          </w:tcPr>
          <w:p>
            <w:pPr>
              <w:spacing w:after="0" w:line="257" w:lineRule="auto"/>
            </w:pPr>
            <w:r>
              <w:rPr>
                <w:b/>
                <w:color w:val="000000"/>
                <w:sz w:val="18"/>
              </w:rPr>
              <w:t>Refund INR</w:t>
            </w:r>
          </w:p>
        </w:tc>
      </w:tr>
      <w:tr>
        <w:trPr>
          <w:cantSplit/>
        </w:trPr>
        <w:tc>
          <w:tcPr>
            <w:tcW w:type="dxa" w:w="704"/>
            <w:vAlign w:val="center"/>
            <w:tcMar>
              <w:top w:w="90" w:type="dxa"/>
              <w:bottom w:w="90" w:type="dxa"/>
              <w:left w:w="90" w:type="dxa"/>
              <w:right w:w="90" w:type="dxa"/>
            </w:tcMar>
            <w:shd w:fill="FFFFFF"/>
          </w:tcPr>
          <w:p>
            <w:pPr>
              <w:spacing w:after="0" w:line="257" w:lineRule="auto"/>
              <w:jc w:val="center"/>
            </w:pPr>
            <w:r>
              <w:rPr>
                <w:sz w:val="18"/>
              </w:rPr>
              <w:t>O01</w:t>
            </w:r>
          </w:p>
        </w:tc>
        <w:tc>
          <w:tcPr>
            <w:tcW w:type="dxa" w:w="1626"/>
            <w:vAlign w:val="center"/>
            <w:tcMar>
              <w:top w:w="90" w:type="dxa"/>
              <w:bottom w:w="90" w:type="dxa"/>
              <w:left w:w="90" w:type="dxa"/>
              <w:right w:w="90" w:type="dxa"/>
            </w:tcMar>
            <w:shd w:fill="FFFFFF"/>
          </w:tcPr>
          <w:p>
            <w:pPr>
              <w:spacing w:after="0" w:line="257" w:lineRule="auto"/>
            </w:pPr>
            <w:r>
              <w:rPr>
                <w:sz w:val="18"/>
              </w:rPr>
              <w:t>2026-08-05</w:t>
            </w:r>
          </w:p>
        </w:tc>
        <w:tc>
          <w:tcPr>
            <w:tcW w:type="dxa" w:w="1626"/>
            <w:vAlign w:val="center"/>
            <w:tcMar>
              <w:top w:w="90" w:type="dxa"/>
              <w:bottom w:w="90" w:type="dxa"/>
              <w:left w:w="90" w:type="dxa"/>
              <w:right w:w="90" w:type="dxa"/>
            </w:tcMar>
            <w:shd w:fill="FFFFFF"/>
          </w:tcPr>
          <w:p>
            <w:pPr>
              <w:spacing w:after="0" w:line="257" w:lineRule="auto"/>
            </w:pPr>
            <w:r>
              <w:rPr>
                <w:sz w:val="18"/>
              </w:rPr>
              <w:t>2026-08-06</w:t>
            </w:r>
          </w:p>
        </w:tc>
        <w:tc>
          <w:tcPr>
            <w:tcW w:type="dxa" w:w="1525"/>
            <w:vAlign w:val="center"/>
            <w:tcMar>
              <w:top w:w="90" w:type="dxa"/>
              <w:bottom w:w="90" w:type="dxa"/>
              <w:left w:w="90" w:type="dxa"/>
              <w:right w:w="90" w:type="dxa"/>
            </w:tcMar>
            <w:shd w:fill="FFFFFF"/>
          </w:tcPr>
          <w:p>
            <w:pPr>
              <w:spacing w:after="0" w:line="257" w:lineRule="auto"/>
            </w:pPr>
            <w:r>
              <w:rPr>
                <w:sz w:val="18"/>
              </w:rPr>
              <w:t>Completed</w:t>
            </w:r>
          </w:p>
        </w:tc>
        <w:tc>
          <w:tcPr>
            <w:tcW w:type="dxa" w:w="1123"/>
            <w:vAlign w:val="center"/>
            <w:tcMar>
              <w:top w:w="90" w:type="dxa"/>
              <w:bottom w:w="90" w:type="dxa"/>
              <w:left w:w="90" w:type="dxa"/>
              <w:right w:w="90" w:type="dxa"/>
            </w:tcMar>
            <w:shd w:fill="FFFFFF"/>
          </w:tcPr>
          <w:p>
            <w:pPr>
              <w:spacing w:after="0" w:line="257" w:lineRule="auto"/>
            </w:pPr>
            <w:r>
              <w:rPr>
                <w:sz w:val="18"/>
              </w:rPr>
              <w:t>Paid</w:t>
            </w:r>
          </w:p>
        </w:tc>
        <w:tc>
          <w:tcPr>
            <w:tcW w:type="dxa" w:w="1877"/>
            <w:vAlign w:val="center"/>
            <w:tcMar>
              <w:top w:w="90" w:type="dxa"/>
              <w:bottom w:w="90" w:type="dxa"/>
              <w:left w:w="90" w:type="dxa"/>
              <w:right w:w="90" w:type="dxa"/>
            </w:tcMar>
            <w:shd w:fill="FFFFFF"/>
          </w:tcPr>
          <w:p>
            <w:pPr>
              <w:spacing w:after="0" w:line="257" w:lineRule="auto"/>
            </w:pPr>
            <w:r>
              <w:rPr>
                <w:sz w:val="18"/>
              </w:rPr>
              <w:t>60000000</w:t>
            </w:r>
          </w:p>
        </w:tc>
        <w:tc>
          <w:tcPr>
            <w:tcW w:type="dxa" w:w="1743"/>
            <w:vAlign w:val="center"/>
            <w:tcMar>
              <w:top w:w="90" w:type="dxa"/>
              <w:bottom w:w="90" w:type="dxa"/>
              <w:left w:w="90" w:type="dxa"/>
              <w:right w:w="90" w:type="dxa"/>
            </w:tcMar>
            <w:shd w:fill="FFFFFF"/>
          </w:tcPr>
          <w:p>
            <w:pPr>
              <w:spacing w:after="0" w:line="257" w:lineRule="auto"/>
            </w:pPr>
            <w:r>
              <w:rPr>
                <w:sz w:val="18"/>
              </w:rPr>
              <w:t>2400000</w:t>
            </w:r>
          </w:p>
        </w:tc>
      </w:tr>
      <w:tr>
        <w:trPr>
          <w:cantSplit/>
        </w:trPr>
        <w:tc>
          <w:tcPr>
            <w:tcW w:type="dxa" w:w="704"/>
            <w:vAlign w:val="center"/>
            <w:tcMar>
              <w:top w:w="90" w:type="dxa"/>
              <w:bottom w:w="90" w:type="dxa"/>
              <w:left w:w="90" w:type="dxa"/>
              <w:right w:w="90" w:type="dxa"/>
            </w:tcMar>
            <w:shd w:fill="F6F8FA"/>
          </w:tcPr>
          <w:p>
            <w:pPr>
              <w:spacing w:after="0" w:line="257" w:lineRule="auto"/>
              <w:jc w:val="center"/>
            </w:pPr>
            <w:r>
              <w:rPr>
                <w:sz w:val="18"/>
              </w:rPr>
              <w:t>O02</w:t>
            </w:r>
          </w:p>
        </w:tc>
        <w:tc>
          <w:tcPr>
            <w:tcW w:type="dxa" w:w="1626"/>
            <w:vAlign w:val="center"/>
            <w:tcMar>
              <w:top w:w="90" w:type="dxa"/>
              <w:bottom w:w="90" w:type="dxa"/>
              <w:left w:w="90" w:type="dxa"/>
              <w:right w:w="90" w:type="dxa"/>
            </w:tcMar>
            <w:shd w:fill="F6F8FA"/>
          </w:tcPr>
          <w:p>
            <w:pPr>
              <w:spacing w:after="0" w:line="257" w:lineRule="auto"/>
            </w:pPr>
            <w:r>
              <w:rPr>
                <w:sz w:val="18"/>
              </w:rPr>
              <w:t>2026-08-10</w:t>
            </w:r>
          </w:p>
        </w:tc>
        <w:tc>
          <w:tcPr>
            <w:tcW w:type="dxa" w:w="1626"/>
            <w:vAlign w:val="center"/>
            <w:tcMar>
              <w:top w:w="90" w:type="dxa"/>
              <w:bottom w:w="90" w:type="dxa"/>
              <w:left w:w="90" w:type="dxa"/>
              <w:right w:w="90" w:type="dxa"/>
            </w:tcMar>
            <w:shd w:fill="F6F8FA"/>
          </w:tcPr>
          <w:p>
            <w:pPr>
              <w:spacing w:after="0" w:line="257" w:lineRule="auto"/>
            </w:pPr>
            <w:r>
              <w:rPr>
                <w:sz w:val="18"/>
              </w:rPr>
              <w:t>2026-08-11</w:t>
            </w:r>
          </w:p>
        </w:tc>
        <w:tc>
          <w:tcPr>
            <w:tcW w:type="dxa" w:w="1525"/>
            <w:vAlign w:val="center"/>
            <w:tcMar>
              <w:top w:w="90" w:type="dxa"/>
              <w:bottom w:w="90" w:type="dxa"/>
              <w:left w:w="90" w:type="dxa"/>
              <w:right w:w="90" w:type="dxa"/>
            </w:tcMar>
            <w:shd w:fill="F6F8FA"/>
          </w:tcPr>
          <w:p>
            <w:pPr>
              <w:spacing w:after="0" w:line="257" w:lineRule="auto"/>
            </w:pPr>
            <w:r>
              <w:rPr>
                <w:sz w:val="18"/>
              </w:rPr>
              <w:t>Completed</w:t>
            </w:r>
          </w:p>
        </w:tc>
        <w:tc>
          <w:tcPr>
            <w:tcW w:type="dxa" w:w="1123"/>
            <w:vAlign w:val="center"/>
            <w:tcMar>
              <w:top w:w="90" w:type="dxa"/>
              <w:bottom w:w="90" w:type="dxa"/>
              <w:left w:w="90" w:type="dxa"/>
              <w:right w:w="90" w:type="dxa"/>
            </w:tcMar>
            <w:shd w:fill="F6F8FA"/>
          </w:tcPr>
          <w:p>
            <w:pPr>
              <w:spacing w:after="0" w:line="257" w:lineRule="auto"/>
            </w:pPr>
            <w:r>
              <w:rPr>
                <w:sz w:val="18"/>
              </w:rPr>
              <w:t>Paid</w:t>
            </w:r>
          </w:p>
        </w:tc>
        <w:tc>
          <w:tcPr>
            <w:tcW w:type="dxa" w:w="1877"/>
            <w:vAlign w:val="center"/>
            <w:tcMar>
              <w:top w:w="90" w:type="dxa"/>
              <w:bottom w:w="90" w:type="dxa"/>
              <w:left w:w="90" w:type="dxa"/>
              <w:right w:w="90" w:type="dxa"/>
            </w:tcMar>
            <w:shd w:fill="F6F8FA"/>
          </w:tcPr>
          <w:p>
            <w:pPr>
              <w:spacing w:after="0" w:line="257" w:lineRule="auto"/>
            </w:pPr>
            <w:r>
              <w:rPr>
                <w:sz w:val="18"/>
              </w:rPr>
              <w:t>40000000</w:t>
            </w:r>
          </w:p>
        </w:tc>
        <w:tc>
          <w:tcPr>
            <w:tcW w:type="dxa" w:w="1743"/>
            <w:vAlign w:val="center"/>
            <w:tcMar>
              <w:top w:w="90" w:type="dxa"/>
              <w:bottom w:w="90" w:type="dxa"/>
              <w:left w:w="90" w:type="dxa"/>
              <w:right w:w="90" w:type="dxa"/>
            </w:tcMar>
            <w:shd w:fill="F6F8FA"/>
          </w:tcPr>
          <w:p>
            <w:pPr>
              <w:spacing w:after="0" w:line="257" w:lineRule="auto"/>
            </w:pPr>
            <w:r>
              <w:rPr>
                <w:sz w:val="18"/>
              </w:rPr>
              <w:t>1920000</w:t>
            </w:r>
          </w:p>
        </w:tc>
      </w:tr>
      <w:tr>
        <w:trPr>
          <w:cantSplit/>
        </w:trPr>
        <w:tc>
          <w:tcPr>
            <w:tcW w:type="dxa" w:w="704"/>
            <w:vAlign w:val="center"/>
            <w:tcMar>
              <w:top w:w="90" w:type="dxa"/>
              <w:bottom w:w="90" w:type="dxa"/>
              <w:left w:w="90" w:type="dxa"/>
              <w:right w:w="90" w:type="dxa"/>
            </w:tcMar>
            <w:shd w:fill="FFFFFF"/>
          </w:tcPr>
          <w:p>
            <w:pPr>
              <w:spacing w:after="0" w:line="257" w:lineRule="auto"/>
              <w:jc w:val="center"/>
            </w:pPr>
            <w:r>
              <w:rPr>
                <w:sz w:val="18"/>
              </w:rPr>
              <w:t>O03</w:t>
            </w:r>
          </w:p>
        </w:tc>
        <w:tc>
          <w:tcPr>
            <w:tcW w:type="dxa" w:w="1626"/>
            <w:vAlign w:val="center"/>
            <w:tcMar>
              <w:top w:w="90" w:type="dxa"/>
              <w:bottom w:w="90" w:type="dxa"/>
              <w:left w:w="90" w:type="dxa"/>
              <w:right w:w="90" w:type="dxa"/>
            </w:tcMar>
            <w:shd w:fill="FFFFFF"/>
          </w:tcPr>
          <w:p>
            <w:pPr>
              <w:spacing w:after="0" w:line="257" w:lineRule="auto"/>
            </w:pPr>
            <w:r>
              <w:rPr>
                <w:sz w:val="18"/>
              </w:rPr>
              <w:t>2026-08-15</w:t>
            </w:r>
          </w:p>
        </w:tc>
        <w:tc>
          <w:tcPr>
            <w:tcW w:type="dxa" w:w="1626"/>
            <w:vAlign w:val="center"/>
            <w:tcMar>
              <w:top w:w="90" w:type="dxa"/>
              <w:bottom w:w="90" w:type="dxa"/>
              <w:left w:w="90" w:type="dxa"/>
              <w:right w:w="90" w:type="dxa"/>
            </w:tcMar>
            <w:shd w:fill="FFFFFF"/>
          </w:tcPr>
          <w:p>
            <w:pPr>
              <w:spacing w:after="0" w:line="257" w:lineRule="auto"/>
            </w:pPr>
            <w:r>
              <w:rPr>
                <w:sz w:val="18"/>
              </w:rPr>
              <w:t>2026-08-16</w:t>
            </w:r>
          </w:p>
        </w:tc>
        <w:tc>
          <w:tcPr>
            <w:tcW w:type="dxa" w:w="1525"/>
            <w:vAlign w:val="center"/>
            <w:tcMar>
              <w:top w:w="90" w:type="dxa"/>
              <w:bottom w:w="90" w:type="dxa"/>
              <w:left w:w="90" w:type="dxa"/>
              <w:right w:w="90" w:type="dxa"/>
            </w:tcMar>
            <w:shd w:fill="FFFFFF"/>
          </w:tcPr>
          <w:p>
            <w:pPr>
              <w:spacing w:after="0" w:line="257" w:lineRule="auto"/>
            </w:pPr>
            <w:r>
              <w:rPr>
                <w:sz w:val="18"/>
              </w:rPr>
              <w:t>Completed</w:t>
            </w:r>
          </w:p>
        </w:tc>
        <w:tc>
          <w:tcPr>
            <w:tcW w:type="dxa" w:w="1123"/>
            <w:vAlign w:val="center"/>
            <w:tcMar>
              <w:top w:w="90" w:type="dxa"/>
              <w:bottom w:w="90" w:type="dxa"/>
              <w:left w:w="90" w:type="dxa"/>
              <w:right w:w="90" w:type="dxa"/>
            </w:tcMar>
            <w:shd w:fill="FFFFFF"/>
          </w:tcPr>
          <w:p>
            <w:pPr>
              <w:spacing w:after="0" w:line="257" w:lineRule="auto"/>
            </w:pPr>
            <w:r>
              <w:rPr>
                <w:sz w:val="18"/>
              </w:rPr>
              <w:t>Paid</w:t>
            </w:r>
          </w:p>
        </w:tc>
        <w:tc>
          <w:tcPr>
            <w:tcW w:type="dxa" w:w="1877"/>
            <w:vAlign w:val="center"/>
            <w:tcMar>
              <w:top w:w="90" w:type="dxa"/>
              <w:bottom w:w="90" w:type="dxa"/>
              <w:left w:w="90" w:type="dxa"/>
              <w:right w:w="90" w:type="dxa"/>
            </w:tcMar>
            <w:shd w:fill="FFFFFF"/>
          </w:tcPr>
          <w:p>
            <w:pPr>
              <w:spacing w:after="0" w:line="257" w:lineRule="auto"/>
            </w:pPr>
            <w:r>
              <w:rPr>
                <w:sz w:val="18"/>
              </w:rPr>
              <w:t>2320000</w:t>
            </w:r>
          </w:p>
        </w:tc>
        <w:tc>
          <w:tcPr>
            <w:tcW w:type="dxa" w:w="1743"/>
            <w:vAlign w:val="center"/>
            <w:tcMar>
              <w:top w:w="90" w:type="dxa"/>
              <w:bottom w:w="90" w:type="dxa"/>
              <w:left w:w="90" w:type="dxa"/>
              <w:right w:w="90" w:type="dxa"/>
            </w:tcMar>
            <w:shd w:fill="FFFFFF"/>
          </w:tcPr>
          <w:p>
            <w:pPr>
              <w:spacing w:after="0" w:line="257" w:lineRule="auto"/>
            </w:pPr>
            <w:r>
              <w:rPr>
                <w:sz w:val="18"/>
              </w:rPr>
              <w:t>0</w:t>
            </w:r>
          </w:p>
        </w:tc>
      </w:tr>
      <w:tr>
        <w:trPr>
          <w:cantSplit/>
        </w:trPr>
        <w:tc>
          <w:tcPr>
            <w:tcW w:type="dxa" w:w="704"/>
            <w:vAlign w:val="center"/>
            <w:tcMar>
              <w:top w:w="90" w:type="dxa"/>
              <w:bottom w:w="90" w:type="dxa"/>
              <w:left w:w="90" w:type="dxa"/>
              <w:right w:w="90" w:type="dxa"/>
            </w:tcMar>
            <w:shd w:fill="F6F8FA"/>
          </w:tcPr>
          <w:p>
            <w:pPr>
              <w:spacing w:after="0" w:line="257" w:lineRule="auto"/>
              <w:jc w:val="center"/>
            </w:pPr>
            <w:r>
              <w:rPr>
                <w:sz w:val="18"/>
              </w:rPr>
              <w:t>O04</w:t>
            </w:r>
          </w:p>
        </w:tc>
        <w:tc>
          <w:tcPr>
            <w:tcW w:type="dxa" w:w="1626"/>
            <w:vAlign w:val="center"/>
            <w:tcMar>
              <w:top w:w="90" w:type="dxa"/>
              <w:bottom w:w="90" w:type="dxa"/>
              <w:left w:w="90" w:type="dxa"/>
              <w:right w:w="90" w:type="dxa"/>
            </w:tcMar>
            <w:shd w:fill="F6F8FA"/>
          </w:tcPr>
          <w:p>
            <w:pPr>
              <w:spacing w:after="0" w:line="257" w:lineRule="auto"/>
            </w:pPr>
            <w:r>
              <w:rPr>
                <w:sz w:val="18"/>
              </w:rPr>
              <w:t>2026-08-20</w:t>
            </w:r>
          </w:p>
        </w:tc>
        <w:tc>
          <w:tcPr>
            <w:tcW w:type="dxa" w:w="1626"/>
            <w:vAlign w:val="center"/>
            <w:tcMar>
              <w:top w:w="90" w:type="dxa"/>
              <w:bottom w:w="90" w:type="dxa"/>
              <w:left w:w="90" w:type="dxa"/>
              <w:right w:w="90" w:type="dxa"/>
            </w:tcMar>
            <w:shd w:fill="F6F8FA"/>
          </w:tcPr>
          <w:p>
            <w:pPr>
              <w:spacing w:after="0" w:line="257" w:lineRule="auto"/>
            </w:pPr>
            <w:r>
              <w:rPr>
                <w:sz w:val="18"/>
              </w:rPr>
              <w:t>NULL</w:t>
            </w:r>
          </w:p>
        </w:tc>
        <w:tc>
          <w:tcPr>
            <w:tcW w:type="dxa" w:w="1525"/>
            <w:vAlign w:val="center"/>
            <w:tcMar>
              <w:top w:w="90" w:type="dxa"/>
              <w:bottom w:w="90" w:type="dxa"/>
              <w:left w:w="90" w:type="dxa"/>
              <w:right w:w="90" w:type="dxa"/>
            </w:tcMar>
            <w:shd w:fill="F6F8FA"/>
          </w:tcPr>
          <w:p>
            <w:pPr>
              <w:spacing w:after="0" w:line="257" w:lineRule="auto"/>
            </w:pPr>
            <w:r>
              <w:rPr>
                <w:sz w:val="18"/>
              </w:rPr>
              <w:t>Completed</w:t>
            </w:r>
          </w:p>
        </w:tc>
        <w:tc>
          <w:tcPr>
            <w:tcW w:type="dxa" w:w="1123"/>
            <w:vAlign w:val="center"/>
            <w:tcMar>
              <w:top w:w="90" w:type="dxa"/>
              <w:bottom w:w="90" w:type="dxa"/>
              <w:left w:w="90" w:type="dxa"/>
              <w:right w:w="90" w:type="dxa"/>
            </w:tcMar>
            <w:shd w:fill="F6F8FA"/>
          </w:tcPr>
          <w:p>
            <w:pPr>
              <w:spacing w:after="0" w:line="257" w:lineRule="auto"/>
            </w:pPr>
            <w:r>
              <w:rPr>
                <w:sz w:val="18"/>
              </w:rPr>
              <w:t>Unpaid</w:t>
            </w:r>
          </w:p>
        </w:tc>
        <w:tc>
          <w:tcPr>
            <w:tcW w:type="dxa" w:w="1877"/>
            <w:vAlign w:val="center"/>
            <w:tcMar>
              <w:top w:w="90" w:type="dxa"/>
              <w:bottom w:w="90" w:type="dxa"/>
              <w:left w:w="90" w:type="dxa"/>
              <w:right w:w="90" w:type="dxa"/>
            </w:tcMar>
            <w:shd w:fill="F6F8FA"/>
          </w:tcPr>
          <w:p>
            <w:pPr>
              <w:spacing w:after="0" w:line="257" w:lineRule="auto"/>
            </w:pPr>
            <w:r>
              <w:rPr>
                <w:sz w:val="18"/>
              </w:rPr>
              <w:t>420000</w:t>
            </w:r>
          </w:p>
        </w:tc>
        <w:tc>
          <w:tcPr>
            <w:tcW w:type="dxa" w:w="1743"/>
            <w:vAlign w:val="center"/>
            <w:tcMar>
              <w:top w:w="90" w:type="dxa"/>
              <w:bottom w:w="90" w:type="dxa"/>
              <w:left w:w="90" w:type="dxa"/>
              <w:right w:w="90" w:type="dxa"/>
            </w:tcMar>
            <w:shd w:fill="F6F8FA"/>
          </w:tcPr>
          <w:p>
            <w:pPr>
              <w:spacing w:after="0" w:line="257" w:lineRule="auto"/>
            </w:pPr>
            <w:r>
              <w:rPr>
                <w:sz w:val="18"/>
              </w:rPr>
              <w:t>0</w:t>
            </w:r>
          </w:p>
        </w:tc>
      </w:tr>
      <w:tr>
        <w:trPr>
          <w:cantSplit/>
        </w:trPr>
        <w:tc>
          <w:tcPr>
            <w:tcW w:type="dxa" w:w="704"/>
            <w:vAlign w:val="center"/>
            <w:tcMar>
              <w:top w:w="90" w:type="dxa"/>
              <w:bottom w:w="90" w:type="dxa"/>
              <w:left w:w="90" w:type="dxa"/>
              <w:right w:w="90" w:type="dxa"/>
            </w:tcMar>
            <w:shd w:fill="FFFFFF"/>
          </w:tcPr>
          <w:p>
            <w:pPr>
              <w:spacing w:after="0" w:line="257" w:lineRule="auto"/>
              <w:jc w:val="center"/>
            </w:pPr>
            <w:r>
              <w:rPr>
                <w:sz w:val="18"/>
              </w:rPr>
              <w:t>O05</w:t>
            </w:r>
          </w:p>
        </w:tc>
        <w:tc>
          <w:tcPr>
            <w:tcW w:type="dxa" w:w="1626"/>
            <w:vAlign w:val="center"/>
            <w:tcMar>
              <w:top w:w="90" w:type="dxa"/>
              <w:bottom w:w="90" w:type="dxa"/>
              <w:left w:w="90" w:type="dxa"/>
              <w:right w:w="90" w:type="dxa"/>
            </w:tcMar>
            <w:shd w:fill="FFFFFF"/>
          </w:tcPr>
          <w:p>
            <w:pPr>
              <w:spacing w:after="0" w:line="257" w:lineRule="auto"/>
            </w:pPr>
            <w:r>
              <w:rPr>
                <w:sz w:val="18"/>
              </w:rPr>
              <w:t>2026-08-31</w:t>
            </w:r>
          </w:p>
        </w:tc>
        <w:tc>
          <w:tcPr>
            <w:tcW w:type="dxa" w:w="1626"/>
            <w:vAlign w:val="center"/>
            <w:tcMar>
              <w:top w:w="90" w:type="dxa"/>
              <w:bottom w:w="90" w:type="dxa"/>
              <w:left w:w="90" w:type="dxa"/>
              <w:right w:w="90" w:type="dxa"/>
            </w:tcMar>
            <w:shd w:fill="FFFFFF"/>
          </w:tcPr>
          <w:p>
            <w:pPr>
              <w:spacing w:after="0" w:line="257" w:lineRule="auto"/>
            </w:pPr>
            <w:r>
              <w:rPr>
                <w:sz w:val="18"/>
              </w:rPr>
              <w:t>2026-09-01</w:t>
            </w:r>
          </w:p>
        </w:tc>
        <w:tc>
          <w:tcPr>
            <w:tcW w:type="dxa" w:w="1525"/>
            <w:vAlign w:val="center"/>
            <w:tcMar>
              <w:top w:w="90" w:type="dxa"/>
              <w:bottom w:w="90" w:type="dxa"/>
              <w:left w:w="90" w:type="dxa"/>
              <w:right w:w="90" w:type="dxa"/>
            </w:tcMar>
            <w:shd w:fill="FFFFFF"/>
          </w:tcPr>
          <w:p>
            <w:pPr>
              <w:spacing w:after="0" w:line="257" w:lineRule="auto"/>
            </w:pPr>
            <w:r>
              <w:rPr>
                <w:sz w:val="18"/>
              </w:rPr>
              <w:t>Completed</w:t>
            </w:r>
          </w:p>
        </w:tc>
        <w:tc>
          <w:tcPr>
            <w:tcW w:type="dxa" w:w="1123"/>
            <w:vAlign w:val="center"/>
            <w:tcMar>
              <w:top w:w="90" w:type="dxa"/>
              <w:bottom w:w="90" w:type="dxa"/>
              <w:left w:w="90" w:type="dxa"/>
              <w:right w:w="90" w:type="dxa"/>
            </w:tcMar>
            <w:shd w:fill="FFFFFF"/>
          </w:tcPr>
          <w:p>
            <w:pPr>
              <w:spacing w:after="0" w:line="257" w:lineRule="auto"/>
            </w:pPr>
            <w:r>
              <w:rPr>
                <w:sz w:val="18"/>
              </w:rPr>
              <w:t>Paid</w:t>
            </w:r>
          </w:p>
        </w:tc>
        <w:tc>
          <w:tcPr>
            <w:tcW w:type="dxa" w:w="1877"/>
            <w:vAlign w:val="center"/>
            <w:tcMar>
              <w:top w:w="90" w:type="dxa"/>
              <w:bottom w:w="90" w:type="dxa"/>
              <w:left w:w="90" w:type="dxa"/>
              <w:right w:w="90" w:type="dxa"/>
            </w:tcMar>
            <w:shd w:fill="FFFFFF"/>
          </w:tcPr>
          <w:p>
            <w:pPr>
              <w:spacing w:after="0" w:line="257" w:lineRule="auto"/>
            </w:pPr>
            <w:r>
              <w:rPr>
                <w:sz w:val="18"/>
              </w:rPr>
              <w:t>1260000</w:t>
            </w:r>
          </w:p>
        </w:tc>
        <w:tc>
          <w:tcPr>
            <w:tcW w:type="dxa" w:w="1743"/>
            <w:vAlign w:val="center"/>
            <w:tcMar>
              <w:top w:w="90" w:type="dxa"/>
              <w:bottom w:w="90" w:type="dxa"/>
              <w:left w:w="90" w:type="dxa"/>
              <w:right w:w="90" w:type="dxa"/>
            </w:tcMar>
            <w:shd w:fill="FFFFFF"/>
          </w:tcPr>
          <w:p>
            <w:pPr>
              <w:spacing w:after="0" w:line="257" w:lineRule="auto"/>
            </w:pPr>
            <w:r>
              <w:rPr>
                <w:sz w:val="18"/>
              </w:rPr>
              <w:t>0</w:t>
            </w:r>
          </w:p>
        </w:tc>
      </w:tr>
      <w:tr>
        <w:trPr>
          <w:cantSplit/>
        </w:trPr>
        <w:tc>
          <w:tcPr>
            <w:tcW w:type="dxa" w:w="704"/>
            <w:vAlign w:val="center"/>
            <w:tcMar>
              <w:top w:w="90" w:type="dxa"/>
              <w:bottom w:w="90" w:type="dxa"/>
              <w:left w:w="90" w:type="dxa"/>
              <w:right w:w="90" w:type="dxa"/>
            </w:tcMar>
            <w:shd w:fill="F6F8FA"/>
          </w:tcPr>
          <w:p>
            <w:pPr>
              <w:spacing w:after="0" w:line="257" w:lineRule="auto"/>
              <w:jc w:val="center"/>
            </w:pPr>
            <w:r>
              <w:rPr>
                <w:sz w:val="18"/>
              </w:rPr>
              <w:t>O06</w:t>
            </w:r>
          </w:p>
        </w:tc>
        <w:tc>
          <w:tcPr>
            <w:tcW w:type="dxa" w:w="1626"/>
            <w:vAlign w:val="center"/>
            <w:tcMar>
              <w:top w:w="90" w:type="dxa"/>
              <w:bottom w:w="90" w:type="dxa"/>
              <w:left w:w="90" w:type="dxa"/>
              <w:right w:w="90" w:type="dxa"/>
            </w:tcMar>
            <w:shd w:fill="F6F8FA"/>
          </w:tcPr>
          <w:p>
            <w:pPr>
              <w:spacing w:after="0" w:line="257" w:lineRule="auto"/>
            </w:pPr>
            <w:r>
              <w:rPr>
                <w:sz w:val="18"/>
              </w:rPr>
              <w:t>2026-08-17</w:t>
            </w:r>
          </w:p>
        </w:tc>
        <w:tc>
          <w:tcPr>
            <w:tcW w:type="dxa" w:w="1626"/>
            <w:vAlign w:val="center"/>
            <w:tcMar>
              <w:top w:w="90" w:type="dxa"/>
              <w:bottom w:w="90" w:type="dxa"/>
              <w:left w:w="90" w:type="dxa"/>
              <w:right w:w="90" w:type="dxa"/>
            </w:tcMar>
            <w:shd w:fill="F6F8FA"/>
          </w:tcPr>
          <w:p>
            <w:pPr>
              <w:spacing w:after="0" w:line="257" w:lineRule="auto"/>
            </w:pPr>
            <w:r>
              <w:rPr>
                <w:sz w:val="18"/>
              </w:rPr>
              <w:t>NULL</w:t>
            </w:r>
          </w:p>
        </w:tc>
        <w:tc>
          <w:tcPr>
            <w:tcW w:type="dxa" w:w="1525"/>
            <w:vAlign w:val="center"/>
            <w:tcMar>
              <w:top w:w="90" w:type="dxa"/>
              <w:bottom w:w="90" w:type="dxa"/>
              <w:left w:w="90" w:type="dxa"/>
              <w:right w:w="90" w:type="dxa"/>
            </w:tcMar>
            <w:shd w:fill="F6F8FA"/>
          </w:tcPr>
          <w:p>
            <w:pPr>
              <w:spacing w:after="0" w:line="257" w:lineRule="auto"/>
            </w:pPr>
            <w:r>
              <w:rPr>
                <w:sz w:val="18"/>
              </w:rPr>
              <w:t>Pending</w:t>
            </w:r>
          </w:p>
        </w:tc>
        <w:tc>
          <w:tcPr>
            <w:tcW w:type="dxa" w:w="1123"/>
            <w:vAlign w:val="center"/>
            <w:tcMar>
              <w:top w:w="90" w:type="dxa"/>
              <w:bottom w:w="90" w:type="dxa"/>
              <w:left w:w="90" w:type="dxa"/>
              <w:right w:w="90" w:type="dxa"/>
            </w:tcMar>
            <w:shd w:fill="F6F8FA"/>
          </w:tcPr>
          <w:p>
            <w:pPr>
              <w:spacing w:after="0" w:line="257" w:lineRule="auto"/>
            </w:pPr>
            <w:r>
              <w:rPr>
                <w:sz w:val="18"/>
              </w:rPr>
              <w:t>Unpaid</w:t>
            </w:r>
          </w:p>
        </w:tc>
        <w:tc>
          <w:tcPr>
            <w:tcW w:type="dxa" w:w="1877"/>
            <w:vAlign w:val="center"/>
            <w:tcMar>
              <w:top w:w="90" w:type="dxa"/>
              <w:bottom w:w="90" w:type="dxa"/>
              <w:left w:w="90" w:type="dxa"/>
              <w:right w:w="90" w:type="dxa"/>
            </w:tcMar>
            <w:shd w:fill="F6F8FA"/>
          </w:tcPr>
          <w:p>
            <w:pPr>
              <w:spacing w:after="0" w:line="257" w:lineRule="auto"/>
            </w:pPr>
            <w:r>
              <w:rPr>
                <w:sz w:val="18"/>
              </w:rPr>
              <w:t>700000</w:t>
            </w:r>
          </w:p>
        </w:tc>
        <w:tc>
          <w:tcPr>
            <w:tcW w:type="dxa" w:w="1743"/>
            <w:vAlign w:val="center"/>
            <w:tcMar>
              <w:top w:w="90" w:type="dxa"/>
              <w:bottom w:w="90" w:type="dxa"/>
              <w:left w:w="90" w:type="dxa"/>
              <w:right w:w="90" w:type="dxa"/>
            </w:tcMar>
            <w:shd w:fill="F6F8FA"/>
          </w:tcPr>
          <w:p>
            <w:pPr>
              <w:spacing w:after="0" w:line="257" w:lineRule="auto"/>
            </w:pPr>
            <w:r>
              <w:rPr>
                <w:sz w:val="18"/>
              </w:rPr>
              <w:t>0</w:t>
            </w:r>
          </w:p>
        </w:tc>
      </w:tr>
      <w:tr>
        <w:trPr>
          <w:cantSplit/>
        </w:trPr>
        <w:tc>
          <w:tcPr>
            <w:tcW w:type="dxa" w:w="704"/>
            <w:vAlign w:val="center"/>
            <w:tcMar>
              <w:top w:w="90" w:type="dxa"/>
              <w:bottom w:w="90" w:type="dxa"/>
              <w:left w:w="90" w:type="dxa"/>
              <w:right w:w="90" w:type="dxa"/>
            </w:tcMar>
            <w:shd w:fill="FFFFFF"/>
          </w:tcPr>
          <w:p>
            <w:pPr>
              <w:spacing w:after="0" w:line="257" w:lineRule="auto"/>
              <w:jc w:val="center"/>
            </w:pPr>
            <w:r>
              <w:rPr>
                <w:sz w:val="18"/>
              </w:rPr>
              <w:t>O07</w:t>
            </w:r>
          </w:p>
        </w:tc>
        <w:tc>
          <w:tcPr>
            <w:tcW w:type="dxa" w:w="1626"/>
            <w:vAlign w:val="center"/>
            <w:tcMar>
              <w:top w:w="90" w:type="dxa"/>
              <w:bottom w:w="90" w:type="dxa"/>
              <w:left w:w="90" w:type="dxa"/>
              <w:right w:w="90" w:type="dxa"/>
            </w:tcMar>
            <w:shd w:fill="FFFFFF"/>
          </w:tcPr>
          <w:p>
            <w:pPr>
              <w:spacing w:after="0" w:line="257" w:lineRule="auto"/>
            </w:pPr>
            <w:r>
              <w:rPr>
                <w:sz w:val="18"/>
              </w:rPr>
              <w:t>2026-08-14</w:t>
            </w:r>
          </w:p>
        </w:tc>
        <w:tc>
          <w:tcPr>
            <w:tcW w:type="dxa" w:w="1626"/>
            <w:vAlign w:val="center"/>
            <w:tcMar>
              <w:top w:w="90" w:type="dxa"/>
              <w:bottom w:w="90" w:type="dxa"/>
              <w:left w:w="90" w:type="dxa"/>
              <w:right w:w="90" w:type="dxa"/>
            </w:tcMar>
            <w:shd w:fill="FFFFFF"/>
          </w:tcPr>
          <w:p>
            <w:pPr>
              <w:spacing w:after="0" w:line="257" w:lineRule="auto"/>
            </w:pPr>
            <w:r>
              <w:rPr>
                <w:sz w:val="18"/>
              </w:rPr>
              <w:t>NULL</w:t>
            </w:r>
          </w:p>
        </w:tc>
        <w:tc>
          <w:tcPr>
            <w:tcW w:type="dxa" w:w="1525"/>
            <w:vAlign w:val="center"/>
            <w:tcMar>
              <w:top w:w="90" w:type="dxa"/>
              <w:bottom w:w="90" w:type="dxa"/>
              <w:left w:w="90" w:type="dxa"/>
              <w:right w:w="90" w:type="dxa"/>
            </w:tcMar>
            <w:shd w:fill="FFFFFF"/>
          </w:tcPr>
          <w:p>
            <w:pPr>
              <w:spacing w:after="0" w:line="257" w:lineRule="auto"/>
            </w:pPr>
            <w:r>
              <w:rPr>
                <w:sz w:val="18"/>
              </w:rPr>
              <w:t>Cancelled</w:t>
            </w:r>
          </w:p>
        </w:tc>
        <w:tc>
          <w:tcPr>
            <w:tcW w:type="dxa" w:w="1123"/>
            <w:vAlign w:val="center"/>
            <w:tcMar>
              <w:top w:w="90" w:type="dxa"/>
              <w:bottom w:w="90" w:type="dxa"/>
              <w:left w:w="90" w:type="dxa"/>
              <w:right w:w="90" w:type="dxa"/>
            </w:tcMar>
            <w:shd w:fill="FFFFFF"/>
          </w:tcPr>
          <w:p>
            <w:pPr>
              <w:spacing w:after="0" w:line="257" w:lineRule="auto"/>
            </w:pPr>
            <w:r>
              <w:rPr>
                <w:sz w:val="18"/>
              </w:rPr>
              <w:t>Unpaid</w:t>
            </w:r>
          </w:p>
        </w:tc>
        <w:tc>
          <w:tcPr>
            <w:tcW w:type="dxa" w:w="1877"/>
            <w:vAlign w:val="center"/>
            <w:tcMar>
              <w:top w:w="90" w:type="dxa"/>
              <w:bottom w:w="90" w:type="dxa"/>
              <w:left w:w="90" w:type="dxa"/>
              <w:right w:w="90" w:type="dxa"/>
            </w:tcMar>
            <w:shd w:fill="FFFFFF"/>
          </w:tcPr>
          <w:p>
            <w:pPr>
              <w:spacing w:after="0" w:line="257" w:lineRule="auto"/>
            </w:pPr>
            <w:r>
              <w:rPr>
                <w:sz w:val="18"/>
              </w:rPr>
              <w:t>500000</w:t>
            </w:r>
          </w:p>
        </w:tc>
        <w:tc>
          <w:tcPr>
            <w:tcW w:type="dxa" w:w="1743"/>
            <w:vAlign w:val="center"/>
            <w:tcMar>
              <w:top w:w="90" w:type="dxa"/>
              <w:bottom w:w="90" w:type="dxa"/>
              <w:left w:w="90" w:type="dxa"/>
              <w:right w:w="90" w:type="dxa"/>
            </w:tcMar>
            <w:shd w:fill="FFFFFF"/>
          </w:tcPr>
          <w:p>
            <w:pPr>
              <w:spacing w:after="0" w:line="257" w:lineRule="auto"/>
            </w:pPr>
            <w:r>
              <w:rPr>
                <w:sz w:val="18"/>
              </w:rPr>
              <w:t>0</w:t>
            </w:r>
          </w:p>
        </w:tc>
      </w:tr>
      <w:tr>
        <w:trPr>
          <w:cantSplit/>
        </w:trPr>
        <w:tc>
          <w:tcPr>
            <w:tcW w:type="dxa" w:w="704"/>
            <w:vAlign w:val="center"/>
            <w:tcMar>
              <w:top w:w="90" w:type="dxa"/>
              <w:bottom w:w="90" w:type="dxa"/>
              <w:left w:w="90" w:type="dxa"/>
              <w:right w:w="90" w:type="dxa"/>
            </w:tcMar>
            <w:shd w:fill="F6F8FA"/>
          </w:tcPr>
          <w:p>
            <w:pPr>
              <w:spacing w:after="0" w:line="257" w:lineRule="auto"/>
              <w:jc w:val="center"/>
            </w:pPr>
            <w:r>
              <w:rPr>
                <w:sz w:val="18"/>
              </w:rPr>
              <w:t>O08</w:t>
            </w:r>
          </w:p>
        </w:tc>
        <w:tc>
          <w:tcPr>
            <w:tcW w:type="dxa" w:w="1626"/>
            <w:vAlign w:val="center"/>
            <w:tcMar>
              <w:top w:w="90" w:type="dxa"/>
              <w:bottom w:w="90" w:type="dxa"/>
              <w:left w:w="90" w:type="dxa"/>
              <w:right w:w="90" w:type="dxa"/>
            </w:tcMar>
            <w:shd w:fill="F6F8FA"/>
          </w:tcPr>
          <w:p>
            <w:pPr>
              <w:spacing w:after="0" w:line="257" w:lineRule="auto"/>
            </w:pPr>
            <w:r>
              <w:rPr>
                <w:sz w:val="18"/>
              </w:rPr>
              <w:t>2026-08-14</w:t>
            </w:r>
          </w:p>
        </w:tc>
        <w:tc>
          <w:tcPr>
            <w:tcW w:type="dxa" w:w="1626"/>
            <w:vAlign w:val="center"/>
            <w:tcMar>
              <w:top w:w="90" w:type="dxa"/>
              <w:bottom w:w="90" w:type="dxa"/>
              <w:left w:w="90" w:type="dxa"/>
              <w:right w:w="90" w:type="dxa"/>
            </w:tcMar>
            <w:shd w:fill="F6F8FA"/>
          </w:tcPr>
          <w:p>
            <w:pPr>
              <w:spacing w:after="0" w:line="257" w:lineRule="auto"/>
            </w:pPr>
            <w:r>
              <w:rPr>
                <w:sz w:val="18"/>
              </w:rPr>
              <w:t>NULL</w:t>
            </w:r>
          </w:p>
        </w:tc>
        <w:tc>
          <w:tcPr>
            <w:tcW w:type="dxa" w:w="1525"/>
            <w:vAlign w:val="center"/>
            <w:tcMar>
              <w:top w:w="90" w:type="dxa"/>
              <w:bottom w:w="90" w:type="dxa"/>
              <w:left w:w="90" w:type="dxa"/>
              <w:right w:w="90" w:type="dxa"/>
            </w:tcMar>
            <w:shd w:fill="F6F8FA"/>
          </w:tcPr>
          <w:p>
            <w:pPr>
              <w:spacing w:after="0" w:line="257" w:lineRule="auto"/>
            </w:pPr>
            <w:r>
              <w:rPr>
                <w:sz w:val="18"/>
              </w:rPr>
              <w:t>NULL</w:t>
            </w:r>
          </w:p>
        </w:tc>
        <w:tc>
          <w:tcPr>
            <w:tcW w:type="dxa" w:w="1123"/>
            <w:vAlign w:val="center"/>
            <w:tcMar>
              <w:top w:w="90" w:type="dxa"/>
              <w:bottom w:w="90" w:type="dxa"/>
              <w:left w:w="90" w:type="dxa"/>
              <w:right w:w="90" w:type="dxa"/>
            </w:tcMar>
            <w:shd w:fill="F6F8FA"/>
          </w:tcPr>
          <w:p>
            <w:pPr>
              <w:spacing w:after="0" w:line="257" w:lineRule="auto"/>
            </w:pPr>
            <w:r>
              <w:rPr>
                <w:sz w:val="18"/>
              </w:rPr>
              <w:t>Unpaid</w:t>
            </w:r>
          </w:p>
        </w:tc>
        <w:tc>
          <w:tcPr>
            <w:tcW w:type="dxa" w:w="1877"/>
            <w:vAlign w:val="center"/>
            <w:tcMar>
              <w:top w:w="90" w:type="dxa"/>
              <w:bottom w:w="90" w:type="dxa"/>
              <w:left w:w="90" w:type="dxa"/>
              <w:right w:w="90" w:type="dxa"/>
            </w:tcMar>
            <w:shd w:fill="F6F8FA"/>
          </w:tcPr>
          <w:p>
            <w:pPr>
              <w:spacing w:after="0" w:line="257" w:lineRule="auto"/>
            </w:pPr>
            <w:r>
              <w:rPr>
                <w:sz w:val="18"/>
              </w:rPr>
              <w:t>200000</w:t>
            </w:r>
          </w:p>
        </w:tc>
        <w:tc>
          <w:tcPr>
            <w:tcW w:type="dxa" w:w="1743"/>
            <w:vAlign w:val="center"/>
            <w:tcMar>
              <w:top w:w="90" w:type="dxa"/>
              <w:bottom w:w="90" w:type="dxa"/>
              <w:left w:w="90" w:type="dxa"/>
              <w:right w:w="90" w:type="dxa"/>
            </w:tcMar>
            <w:shd w:fill="F6F8FA"/>
          </w:tcPr>
          <w:p>
            <w:pPr>
              <w:spacing w:after="0" w:line="257" w:lineRule="auto"/>
            </w:pPr>
            <w:r>
              <w:rPr>
                <w:sz w:val="18"/>
              </w:rPr>
              <w:t>0</w:t>
            </w:r>
          </w:p>
        </w:tc>
      </w:tr>
    </w:tbl>
    <w:p>
      <w:pPr>
        <w:spacing w:after="20"/>
      </w:pPr>
    </w:p>
    <w:p>
      <w:r>
        <w:t>The unusually large individual orders keep the dataset small while matching the original crore figures. They are not intended as a realistic retail transaction distribution. The larger synthetic dataset should use a plausible documented distribution and report its own independently calculated totals.</w:t>
      </w:r>
    </w:p>
    <w:p>
      <w:pPr>
        <w:pStyle w:val="Heading2"/>
      </w:pPr>
      <w:r>
        <w:t>Three explicit definitions</w:t>
      </w:r>
    </w:p>
    <w:p>
      <w:r>
        <w:t xml:space="preserve">Dashboard A uses </w:t>
      </w:r>
      <w:r>
        <w:rPr>
          <w:rFonts w:ascii="DejaVu Sans Mono" w:hAnsi="DejaVu Sans Mono"/>
          <w:sz w:val="18"/>
        </w:rPr>
        <w:t>SUM(order_amount)</w:t>
      </w:r>
      <w:r>
        <w:t xml:space="preserve">, </w:t>
      </w:r>
      <w:r>
        <w:rPr>
          <w:rFonts w:ascii="DejaVu Sans Mono" w:hAnsi="DejaVu Sans Mono"/>
          <w:sz w:val="18"/>
        </w:rPr>
        <w:t>status = 'Completed'</w:t>
      </w:r>
      <w:r>
        <w:t xml:space="preserve">, and the August period on order_date. Dashboard B uses </w:t>
      </w:r>
      <w:r>
        <w:rPr>
          <w:rFonts w:ascii="DejaVu Sans Mono" w:hAnsi="DejaVu Sans Mono"/>
          <w:sz w:val="18"/>
        </w:rPr>
        <w:t>SUM(order_amount)</w:t>
      </w:r>
      <w:r>
        <w:t xml:space="preserve">, </w:t>
      </w:r>
      <w:r>
        <w:rPr>
          <w:rFonts w:ascii="DejaVu Sans Mono" w:hAnsi="DejaVu Sans Mono"/>
          <w:sz w:val="18"/>
        </w:rPr>
        <w:t>status &lt;&gt; 'Cancelled'</w:t>
      </w:r>
      <w:r>
        <w:t xml:space="preserve">, and that same order-date period. Finance uses </w:t>
      </w:r>
      <w:r>
        <w:rPr>
          <w:rFonts w:ascii="DejaVu Sans Mono" w:hAnsi="DejaVu Sans Mono"/>
          <w:sz w:val="18"/>
        </w:rPr>
        <w:t>SUM(order_amount - COALESCE(refund_amount, 0))</w:t>
      </w:r>
      <w:r>
        <w:t xml:space="preserve">, </w:t>
      </w:r>
      <w:r>
        <w:rPr>
          <w:rFonts w:ascii="DejaVu Sans Mono" w:hAnsi="DejaVu Sans Mono"/>
          <w:sz w:val="18"/>
        </w:rPr>
        <w:t>payment_status = 'Paid'</w:t>
      </w:r>
      <w:r>
        <w:t>, and the August period on payment_date. These queries are included in the examples folder with explicit date literals.</w:t>
      </w:r>
    </w:p>
    <w:p>
      <w:r>
        <w:t>Finance's COALESCE is an explicit policy choice that treats a NULL refund as zero. The golden rows do not contain a NULL refund, so a separate test is needed to expose the effect. The NULL status in O08 passes neither equality nor inequality predicates because SQL uses unknown rather than true for those comparisons.</w:t>
      </w:r>
    </w:p>
    <w:p>
      <w:pPr>
        <w:pStyle w:val="Heading2"/>
      </w:pPr>
      <w:r>
        <w:t>Expected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840"/>
      </w:tblGrid>
      <w:tr>
        <w:trPr>
          <w:cantSplit/>
          <w:tblHeader/>
        </w:trPr>
        <w:tc>
          <w:tcPr>
            <w:tcW w:type="dxa" w:w="3384"/>
            <w:vAlign w:val="center"/>
            <w:tcMar>
              <w:top w:w="90" w:type="dxa"/>
              <w:bottom w:w="90" w:type="dxa"/>
              <w:left w:w="90" w:type="dxa"/>
              <w:right w:w="90" w:type="dxa"/>
            </w:tcMar>
            <w:shd w:fill="DBE5ED"/>
          </w:tcPr>
          <w:p>
            <w:pPr>
              <w:spacing w:after="0" w:line="257" w:lineRule="auto"/>
            </w:pPr>
            <w:r>
              <w:rPr>
                <w:b/>
                <w:color w:val="000000"/>
                <w:sz w:val="18"/>
              </w:rPr>
              <w:t>Assertion</w:t>
            </w:r>
          </w:p>
        </w:tc>
        <w:tc>
          <w:tcPr>
            <w:tcW w:type="dxa" w:w="6840"/>
            <w:vAlign w:val="center"/>
            <w:tcMar>
              <w:top w:w="90" w:type="dxa"/>
              <w:bottom w:w="90" w:type="dxa"/>
              <w:left w:w="90" w:type="dxa"/>
              <w:right w:w="90" w:type="dxa"/>
            </w:tcMar>
            <w:shd w:fill="DBE5ED"/>
          </w:tcPr>
          <w:p>
            <w:pPr>
              <w:spacing w:after="0" w:line="257" w:lineRule="auto"/>
            </w:pPr>
            <w:r>
              <w:rPr>
                <w:b/>
                <w:color w:val="000000"/>
                <w:sz w:val="18"/>
              </w:rPr>
              <w:t>Expected result</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Dashboard A total</w:t>
            </w:r>
          </w:p>
        </w:tc>
        <w:tc>
          <w:tcPr>
            <w:tcW w:type="dxa" w:w="6840"/>
            <w:vAlign w:val="center"/>
            <w:tcMar>
              <w:top w:w="90" w:type="dxa"/>
              <w:bottom w:w="90" w:type="dxa"/>
              <w:left w:w="90" w:type="dxa"/>
              <w:right w:w="90" w:type="dxa"/>
            </w:tcMar>
            <w:shd w:fill="FFFFFF"/>
          </w:tcPr>
          <w:p>
            <w:pPr>
              <w:spacing w:after="0" w:line="257" w:lineRule="auto"/>
            </w:pPr>
            <w:r>
              <w:rPr>
                <w:sz w:val="18"/>
              </w:rPr>
              <w:t>INR 104000000.00</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Dashboard B total</w:t>
            </w:r>
          </w:p>
        </w:tc>
        <w:tc>
          <w:tcPr>
            <w:tcW w:type="dxa" w:w="6840"/>
            <w:vAlign w:val="center"/>
            <w:tcMar>
              <w:top w:w="90" w:type="dxa"/>
              <w:bottom w:w="90" w:type="dxa"/>
              <w:left w:w="90" w:type="dxa"/>
              <w:right w:w="90" w:type="dxa"/>
            </w:tcMar>
            <w:shd w:fill="F6F8FA"/>
          </w:tcPr>
          <w:p>
            <w:pPr>
              <w:spacing w:after="0" w:line="257" w:lineRule="auto"/>
            </w:pPr>
            <w:r>
              <w:rPr>
                <w:sz w:val="18"/>
              </w:rPr>
              <w:t>INR 104700000.00</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Finance total</w:t>
            </w:r>
          </w:p>
        </w:tc>
        <w:tc>
          <w:tcPr>
            <w:tcW w:type="dxa" w:w="6840"/>
            <w:vAlign w:val="center"/>
            <w:tcMar>
              <w:top w:w="90" w:type="dxa"/>
              <w:bottom w:w="90" w:type="dxa"/>
              <w:left w:w="90" w:type="dxa"/>
              <w:right w:w="90" w:type="dxa"/>
            </w:tcMar>
            <w:shd w:fill="FFFFFF"/>
          </w:tcPr>
          <w:p>
            <w:pPr>
              <w:spacing w:after="0" w:line="257" w:lineRule="auto"/>
            </w:pPr>
            <w:r>
              <w:rPr>
                <w:sz w:val="18"/>
              </w:rPr>
              <w:t>INR 98000000.00</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Finance minus A</w:t>
            </w:r>
          </w:p>
        </w:tc>
        <w:tc>
          <w:tcPr>
            <w:tcW w:type="dxa" w:w="6840"/>
            <w:vAlign w:val="center"/>
            <w:tcMar>
              <w:top w:w="90" w:type="dxa"/>
              <w:bottom w:w="90" w:type="dxa"/>
              <w:left w:w="90" w:type="dxa"/>
              <w:right w:w="90" w:type="dxa"/>
            </w:tcMar>
            <w:shd w:fill="F6F8FA"/>
          </w:tcPr>
          <w:p>
            <w:pPr>
              <w:spacing w:after="0" w:line="257" w:lineRule="auto"/>
            </w:pPr>
            <w:r>
              <w:rPr>
                <w:sz w:val="18"/>
              </w:rPr>
              <w:t>INR -6000000.00</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Finance versus A relative change</w:t>
            </w:r>
          </w:p>
        </w:tc>
        <w:tc>
          <w:tcPr>
            <w:tcW w:type="dxa" w:w="6840"/>
            <w:vAlign w:val="center"/>
            <w:tcMar>
              <w:top w:w="90" w:type="dxa"/>
              <w:bottom w:w="90" w:type="dxa"/>
              <w:left w:w="90" w:type="dxa"/>
              <w:right w:w="90" w:type="dxa"/>
            </w:tcMar>
            <w:shd w:fill="FFFFFF"/>
          </w:tcPr>
          <w:p>
            <w:pPr>
              <w:spacing w:after="0" w:line="257" w:lineRule="auto"/>
            </w:pPr>
            <w:r>
              <w:rPr>
                <w:sz w:val="18"/>
              </w:rPr>
              <w:t>Approximately -5.769230769 percent</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B minus A</w:t>
            </w:r>
          </w:p>
        </w:tc>
        <w:tc>
          <w:tcPr>
            <w:tcW w:type="dxa" w:w="6840"/>
            <w:vAlign w:val="center"/>
            <w:tcMar>
              <w:top w:w="90" w:type="dxa"/>
              <w:bottom w:w="90" w:type="dxa"/>
              <w:left w:w="90" w:type="dxa"/>
              <w:right w:w="90" w:type="dxa"/>
            </w:tcMar>
            <w:shd w:fill="F6F8FA"/>
          </w:tcPr>
          <w:p>
            <w:pPr>
              <w:spacing w:after="0" w:line="257" w:lineRule="auto"/>
            </w:pPr>
            <w:r>
              <w:rPr>
                <w:sz w:val="18"/>
              </w:rPr>
              <w:t>INR 700000.00</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Refund bridge contribution</w:t>
            </w:r>
          </w:p>
        </w:tc>
        <w:tc>
          <w:tcPr>
            <w:tcW w:type="dxa" w:w="6840"/>
            <w:vAlign w:val="center"/>
            <w:tcMar>
              <w:top w:w="90" w:type="dxa"/>
              <w:bottom w:w="90" w:type="dxa"/>
              <w:left w:w="90" w:type="dxa"/>
              <w:right w:w="90" w:type="dxa"/>
            </w:tcMar>
            <w:shd w:fill="FFFFFF"/>
          </w:tcPr>
          <w:p>
            <w:pPr>
              <w:spacing w:after="0" w:line="257" w:lineRule="auto"/>
            </w:pPr>
            <w:r>
              <w:rPr>
                <w:sz w:val="18"/>
              </w:rPr>
              <w:t>INR -4320000.00</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Eligibility bridge contribution</w:t>
            </w:r>
          </w:p>
        </w:tc>
        <w:tc>
          <w:tcPr>
            <w:tcW w:type="dxa" w:w="6840"/>
            <w:vAlign w:val="center"/>
            <w:tcMar>
              <w:top w:w="90" w:type="dxa"/>
              <w:bottom w:w="90" w:type="dxa"/>
              <w:left w:w="90" w:type="dxa"/>
              <w:right w:w="90" w:type="dxa"/>
            </w:tcMar>
            <w:shd w:fill="F6F8FA"/>
          </w:tcPr>
          <w:p>
            <w:pPr>
              <w:spacing w:after="0" w:line="257" w:lineRule="auto"/>
            </w:pPr>
            <w:r>
              <w:rPr>
                <w:sz w:val="18"/>
              </w:rPr>
              <w:t>INR -420000.00</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Time bridge contribution</w:t>
            </w:r>
          </w:p>
        </w:tc>
        <w:tc>
          <w:tcPr>
            <w:tcW w:type="dxa" w:w="6840"/>
            <w:vAlign w:val="center"/>
            <w:tcMar>
              <w:top w:w="90" w:type="dxa"/>
              <w:bottom w:w="90" w:type="dxa"/>
              <w:left w:w="90" w:type="dxa"/>
              <w:right w:w="90" w:type="dxa"/>
            </w:tcMar>
            <w:shd w:fill="FFFFFF"/>
          </w:tcPr>
          <w:p>
            <w:pPr>
              <w:spacing w:after="0" w:line="257" w:lineRule="auto"/>
            </w:pPr>
            <w:r>
              <w:rPr>
                <w:sz w:val="18"/>
              </w:rPr>
              <w:t>INR -1260000.00</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Full bridge residual</w:t>
            </w:r>
          </w:p>
        </w:tc>
        <w:tc>
          <w:tcPr>
            <w:tcW w:type="dxa" w:w="6840"/>
            <w:vAlign w:val="center"/>
            <w:tcMar>
              <w:top w:w="90" w:type="dxa"/>
              <w:bottom w:w="90" w:type="dxa"/>
              <w:left w:w="90" w:type="dxa"/>
              <w:right w:w="90" w:type="dxa"/>
            </w:tcMar>
            <w:shd w:fill="F6F8FA"/>
          </w:tcPr>
          <w:p>
            <w:pPr>
              <w:spacing w:after="0" w:line="257" w:lineRule="auto"/>
            </w:pPr>
            <w:r>
              <w:rPr>
                <w:sz w:val="18"/>
              </w:rPr>
              <w:t>INR 0.00</w:t>
            </w:r>
          </w:p>
        </w:tc>
      </w:tr>
    </w:tbl>
    <w:p>
      <w:pPr>
        <w:spacing w:after="20"/>
      </w:pPr>
    </w:p>
    <w:p>
      <w:r>
        <w:t>The four nonzero order contributions for Finance minus A are O01 at -2400000, O02 at -1920000, O04 at -420000 and O05 at -1260000. O03 contributes zero difference. O06 through O08 are excluded from both A and Finance. Dashboard B's additional amount comes from O06 alone.</w:t>
      </w:r>
    </w:p>
    <w:p>
      <w:r>
        <w:t>The bridge deliberately changes eligibility before time attribution. If time is changed first, the unpaid O04 with a NULL payment date leaves during that step; some of the attribution moves from eligibility to time. Endpoint totals do not change. Include this as a demo of why an explanation method must be named.</w:t>
      </w:r>
    </w:p>
    <w:p>
      <w:pPr>
        <w:pStyle w:val="Heading2"/>
      </w:pPr>
      <w:r>
        <w:t>Schema dictionary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384"/>
        <w:gridCol w:w="4320"/>
      </w:tblGrid>
      <w:tr>
        <w:trPr>
          <w:cantSplit/>
          <w:tblHeader/>
        </w:trPr>
        <w:tc>
          <w:tcPr>
            <w:tcW w:type="dxa" w:w="2520"/>
            <w:vAlign w:val="center"/>
            <w:tcMar>
              <w:top w:w="90" w:type="dxa"/>
              <w:bottom w:w="90" w:type="dxa"/>
              <w:left w:w="90" w:type="dxa"/>
              <w:right w:w="90" w:type="dxa"/>
            </w:tcMar>
            <w:shd w:fill="DBE5ED"/>
          </w:tcPr>
          <w:p>
            <w:pPr>
              <w:spacing w:after="0" w:line="257" w:lineRule="auto"/>
            </w:pPr>
            <w:r>
              <w:rPr>
                <w:b/>
                <w:color w:val="000000"/>
                <w:sz w:val="18"/>
              </w:rPr>
              <w:t>Field</w:t>
            </w:r>
          </w:p>
        </w:tc>
        <w:tc>
          <w:tcPr>
            <w:tcW w:type="dxa" w:w="3384"/>
            <w:vAlign w:val="center"/>
            <w:tcMar>
              <w:top w:w="90" w:type="dxa"/>
              <w:bottom w:w="90" w:type="dxa"/>
              <w:left w:w="90" w:type="dxa"/>
              <w:right w:w="90" w:type="dxa"/>
            </w:tcMar>
            <w:shd w:fill="DBE5ED"/>
          </w:tcPr>
          <w:p>
            <w:pPr>
              <w:spacing w:after="0" w:line="257" w:lineRule="auto"/>
            </w:pPr>
            <w:r>
              <w:rPr>
                <w:b/>
                <w:color w:val="000000"/>
                <w:sz w:val="18"/>
              </w:rPr>
              <w:t>Type</w:t>
            </w:r>
          </w:p>
        </w:tc>
        <w:tc>
          <w:tcPr>
            <w:tcW w:type="dxa" w:w="4320"/>
            <w:vAlign w:val="center"/>
            <w:tcMar>
              <w:top w:w="90" w:type="dxa"/>
              <w:bottom w:w="90" w:type="dxa"/>
              <w:left w:w="90" w:type="dxa"/>
              <w:right w:w="90" w:type="dxa"/>
            </w:tcMar>
            <w:shd w:fill="DBE5ED"/>
          </w:tcPr>
          <w:p>
            <w:pPr>
              <w:spacing w:after="0" w:line="257" w:lineRule="auto"/>
            </w:pPr>
            <w:r>
              <w:rPr>
                <w:b/>
                <w:color w:val="000000"/>
                <w:sz w:val="18"/>
              </w:rPr>
              <w:t>Meaning and validation</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order_​id</w:t>
            </w:r>
          </w:p>
        </w:tc>
        <w:tc>
          <w:tcPr>
            <w:tcW w:type="dxa" w:w="3384"/>
            <w:vAlign w:val="center"/>
            <w:tcMar>
              <w:top w:w="90" w:type="dxa"/>
              <w:bottom w:w="90" w:type="dxa"/>
              <w:left w:w="90" w:type="dxa"/>
              <w:right w:w="90" w:type="dxa"/>
            </w:tcMar>
            <w:shd w:fill="FFFFFF"/>
          </w:tcPr>
          <w:p>
            <w:pPr>
              <w:spacing w:after="0" w:line="257" w:lineRule="auto"/>
            </w:pPr>
            <w:r>
              <w:rPr>
                <w:sz w:val="18"/>
              </w:rPr>
              <w:t>String</w:t>
            </w:r>
          </w:p>
        </w:tc>
        <w:tc>
          <w:tcPr>
            <w:tcW w:type="dxa" w:w="4320"/>
            <w:vAlign w:val="center"/>
            <w:tcMar>
              <w:top w:w="90" w:type="dxa"/>
              <w:bottom w:w="90" w:type="dxa"/>
              <w:left w:w="90" w:type="dxa"/>
              <w:right w:w="90" w:type="dxa"/>
            </w:tcMar>
            <w:shd w:fill="FFFFFF"/>
          </w:tcPr>
          <w:p>
            <w:pPr>
              <w:spacing w:after="0" w:line="257" w:lineRule="auto"/>
            </w:pPr>
            <w:r>
              <w:rPr>
                <w:sz w:val="18"/>
              </w:rPr>
              <w:t>Unique non-NULL row key</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customer_​id</w:t>
            </w:r>
          </w:p>
        </w:tc>
        <w:tc>
          <w:tcPr>
            <w:tcW w:type="dxa" w:w="3384"/>
            <w:vAlign w:val="center"/>
            <w:tcMar>
              <w:top w:w="90" w:type="dxa"/>
              <w:bottom w:w="90" w:type="dxa"/>
              <w:left w:w="90" w:type="dxa"/>
              <w:right w:w="90" w:type="dxa"/>
            </w:tcMar>
            <w:shd w:fill="F6F8FA"/>
          </w:tcPr>
          <w:p>
            <w:pPr>
              <w:spacing w:after="0" w:line="257" w:lineRule="auto"/>
            </w:pPr>
            <w:r>
              <w:rPr>
                <w:sz w:val="18"/>
              </w:rPr>
              <w:t>String</w:t>
            </w:r>
          </w:p>
        </w:tc>
        <w:tc>
          <w:tcPr>
            <w:tcW w:type="dxa" w:w="4320"/>
            <w:vAlign w:val="center"/>
            <w:tcMar>
              <w:top w:w="90" w:type="dxa"/>
              <w:bottom w:w="90" w:type="dxa"/>
              <w:left w:w="90" w:type="dxa"/>
              <w:right w:w="90" w:type="dxa"/>
            </w:tcMar>
            <w:shd w:fill="F6F8FA"/>
          </w:tcPr>
          <w:p>
            <w:pPr>
              <w:spacing w:after="0" w:line="257" w:lineRule="auto"/>
            </w:pPr>
            <w:r>
              <w:rPr>
                <w:sz w:val="18"/>
              </w:rPr>
              <w:t>Synthetic entity ID; distinct-count fixtures may contain repeated customers</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order_​date</w:t>
            </w:r>
          </w:p>
        </w:tc>
        <w:tc>
          <w:tcPr>
            <w:tcW w:type="dxa" w:w="3384"/>
            <w:vAlign w:val="center"/>
            <w:tcMar>
              <w:top w:w="90" w:type="dxa"/>
              <w:bottom w:w="90" w:type="dxa"/>
              <w:left w:w="90" w:type="dxa"/>
              <w:right w:w="90" w:type="dxa"/>
            </w:tcMar>
            <w:shd w:fill="FFFFFF"/>
          </w:tcPr>
          <w:p>
            <w:pPr>
              <w:spacing w:after="0" w:line="257" w:lineRule="auto"/>
            </w:pPr>
            <w:r>
              <w:rPr>
                <w:sz w:val="18"/>
              </w:rPr>
              <w:t>Date</w:t>
            </w:r>
          </w:p>
        </w:tc>
        <w:tc>
          <w:tcPr>
            <w:tcW w:type="dxa" w:w="4320"/>
            <w:vAlign w:val="center"/>
            <w:tcMar>
              <w:top w:w="90" w:type="dxa"/>
              <w:bottom w:w="90" w:type="dxa"/>
              <w:left w:w="90" w:type="dxa"/>
              <w:right w:w="90" w:type="dxa"/>
            </w:tcMar>
            <w:shd w:fill="FFFFFF"/>
          </w:tcPr>
          <w:p>
            <w:pPr>
              <w:spacing w:after="0" w:line="257" w:lineRule="auto"/>
            </w:pPr>
            <w:r>
              <w:rPr>
                <w:sz w:val="18"/>
              </w:rPr>
              <w:t>Business order date; non-NULL in the golden fixture</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payment_​date</w:t>
            </w:r>
          </w:p>
        </w:tc>
        <w:tc>
          <w:tcPr>
            <w:tcW w:type="dxa" w:w="3384"/>
            <w:vAlign w:val="center"/>
            <w:tcMar>
              <w:top w:w="90" w:type="dxa"/>
              <w:bottom w:w="90" w:type="dxa"/>
              <w:left w:w="90" w:type="dxa"/>
              <w:right w:w="90" w:type="dxa"/>
            </w:tcMar>
            <w:shd w:fill="F6F8FA"/>
          </w:tcPr>
          <w:p>
            <w:pPr>
              <w:spacing w:after="0" w:line="257" w:lineRule="auto"/>
            </w:pPr>
            <w:r>
              <w:rPr>
                <w:sz w:val="18"/>
              </w:rPr>
              <w:t>Nullable date</w:t>
            </w:r>
          </w:p>
        </w:tc>
        <w:tc>
          <w:tcPr>
            <w:tcW w:type="dxa" w:w="4320"/>
            <w:vAlign w:val="center"/>
            <w:tcMar>
              <w:top w:w="90" w:type="dxa"/>
              <w:bottom w:w="90" w:type="dxa"/>
              <w:left w:w="90" w:type="dxa"/>
              <w:right w:w="90" w:type="dxa"/>
            </w:tcMar>
            <w:shd w:fill="F6F8FA"/>
          </w:tcPr>
          <w:p>
            <w:pPr>
              <w:spacing w:after="0" w:line="257" w:lineRule="auto"/>
            </w:pPr>
            <w:r>
              <w:rPr>
                <w:sz w:val="18"/>
              </w:rPr>
              <w:t>Business payment date; NULL means not recorded</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status</w:t>
            </w:r>
          </w:p>
        </w:tc>
        <w:tc>
          <w:tcPr>
            <w:tcW w:type="dxa" w:w="3384"/>
            <w:vAlign w:val="center"/>
            <w:tcMar>
              <w:top w:w="90" w:type="dxa"/>
              <w:bottom w:w="90" w:type="dxa"/>
              <w:left w:w="90" w:type="dxa"/>
              <w:right w:w="90" w:type="dxa"/>
            </w:tcMar>
            <w:shd w:fill="FFFFFF"/>
          </w:tcPr>
          <w:p>
            <w:pPr>
              <w:spacing w:after="0" w:line="257" w:lineRule="auto"/>
            </w:pPr>
            <w:r>
              <w:rPr>
                <w:sz w:val="18"/>
              </w:rPr>
              <w:t>Nullable string</w:t>
            </w:r>
          </w:p>
        </w:tc>
        <w:tc>
          <w:tcPr>
            <w:tcW w:type="dxa" w:w="4320"/>
            <w:vAlign w:val="center"/>
            <w:tcMar>
              <w:top w:w="90" w:type="dxa"/>
              <w:bottom w:w="90" w:type="dxa"/>
              <w:left w:w="90" w:type="dxa"/>
              <w:right w:w="90" w:type="dxa"/>
            </w:tcMar>
            <w:shd w:fill="FFFFFF"/>
          </w:tcPr>
          <w:p>
            <w:pPr>
              <w:spacing w:after="0" w:line="257" w:lineRule="auto"/>
            </w:pPr>
            <w:r>
              <w:rPr>
                <w:sz w:val="18"/>
              </w:rPr>
              <w:t>Completed, Pending, Cancelled or explicitly unknown</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payment_​status</w:t>
            </w:r>
          </w:p>
        </w:tc>
        <w:tc>
          <w:tcPr>
            <w:tcW w:type="dxa" w:w="3384"/>
            <w:vAlign w:val="center"/>
            <w:tcMar>
              <w:top w:w="90" w:type="dxa"/>
              <w:bottom w:w="90" w:type="dxa"/>
              <w:left w:w="90" w:type="dxa"/>
              <w:right w:w="90" w:type="dxa"/>
            </w:tcMar>
            <w:shd w:fill="F6F8FA"/>
          </w:tcPr>
          <w:p>
            <w:pPr>
              <w:spacing w:after="0" w:line="257" w:lineRule="auto"/>
            </w:pPr>
            <w:r>
              <w:rPr>
                <w:sz w:val="18"/>
              </w:rPr>
              <w:t>String</w:t>
            </w:r>
          </w:p>
        </w:tc>
        <w:tc>
          <w:tcPr>
            <w:tcW w:type="dxa" w:w="4320"/>
            <w:vAlign w:val="center"/>
            <w:tcMar>
              <w:top w:w="90" w:type="dxa"/>
              <w:bottom w:w="90" w:type="dxa"/>
              <w:left w:w="90" w:type="dxa"/>
              <w:right w:w="90" w:type="dxa"/>
            </w:tcMar>
            <w:shd w:fill="F6F8FA"/>
          </w:tcPr>
          <w:p>
            <w:pPr>
              <w:spacing w:after="0" w:line="257" w:lineRule="auto"/>
            </w:pPr>
            <w:r>
              <w:rPr>
                <w:sz w:val="18"/>
              </w:rPr>
              <w:t>Paid or Unpaid in the golden fixture</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order_​amount</w:t>
            </w:r>
          </w:p>
        </w:tc>
        <w:tc>
          <w:tcPr>
            <w:tcW w:type="dxa" w:w="3384"/>
            <w:vAlign w:val="center"/>
            <w:tcMar>
              <w:top w:w="90" w:type="dxa"/>
              <w:bottom w:w="90" w:type="dxa"/>
              <w:left w:w="90" w:type="dxa"/>
              <w:right w:w="90" w:type="dxa"/>
            </w:tcMar>
            <w:shd w:fill="FFFFFF"/>
          </w:tcPr>
          <w:p>
            <w:pPr>
              <w:spacing w:after="0" w:line="257" w:lineRule="auto"/>
            </w:pPr>
            <w:r>
              <w:rPr>
                <w:sz w:val="18"/>
              </w:rPr>
              <w:t>Decimal 18 2</w:t>
            </w:r>
          </w:p>
        </w:tc>
        <w:tc>
          <w:tcPr>
            <w:tcW w:type="dxa" w:w="4320"/>
            <w:vAlign w:val="center"/>
            <w:tcMar>
              <w:top w:w="90" w:type="dxa"/>
              <w:bottom w:w="90" w:type="dxa"/>
              <w:left w:w="90" w:type="dxa"/>
              <w:right w:w="90" w:type="dxa"/>
            </w:tcMar>
            <w:shd w:fill="FFFFFF"/>
          </w:tcPr>
          <w:p>
            <w:pPr>
              <w:spacing w:after="0" w:line="257" w:lineRule="auto"/>
            </w:pPr>
            <w:r>
              <w:rPr>
                <w:sz w:val="18"/>
              </w:rPr>
              <w:t>Single-currency amount excluding tax and shipping</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refund_​amount</w:t>
            </w:r>
          </w:p>
        </w:tc>
        <w:tc>
          <w:tcPr>
            <w:tcW w:type="dxa" w:w="3384"/>
            <w:vAlign w:val="center"/>
            <w:tcMar>
              <w:top w:w="90" w:type="dxa"/>
              <w:bottom w:w="90" w:type="dxa"/>
              <w:left w:w="90" w:type="dxa"/>
              <w:right w:w="90" w:type="dxa"/>
            </w:tcMar>
            <w:shd w:fill="F6F8FA"/>
          </w:tcPr>
          <w:p>
            <w:pPr>
              <w:spacing w:after="0" w:line="257" w:lineRule="auto"/>
            </w:pPr>
            <w:r>
              <w:rPr>
                <w:sz w:val="18"/>
              </w:rPr>
              <w:t>Nullable decimal 18 2</w:t>
            </w:r>
          </w:p>
        </w:tc>
        <w:tc>
          <w:tcPr>
            <w:tcW w:type="dxa" w:w="4320"/>
            <w:vAlign w:val="center"/>
            <w:tcMar>
              <w:top w:w="90" w:type="dxa"/>
              <w:bottom w:w="90" w:type="dxa"/>
              <w:left w:w="90" w:type="dxa"/>
              <w:right w:w="90" w:type="dxa"/>
            </w:tcMar>
            <w:shd w:fill="F6F8FA"/>
          </w:tcPr>
          <w:p>
            <w:pPr>
              <w:spacing w:after="0" w:line="257" w:lineRule="auto"/>
            </w:pPr>
            <w:r>
              <w:rPr>
                <w:sz w:val="18"/>
              </w:rPr>
              <w:t>Order-level accumulated refund as of cutoff</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currency</w:t>
            </w:r>
          </w:p>
        </w:tc>
        <w:tc>
          <w:tcPr>
            <w:tcW w:type="dxa" w:w="3384"/>
            <w:vAlign w:val="center"/>
            <w:tcMar>
              <w:top w:w="90" w:type="dxa"/>
              <w:bottom w:w="90" w:type="dxa"/>
              <w:left w:w="90" w:type="dxa"/>
              <w:right w:w="90" w:type="dxa"/>
            </w:tcMar>
            <w:shd w:fill="FFFFFF"/>
          </w:tcPr>
          <w:p>
            <w:pPr>
              <w:spacing w:after="0" w:line="257" w:lineRule="auto"/>
            </w:pPr>
            <w:r>
              <w:rPr>
                <w:sz w:val="18"/>
              </w:rPr>
              <w:t>String</w:t>
            </w:r>
          </w:p>
        </w:tc>
        <w:tc>
          <w:tcPr>
            <w:tcW w:type="dxa" w:w="4320"/>
            <w:vAlign w:val="center"/>
            <w:tcMar>
              <w:top w:w="90" w:type="dxa"/>
              <w:bottom w:w="90" w:type="dxa"/>
              <w:left w:w="90" w:type="dxa"/>
              <w:right w:w="90" w:type="dxa"/>
            </w:tcMar>
            <w:shd w:fill="FFFFFF"/>
          </w:tcPr>
          <w:p>
            <w:pPr>
              <w:spacing w:after="0" w:line="257" w:lineRule="auto"/>
            </w:pPr>
            <w:r>
              <w:rPr>
                <w:sz w:val="18"/>
              </w:rPr>
              <w:t>INR only for the golden snapshot</w:t>
            </w:r>
          </w:p>
        </w:tc>
      </w:tr>
    </w:tbl>
    <w:p>
      <w:pPr>
        <w:spacing w:after="20"/>
      </w:pPr>
    </w:p>
    <w:p>
      <w:r>
        <w:t>The production-like test set should add duplicates, missing IDs, invalid dates and currency mismatches as separate invalid snapshots. Do not mix those into the validated golden fixture and silently clean them.</w:t>
      </w:r>
    </w:p>
    <w:p>
      <w:pPr>
        <w:pStyle w:val="Heading2"/>
      </w:pPr>
      <w:r>
        <w:t>Test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787"/>
        <w:gridCol w:w="5688"/>
      </w:tblGrid>
      <w:tr>
        <w:trPr>
          <w:cantSplit/>
          <w:tblHeader/>
        </w:trPr>
        <w:tc>
          <w:tcPr>
            <w:tcW w:type="dxa" w:w="749"/>
            <w:vAlign w:val="center"/>
            <w:tcMar>
              <w:top w:w="90" w:type="dxa"/>
              <w:bottom w:w="90" w:type="dxa"/>
              <w:left w:w="90" w:type="dxa"/>
              <w:right w:w="90" w:type="dxa"/>
            </w:tcMar>
            <w:shd w:fill="DBE5ED"/>
          </w:tcPr>
          <w:p>
            <w:pPr>
              <w:spacing w:after="0" w:line="257" w:lineRule="auto"/>
              <w:jc w:val="center"/>
            </w:pPr>
            <w:r>
              <w:rPr>
                <w:b/>
                <w:color w:val="000000"/>
                <w:sz w:val="18"/>
              </w:rPr>
              <w:t>ID</w:t>
            </w:r>
          </w:p>
        </w:tc>
        <w:tc>
          <w:tcPr>
            <w:tcW w:type="dxa" w:w="3787"/>
            <w:vAlign w:val="center"/>
            <w:tcMar>
              <w:top w:w="90" w:type="dxa"/>
              <w:bottom w:w="90" w:type="dxa"/>
              <w:left w:w="90" w:type="dxa"/>
              <w:right w:w="90" w:type="dxa"/>
            </w:tcMar>
            <w:shd w:fill="DBE5ED"/>
          </w:tcPr>
          <w:p>
            <w:pPr>
              <w:spacing w:after="0" w:line="257" w:lineRule="auto"/>
            </w:pPr>
            <w:r>
              <w:rPr>
                <w:b/>
                <w:color w:val="000000"/>
                <w:sz w:val="18"/>
              </w:rPr>
              <w:t>Scenario</w:t>
            </w:r>
          </w:p>
        </w:tc>
        <w:tc>
          <w:tcPr>
            <w:tcW w:type="dxa" w:w="5688"/>
            <w:vAlign w:val="center"/>
            <w:tcMar>
              <w:top w:w="90" w:type="dxa"/>
              <w:bottom w:w="90" w:type="dxa"/>
              <w:left w:w="90" w:type="dxa"/>
              <w:right w:w="90" w:type="dxa"/>
            </w:tcMar>
            <w:shd w:fill="DBE5ED"/>
          </w:tcPr>
          <w:p>
            <w:pPr>
              <w:spacing w:after="0" w:line="257" w:lineRule="auto"/>
            </w:pPr>
            <w:r>
              <w:rPr>
                <w:b/>
                <w:color w:val="000000"/>
                <w:sz w:val="18"/>
              </w:rPr>
              <w:t>Required result</w:t>
            </w:r>
          </w:p>
        </w:tc>
      </w:tr>
      <w:tr>
        <w:trPr>
          <w:cantSplit/>
        </w:trPr>
        <w:tc>
          <w:tcPr>
            <w:tcW w:type="dxa" w:w="749"/>
            <w:vAlign w:val="center"/>
            <w:tcMar>
              <w:top w:w="90" w:type="dxa"/>
              <w:bottom w:w="90" w:type="dxa"/>
              <w:left w:w="90" w:type="dxa"/>
              <w:right w:w="90" w:type="dxa"/>
            </w:tcMar>
            <w:shd w:fill="FFFFFF"/>
          </w:tcPr>
          <w:p>
            <w:pPr>
              <w:spacing w:after="0" w:line="257" w:lineRule="auto"/>
              <w:jc w:val="center"/>
            </w:pPr>
            <w:r>
              <w:rPr>
                <w:sz w:val="18"/>
              </w:rPr>
              <w:t>T01</w:t>
            </w:r>
          </w:p>
        </w:tc>
        <w:tc>
          <w:tcPr>
            <w:tcW w:type="dxa" w:w="3787"/>
            <w:vAlign w:val="center"/>
            <w:tcMar>
              <w:top w:w="90" w:type="dxa"/>
              <w:bottom w:w="90" w:type="dxa"/>
              <w:left w:w="90" w:type="dxa"/>
              <w:right w:w="90" w:type="dxa"/>
            </w:tcMar>
            <w:shd w:fill="FFFFFF"/>
          </w:tcPr>
          <w:p>
            <w:pPr>
              <w:spacing w:after="0" w:line="257" w:lineRule="auto"/>
            </w:pPr>
            <w:r>
              <w:rPr>
                <w:sz w:val="18"/>
              </w:rPr>
              <w:t>Golden A versus Finance</w:t>
            </w:r>
          </w:p>
        </w:tc>
        <w:tc>
          <w:tcPr>
            <w:tcW w:type="dxa" w:w="5688"/>
            <w:vAlign w:val="center"/>
            <w:tcMar>
              <w:top w:w="90" w:type="dxa"/>
              <w:bottom w:w="90" w:type="dxa"/>
              <w:left w:w="90" w:type="dxa"/>
              <w:right w:w="90" w:type="dxa"/>
            </w:tcMar>
            <w:shd w:fill="FFFFFF"/>
          </w:tcPr>
          <w:p>
            <w:pPr>
              <w:spacing w:after="0" w:line="257" w:lineRule="auto"/>
            </w:pPr>
            <w:r>
              <w:rPr>
                <w:sz w:val="18"/>
              </w:rPr>
              <w:t>Correct endpoints, four nonzero rows and complete ordered bridge</w:t>
            </w:r>
          </w:p>
        </w:tc>
      </w:tr>
      <w:tr>
        <w:trPr>
          <w:cantSplit/>
        </w:trPr>
        <w:tc>
          <w:tcPr>
            <w:tcW w:type="dxa" w:w="749"/>
            <w:vAlign w:val="center"/>
            <w:tcMar>
              <w:top w:w="90" w:type="dxa"/>
              <w:bottom w:w="90" w:type="dxa"/>
              <w:left w:w="90" w:type="dxa"/>
              <w:right w:w="90" w:type="dxa"/>
            </w:tcMar>
            <w:shd w:fill="F6F8FA"/>
          </w:tcPr>
          <w:p>
            <w:pPr>
              <w:spacing w:after="0" w:line="257" w:lineRule="auto"/>
              <w:jc w:val="center"/>
            </w:pPr>
            <w:r>
              <w:rPr>
                <w:sz w:val="18"/>
              </w:rPr>
              <w:t>T02</w:t>
            </w:r>
          </w:p>
        </w:tc>
        <w:tc>
          <w:tcPr>
            <w:tcW w:type="dxa" w:w="3787"/>
            <w:vAlign w:val="center"/>
            <w:tcMar>
              <w:top w:w="90" w:type="dxa"/>
              <w:bottom w:w="90" w:type="dxa"/>
              <w:left w:w="90" w:type="dxa"/>
              <w:right w:w="90" w:type="dxa"/>
            </w:tcMar>
            <w:shd w:fill="F6F8FA"/>
          </w:tcPr>
          <w:p>
            <w:pPr>
              <w:spacing w:after="0" w:line="257" w:lineRule="auto"/>
            </w:pPr>
            <w:r>
              <w:rPr>
                <w:sz w:val="18"/>
              </w:rPr>
              <w:t>A versus B with pending order</w:t>
            </w:r>
          </w:p>
        </w:tc>
        <w:tc>
          <w:tcPr>
            <w:tcW w:type="dxa" w:w="5688"/>
            <w:vAlign w:val="center"/>
            <w:tcMar>
              <w:top w:w="90" w:type="dxa"/>
              <w:bottom w:w="90" w:type="dxa"/>
              <w:left w:w="90" w:type="dxa"/>
              <w:right w:w="90" w:type="dxa"/>
            </w:tcMar>
            <w:shd w:fill="F6F8FA"/>
          </w:tcPr>
          <w:p>
            <w:pPr>
              <w:spacing w:after="0" w:line="257" w:lineRule="auto"/>
            </w:pPr>
            <w:r>
              <w:rPr>
                <w:sz w:val="18"/>
              </w:rPr>
              <w:t>Predicate difference and INR 700000 extra</w:t>
            </w:r>
          </w:p>
        </w:tc>
      </w:tr>
      <w:tr>
        <w:trPr>
          <w:cantSplit/>
        </w:trPr>
        <w:tc>
          <w:tcPr>
            <w:tcW w:type="dxa" w:w="749"/>
            <w:vAlign w:val="center"/>
            <w:tcMar>
              <w:top w:w="90" w:type="dxa"/>
              <w:bottom w:w="90" w:type="dxa"/>
              <w:left w:w="90" w:type="dxa"/>
              <w:right w:w="90" w:type="dxa"/>
            </w:tcMar>
            <w:shd w:fill="FFFFFF"/>
          </w:tcPr>
          <w:p>
            <w:pPr>
              <w:spacing w:after="0" w:line="257" w:lineRule="auto"/>
              <w:jc w:val="center"/>
            </w:pPr>
            <w:r>
              <w:rPr>
                <w:sz w:val="18"/>
              </w:rPr>
              <w:t>T03</w:t>
            </w:r>
          </w:p>
        </w:tc>
        <w:tc>
          <w:tcPr>
            <w:tcW w:type="dxa" w:w="3787"/>
            <w:vAlign w:val="center"/>
            <w:tcMar>
              <w:top w:w="90" w:type="dxa"/>
              <w:bottom w:w="90" w:type="dxa"/>
              <w:left w:w="90" w:type="dxa"/>
              <w:right w:w="90" w:type="dxa"/>
            </w:tcMar>
            <w:shd w:fill="FFFFFF"/>
          </w:tcPr>
          <w:p>
            <w:pPr>
              <w:spacing w:after="0" w:line="257" w:lineRule="auto"/>
            </w:pPr>
            <w:r>
              <w:rPr>
                <w:sz w:val="18"/>
              </w:rPr>
              <w:t>Different predicates with no pending rows</w:t>
            </w:r>
          </w:p>
        </w:tc>
        <w:tc>
          <w:tcPr>
            <w:tcW w:type="dxa" w:w="5688"/>
            <w:vAlign w:val="center"/>
            <w:tcMar>
              <w:top w:w="90" w:type="dxa"/>
              <w:bottom w:w="90" w:type="dxa"/>
              <w:left w:w="90" w:type="dxa"/>
              <w:right w:w="90" w:type="dxa"/>
            </w:tcMar>
            <w:shd w:fill="FFFFFF"/>
          </w:tcPr>
          <w:p>
            <w:pPr>
              <w:spacing w:after="0" w:line="257" w:lineRule="auto"/>
            </w:pPr>
            <w:r>
              <w:rPr>
                <w:sz w:val="18"/>
              </w:rPr>
              <w:t>Values equal, definition still different</w:t>
            </w:r>
          </w:p>
        </w:tc>
      </w:tr>
      <w:tr>
        <w:trPr>
          <w:cantSplit/>
        </w:trPr>
        <w:tc>
          <w:tcPr>
            <w:tcW w:type="dxa" w:w="749"/>
            <w:vAlign w:val="center"/>
            <w:tcMar>
              <w:top w:w="90" w:type="dxa"/>
              <w:bottom w:w="90" w:type="dxa"/>
              <w:left w:w="90" w:type="dxa"/>
              <w:right w:w="90" w:type="dxa"/>
            </w:tcMar>
            <w:shd w:fill="F6F8FA"/>
          </w:tcPr>
          <w:p>
            <w:pPr>
              <w:spacing w:after="0" w:line="257" w:lineRule="auto"/>
              <w:jc w:val="center"/>
            </w:pPr>
            <w:r>
              <w:rPr>
                <w:sz w:val="18"/>
              </w:rPr>
              <w:t>T04</w:t>
            </w:r>
          </w:p>
        </w:tc>
        <w:tc>
          <w:tcPr>
            <w:tcW w:type="dxa" w:w="3787"/>
            <w:vAlign w:val="center"/>
            <w:tcMar>
              <w:top w:w="90" w:type="dxa"/>
              <w:bottom w:w="90" w:type="dxa"/>
              <w:left w:w="90" w:type="dxa"/>
              <w:right w:w="90" w:type="dxa"/>
            </w:tcMar>
            <w:shd w:fill="F6F8FA"/>
          </w:tcPr>
          <w:p>
            <w:pPr>
              <w:spacing w:after="0" w:line="257" w:lineRule="auto"/>
            </w:pPr>
            <w:r>
              <w:rPr>
                <w:sz w:val="18"/>
              </w:rPr>
              <w:t>Whitespace and output alias change</w:t>
            </w:r>
          </w:p>
        </w:tc>
        <w:tc>
          <w:tcPr>
            <w:tcW w:type="dxa" w:w="5688"/>
            <w:vAlign w:val="center"/>
            <w:tcMar>
              <w:top w:w="90" w:type="dxa"/>
              <w:bottom w:w="90" w:type="dxa"/>
              <w:left w:w="90" w:type="dxa"/>
              <w:right w:w="90" w:type="dxa"/>
            </w:tcMar>
            <w:shd w:fill="F6F8FA"/>
          </w:tcPr>
          <w:p>
            <w:pPr>
              <w:spacing w:after="0" w:line="257" w:lineRule="auto"/>
            </w:pPr>
            <w:r>
              <w:rPr>
                <w:sz w:val="18"/>
              </w:rPr>
              <w:t>Cosmetic version event without meaning alert</w:t>
            </w:r>
          </w:p>
        </w:tc>
      </w:tr>
      <w:tr>
        <w:trPr>
          <w:cantSplit/>
        </w:trPr>
        <w:tc>
          <w:tcPr>
            <w:tcW w:type="dxa" w:w="749"/>
            <w:vAlign w:val="center"/>
            <w:tcMar>
              <w:top w:w="90" w:type="dxa"/>
              <w:bottom w:w="90" w:type="dxa"/>
              <w:left w:w="90" w:type="dxa"/>
              <w:right w:w="90" w:type="dxa"/>
            </w:tcMar>
            <w:shd w:fill="FFFFFF"/>
          </w:tcPr>
          <w:p>
            <w:pPr>
              <w:spacing w:after="0" w:line="257" w:lineRule="auto"/>
              <w:jc w:val="center"/>
            </w:pPr>
            <w:r>
              <w:rPr>
                <w:sz w:val="18"/>
              </w:rPr>
              <w:t>T05</w:t>
            </w:r>
          </w:p>
        </w:tc>
        <w:tc>
          <w:tcPr>
            <w:tcW w:type="dxa" w:w="3787"/>
            <w:vAlign w:val="center"/>
            <w:tcMar>
              <w:top w:w="90" w:type="dxa"/>
              <w:bottom w:w="90" w:type="dxa"/>
              <w:left w:w="90" w:type="dxa"/>
              <w:right w:w="90" w:type="dxa"/>
            </w:tcMar>
            <w:shd w:fill="FFFFFF"/>
          </w:tcPr>
          <w:p>
            <w:pPr>
              <w:spacing w:after="0" w:line="257" w:lineRule="auto"/>
            </w:pPr>
            <w:r>
              <w:rPr>
                <w:sz w:val="18"/>
              </w:rPr>
              <w:t>NULL status with inequality</w:t>
            </w:r>
          </w:p>
        </w:tc>
        <w:tc>
          <w:tcPr>
            <w:tcW w:type="dxa" w:w="5688"/>
            <w:vAlign w:val="center"/>
            <w:tcMar>
              <w:top w:w="90" w:type="dxa"/>
              <w:bottom w:w="90" w:type="dxa"/>
              <w:left w:w="90" w:type="dxa"/>
              <w:right w:w="90" w:type="dxa"/>
            </w:tcMar>
            <w:shd w:fill="FFFFFF"/>
          </w:tcPr>
          <w:p>
            <w:pPr>
              <w:spacing w:after="0" w:line="257" w:lineRule="auto"/>
            </w:pPr>
            <w:r>
              <w:rPr>
                <w:sz w:val="18"/>
              </w:rPr>
              <w:t>Row excluded according to SQL semantics</w:t>
            </w:r>
          </w:p>
        </w:tc>
      </w:tr>
      <w:tr>
        <w:trPr>
          <w:cantSplit/>
        </w:trPr>
        <w:tc>
          <w:tcPr>
            <w:tcW w:type="dxa" w:w="749"/>
            <w:vAlign w:val="center"/>
            <w:tcMar>
              <w:top w:w="90" w:type="dxa"/>
              <w:bottom w:w="90" w:type="dxa"/>
              <w:left w:w="90" w:type="dxa"/>
              <w:right w:w="90" w:type="dxa"/>
            </w:tcMar>
            <w:shd w:fill="F6F8FA"/>
          </w:tcPr>
          <w:p>
            <w:pPr>
              <w:spacing w:after="0" w:line="257" w:lineRule="auto"/>
              <w:jc w:val="center"/>
            </w:pPr>
            <w:r>
              <w:rPr>
                <w:sz w:val="18"/>
              </w:rPr>
              <w:t>T06</w:t>
            </w:r>
          </w:p>
        </w:tc>
        <w:tc>
          <w:tcPr>
            <w:tcW w:type="dxa" w:w="3787"/>
            <w:vAlign w:val="center"/>
            <w:tcMar>
              <w:top w:w="90" w:type="dxa"/>
              <w:bottom w:w="90" w:type="dxa"/>
              <w:left w:w="90" w:type="dxa"/>
              <w:right w:w="90" w:type="dxa"/>
            </w:tcMar>
            <w:shd w:fill="F6F8FA"/>
          </w:tcPr>
          <w:p>
            <w:pPr>
              <w:spacing w:after="0" w:line="257" w:lineRule="auto"/>
            </w:pPr>
            <w:r>
              <w:rPr>
                <w:sz w:val="18"/>
              </w:rPr>
              <w:t>NULL refund with and without COALESCE</w:t>
            </w:r>
          </w:p>
        </w:tc>
        <w:tc>
          <w:tcPr>
            <w:tcW w:type="dxa" w:w="5688"/>
            <w:vAlign w:val="center"/>
            <w:tcMar>
              <w:top w:w="90" w:type="dxa"/>
              <w:bottom w:w="90" w:type="dxa"/>
              <w:left w:w="90" w:type="dxa"/>
              <w:right w:w="90" w:type="dxa"/>
            </w:tcMar>
            <w:shd w:fill="F6F8FA"/>
          </w:tcPr>
          <w:p>
            <w:pPr>
              <w:spacing w:after="0" w:line="257" w:lineRule="auto"/>
            </w:pPr>
            <w:r>
              <w:rPr>
                <w:sz w:val="18"/>
              </w:rPr>
              <w:t>Different term behavior retained; no implicit cleanup</w:t>
            </w:r>
          </w:p>
        </w:tc>
      </w:tr>
      <w:tr>
        <w:trPr>
          <w:cantSplit/>
        </w:trPr>
        <w:tc>
          <w:tcPr>
            <w:tcW w:type="dxa" w:w="749"/>
            <w:vAlign w:val="center"/>
            <w:tcMar>
              <w:top w:w="90" w:type="dxa"/>
              <w:bottom w:w="90" w:type="dxa"/>
              <w:left w:w="90" w:type="dxa"/>
              <w:right w:w="90" w:type="dxa"/>
            </w:tcMar>
            <w:shd w:fill="FFFFFF"/>
          </w:tcPr>
          <w:p>
            <w:pPr>
              <w:spacing w:after="0" w:line="257" w:lineRule="auto"/>
              <w:jc w:val="center"/>
            </w:pPr>
            <w:r>
              <w:rPr>
                <w:sz w:val="18"/>
              </w:rPr>
              <w:t>T07</w:t>
            </w:r>
          </w:p>
        </w:tc>
        <w:tc>
          <w:tcPr>
            <w:tcW w:type="dxa" w:w="3787"/>
            <w:vAlign w:val="center"/>
            <w:tcMar>
              <w:top w:w="90" w:type="dxa"/>
              <w:bottom w:w="90" w:type="dxa"/>
              <w:left w:w="90" w:type="dxa"/>
              <w:right w:w="90" w:type="dxa"/>
            </w:tcMar>
            <w:shd w:fill="FFFFFF"/>
          </w:tcPr>
          <w:p>
            <w:pPr>
              <w:spacing w:after="0" w:line="257" w:lineRule="auto"/>
            </w:pPr>
            <w:r>
              <w:rPr>
                <w:sz w:val="18"/>
              </w:rPr>
              <w:t>No matching rows</w:t>
            </w:r>
          </w:p>
        </w:tc>
        <w:tc>
          <w:tcPr>
            <w:tcW w:type="dxa" w:w="5688"/>
            <w:vAlign w:val="center"/>
            <w:tcMar>
              <w:top w:w="90" w:type="dxa"/>
              <w:bottom w:w="90" w:type="dxa"/>
              <w:left w:w="90" w:type="dxa"/>
              <w:right w:w="90" w:type="dxa"/>
            </w:tcMar>
            <w:shd w:fill="FFFFFF"/>
          </w:tcPr>
          <w:p>
            <w:pPr>
              <w:spacing w:after="0" w:line="257" w:lineRule="auto"/>
            </w:pPr>
            <w:r>
              <w:rPr>
                <w:sz w:val="18"/>
              </w:rPr>
              <w:t>SUM is undefined, COUNT is zero; no forced money gap</w:t>
            </w:r>
          </w:p>
        </w:tc>
      </w:tr>
      <w:tr>
        <w:trPr>
          <w:cantSplit/>
        </w:trPr>
        <w:tc>
          <w:tcPr>
            <w:tcW w:type="dxa" w:w="749"/>
            <w:vAlign w:val="center"/>
            <w:tcMar>
              <w:top w:w="90" w:type="dxa"/>
              <w:bottom w:w="90" w:type="dxa"/>
              <w:left w:w="90" w:type="dxa"/>
              <w:right w:w="90" w:type="dxa"/>
            </w:tcMar>
            <w:shd w:fill="F6F8FA"/>
          </w:tcPr>
          <w:p>
            <w:pPr>
              <w:spacing w:after="0" w:line="257" w:lineRule="auto"/>
              <w:jc w:val="center"/>
            </w:pPr>
            <w:r>
              <w:rPr>
                <w:sz w:val="18"/>
              </w:rPr>
              <w:t>T08</w:t>
            </w:r>
          </w:p>
        </w:tc>
        <w:tc>
          <w:tcPr>
            <w:tcW w:type="dxa" w:w="3787"/>
            <w:vAlign w:val="center"/>
            <w:tcMar>
              <w:top w:w="90" w:type="dxa"/>
              <w:bottom w:w="90" w:type="dxa"/>
              <w:left w:w="90" w:type="dxa"/>
              <w:right w:w="90" w:type="dxa"/>
            </w:tcMar>
            <w:shd w:fill="F6F8FA"/>
          </w:tcPr>
          <w:p>
            <w:pPr>
              <w:spacing w:after="0" w:line="257" w:lineRule="auto"/>
            </w:pPr>
            <w:r>
              <w:rPr>
                <w:sz w:val="18"/>
              </w:rPr>
              <w:t>Zero baseline and nonzero target</w:t>
            </w:r>
          </w:p>
        </w:tc>
        <w:tc>
          <w:tcPr>
            <w:tcW w:type="dxa" w:w="5688"/>
            <w:vAlign w:val="center"/>
            <w:tcMar>
              <w:top w:w="90" w:type="dxa"/>
              <w:bottom w:w="90" w:type="dxa"/>
              <w:left w:w="90" w:type="dxa"/>
              <w:right w:w="90" w:type="dxa"/>
            </w:tcMar>
            <w:shd w:fill="F6F8FA"/>
          </w:tcPr>
          <w:p>
            <w:pPr>
              <w:spacing w:after="0" w:line="257" w:lineRule="auto"/>
            </w:pPr>
            <w:r>
              <w:rPr>
                <w:sz w:val="18"/>
              </w:rPr>
              <w:t>Absolute gap shown; relative percentage undefined</w:t>
            </w:r>
          </w:p>
        </w:tc>
      </w:tr>
      <w:tr>
        <w:trPr>
          <w:cantSplit/>
        </w:trPr>
        <w:tc>
          <w:tcPr>
            <w:tcW w:type="dxa" w:w="749"/>
            <w:vAlign w:val="center"/>
            <w:tcMar>
              <w:top w:w="90" w:type="dxa"/>
              <w:bottom w:w="90" w:type="dxa"/>
              <w:left w:w="90" w:type="dxa"/>
              <w:right w:w="90" w:type="dxa"/>
            </w:tcMar>
            <w:shd w:fill="FFFFFF"/>
          </w:tcPr>
          <w:p>
            <w:pPr>
              <w:spacing w:after="0" w:line="257" w:lineRule="auto"/>
              <w:jc w:val="center"/>
            </w:pPr>
            <w:r>
              <w:rPr>
                <w:sz w:val="18"/>
              </w:rPr>
              <w:t>T09</w:t>
            </w:r>
          </w:p>
        </w:tc>
        <w:tc>
          <w:tcPr>
            <w:tcW w:type="dxa" w:w="3787"/>
            <w:vAlign w:val="center"/>
            <w:tcMar>
              <w:top w:w="90" w:type="dxa"/>
              <w:bottom w:w="90" w:type="dxa"/>
              <w:left w:w="90" w:type="dxa"/>
              <w:right w:w="90" w:type="dxa"/>
            </w:tcMar>
            <w:shd w:fill="FFFFFF"/>
          </w:tcPr>
          <w:p>
            <w:pPr>
              <w:spacing w:after="0" w:line="257" w:lineRule="auto"/>
            </w:pPr>
            <w:r>
              <w:rPr>
                <w:sz w:val="18"/>
              </w:rPr>
              <w:t>Opposing rule effects</w:t>
            </w:r>
          </w:p>
        </w:tc>
        <w:tc>
          <w:tcPr>
            <w:tcW w:type="dxa" w:w="5688"/>
            <w:vAlign w:val="center"/>
            <w:tcMar>
              <w:top w:w="90" w:type="dxa"/>
              <w:bottom w:w="90" w:type="dxa"/>
              <w:left w:w="90" w:type="dxa"/>
              <w:right w:w="90" w:type="dxa"/>
            </w:tcMar>
            <w:shd w:fill="FFFFFF"/>
          </w:tcPr>
          <w:p>
            <w:pPr>
              <w:spacing w:after="0" w:line="257" w:lineRule="auto"/>
            </w:pPr>
            <w:r>
              <w:rPr>
                <w:sz w:val="18"/>
              </w:rPr>
              <w:t>Signed contributions shown without forcing 0 to 100 shares</w:t>
            </w:r>
          </w:p>
        </w:tc>
      </w:tr>
      <w:tr>
        <w:trPr>
          <w:cantSplit/>
        </w:trPr>
        <w:tc>
          <w:tcPr>
            <w:tcW w:type="dxa" w:w="749"/>
            <w:vAlign w:val="center"/>
            <w:tcMar>
              <w:top w:w="90" w:type="dxa"/>
              <w:bottom w:w="90" w:type="dxa"/>
              <w:left w:w="90" w:type="dxa"/>
              <w:right w:w="90" w:type="dxa"/>
            </w:tcMar>
            <w:shd w:fill="F6F8FA"/>
          </w:tcPr>
          <w:p>
            <w:pPr>
              <w:spacing w:after="0" w:line="257" w:lineRule="auto"/>
              <w:jc w:val="center"/>
            </w:pPr>
            <w:r>
              <w:rPr>
                <w:sz w:val="18"/>
              </w:rPr>
              <w:t>T10</w:t>
            </w:r>
          </w:p>
        </w:tc>
        <w:tc>
          <w:tcPr>
            <w:tcW w:type="dxa" w:w="3787"/>
            <w:vAlign w:val="center"/>
            <w:tcMar>
              <w:top w:w="90" w:type="dxa"/>
              <w:bottom w:w="90" w:type="dxa"/>
              <w:left w:w="90" w:type="dxa"/>
              <w:right w:w="90" w:type="dxa"/>
            </w:tcMar>
            <w:shd w:fill="F6F8FA"/>
          </w:tcPr>
          <w:p>
            <w:pPr>
              <w:spacing w:after="0" w:line="257" w:lineRule="auto"/>
            </w:pPr>
            <w:r>
              <w:rPr>
                <w:sz w:val="18"/>
              </w:rPr>
              <w:t>Refund and date interaction on one row</w:t>
            </w:r>
          </w:p>
        </w:tc>
        <w:tc>
          <w:tcPr>
            <w:tcW w:type="dxa" w:w="5688"/>
            <w:vAlign w:val="center"/>
            <w:tcMar>
              <w:top w:w="90" w:type="dxa"/>
              <w:bottom w:w="90" w:type="dxa"/>
              <w:left w:w="90" w:type="dxa"/>
              <w:right w:w="90" w:type="dxa"/>
            </w:tcMar>
            <w:shd w:fill="F6F8FA"/>
          </w:tcPr>
          <w:p>
            <w:pPr>
              <w:spacing w:after="0" w:line="257" w:lineRule="auto"/>
            </w:pPr>
            <w:r>
              <w:rPr>
                <w:sz w:val="18"/>
              </w:rPr>
              <w:t>Bridge changes by order; endpoint and row sums remain stable</w:t>
            </w:r>
          </w:p>
        </w:tc>
      </w:tr>
      <w:tr>
        <w:trPr>
          <w:cantSplit/>
        </w:trPr>
        <w:tc>
          <w:tcPr>
            <w:tcW w:type="dxa" w:w="749"/>
            <w:vAlign w:val="center"/>
            <w:tcMar>
              <w:top w:w="90" w:type="dxa"/>
              <w:bottom w:w="90" w:type="dxa"/>
              <w:left w:w="90" w:type="dxa"/>
              <w:right w:w="90" w:type="dxa"/>
            </w:tcMar>
            <w:shd w:fill="FFFFFF"/>
          </w:tcPr>
          <w:p>
            <w:pPr>
              <w:spacing w:after="0" w:line="257" w:lineRule="auto"/>
              <w:jc w:val="center"/>
            </w:pPr>
            <w:r>
              <w:rPr>
                <w:sz w:val="18"/>
              </w:rPr>
              <w:t>T11</w:t>
            </w:r>
          </w:p>
        </w:tc>
        <w:tc>
          <w:tcPr>
            <w:tcW w:type="dxa" w:w="3787"/>
            <w:vAlign w:val="center"/>
            <w:tcMar>
              <w:top w:w="90" w:type="dxa"/>
              <w:bottom w:w="90" w:type="dxa"/>
              <w:left w:w="90" w:type="dxa"/>
              <w:right w:w="90" w:type="dxa"/>
            </w:tcMar>
            <w:shd w:fill="FFFFFF"/>
          </w:tcPr>
          <w:p>
            <w:pPr>
              <w:spacing w:after="0" w:line="257" w:lineRule="auto"/>
            </w:pPr>
            <w:r>
              <w:rPr>
                <w:sz w:val="18"/>
              </w:rPr>
              <w:t>Duplicate order_​id</w:t>
            </w:r>
          </w:p>
        </w:tc>
        <w:tc>
          <w:tcPr>
            <w:tcW w:type="dxa" w:w="5688"/>
            <w:vAlign w:val="center"/>
            <w:tcMar>
              <w:top w:w="90" w:type="dxa"/>
              <w:bottom w:w="90" w:type="dxa"/>
              <w:left w:w="90" w:type="dxa"/>
              <w:right w:w="90" w:type="dxa"/>
            </w:tcMar>
            <w:shd w:fill="FFFFFF"/>
          </w:tcPr>
          <w:p>
            <w:pPr>
              <w:spacing w:after="0" w:line="257" w:lineRule="auto"/>
            </w:pPr>
            <w:r>
              <w:rPr>
                <w:sz w:val="18"/>
              </w:rPr>
              <w:t>Row evidence blocked and invalid snapshot reported</w:t>
            </w:r>
          </w:p>
        </w:tc>
      </w:tr>
      <w:tr>
        <w:trPr>
          <w:cantSplit/>
        </w:trPr>
        <w:tc>
          <w:tcPr>
            <w:tcW w:type="dxa" w:w="749"/>
            <w:vAlign w:val="center"/>
            <w:tcMar>
              <w:top w:w="90" w:type="dxa"/>
              <w:bottom w:w="90" w:type="dxa"/>
              <w:left w:w="90" w:type="dxa"/>
              <w:right w:w="90" w:type="dxa"/>
            </w:tcMar>
            <w:shd w:fill="F6F8FA"/>
          </w:tcPr>
          <w:p>
            <w:pPr>
              <w:spacing w:after="0" w:line="257" w:lineRule="auto"/>
              <w:jc w:val="center"/>
            </w:pPr>
            <w:r>
              <w:rPr>
                <w:sz w:val="18"/>
              </w:rPr>
              <w:t>T12</w:t>
            </w:r>
          </w:p>
        </w:tc>
        <w:tc>
          <w:tcPr>
            <w:tcW w:type="dxa" w:w="3787"/>
            <w:vAlign w:val="center"/>
            <w:tcMar>
              <w:top w:w="90" w:type="dxa"/>
              <w:bottom w:w="90" w:type="dxa"/>
              <w:left w:w="90" w:type="dxa"/>
              <w:right w:w="90" w:type="dxa"/>
            </w:tcMar>
            <w:shd w:fill="F6F8FA"/>
          </w:tcPr>
          <w:p>
            <w:pPr>
              <w:spacing w:after="0" w:line="257" w:lineRule="auto"/>
            </w:pPr>
            <w:r>
              <w:rPr>
                <w:sz w:val="18"/>
              </w:rPr>
              <w:t>Mixed currencies</w:t>
            </w:r>
          </w:p>
        </w:tc>
        <w:tc>
          <w:tcPr>
            <w:tcW w:type="dxa" w:w="5688"/>
            <w:vAlign w:val="center"/>
            <w:tcMar>
              <w:top w:w="90" w:type="dxa"/>
              <w:bottom w:w="90" w:type="dxa"/>
              <w:left w:w="90" w:type="dxa"/>
              <w:right w:w="90" w:type="dxa"/>
            </w:tcMar>
            <w:shd w:fill="F6F8FA"/>
          </w:tcPr>
          <w:p>
            <w:pPr>
              <w:spacing w:after="0" w:line="257" w:lineRule="auto"/>
            </w:pPr>
            <w:r>
              <w:rPr>
                <w:sz w:val="18"/>
              </w:rPr>
              <w:t>Impact blocked until a supported mapping exists</w:t>
            </w:r>
          </w:p>
        </w:tc>
      </w:tr>
      <w:tr>
        <w:trPr>
          <w:cantSplit/>
        </w:trPr>
        <w:tc>
          <w:tcPr>
            <w:tcW w:type="dxa" w:w="749"/>
            <w:vAlign w:val="center"/>
            <w:tcMar>
              <w:top w:w="90" w:type="dxa"/>
              <w:bottom w:w="90" w:type="dxa"/>
              <w:left w:w="90" w:type="dxa"/>
              <w:right w:w="90" w:type="dxa"/>
            </w:tcMar>
            <w:shd w:fill="FFFFFF"/>
          </w:tcPr>
          <w:p>
            <w:pPr>
              <w:spacing w:after="0" w:line="257" w:lineRule="auto"/>
              <w:jc w:val="center"/>
            </w:pPr>
            <w:r>
              <w:rPr>
                <w:sz w:val="18"/>
              </w:rPr>
              <w:t>T13</w:t>
            </w:r>
          </w:p>
        </w:tc>
        <w:tc>
          <w:tcPr>
            <w:tcW w:type="dxa" w:w="3787"/>
            <w:vAlign w:val="center"/>
            <w:tcMar>
              <w:top w:w="90" w:type="dxa"/>
              <w:bottom w:w="90" w:type="dxa"/>
              <w:left w:w="90" w:type="dxa"/>
              <w:right w:w="90" w:type="dxa"/>
            </w:tcMar>
            <w:shd w:fill="FFFFFF"/>
          </w:tcPr>
          <w:p>
            <w:pPr>
              <w:spacing w:after="0" w:line="257" w:lineRule="auto"/>
            </w:pPr>
            <w:r>
              <w:rPr>
                <w:sz w:val="18"/>
              </w:rPr>
              <w:t>Incompatible period or timezone</w:t>
            </w:r>
          </w:p>
        </w:tc>
        <w:tc>
          <w:tcPr>
            <w:tcW w:type="dxa" w:w="5688"/>
            <w:vAlign w:val="center"/>
            <w:tcMar>
              <w:top w:w="90" w:type="dxa"/>
              <w:bottom w:w="90" w:type="dxa"/>
              <w:left w:w="90" w:type="dxa"/>
              <w:right w:w="90" w:type="dxa"/>
            </w:tcMar>
            <w:shd w:fill="FFFFFF"/>
          </w:tcPr>
          <w:p>
            <w:pPr>
              <w:spacing w:after="0" w:line="257" w:lineRule="auto"/>
            </w:pPr>
            <w:r>
              <w:rPr>
                <w:sz w:val="18"/>
              </w:rPr>
              <w:t>Needs context or not comparable</w:t>
            </w:r>
          </w:p>
        </w:tc>
      </w:tr>
      <w:tr>
        <w:trPr>
          <w:cantSplit/>
        </w:trPr>
        <w:tc>
          <w:tcPr>
            <w:tcW w:type="dxa" w:w="749"/>
            <w:vAlign w:val="center"/>
            <w:tcMar>
              <w:top w:w="90" w:type="dxa"/>
              <w:bottom w:w="90" w:type="dxa"/>
              <w:left w:w="90" w:type="dxa"/>
              <w:right w:w="90" w:type="dxa"/>
            </w:tcMar>
            <w:shd w:fill="F6F8FA"/>
          </w:tcPr>
          <w:p>
            <w:pPr>
              <w:spacing w:after="0" w:line="257" w:lineRule="auto"/>
              <w:jc w:val="center"/>
            </w:pPr>
            <w:r>
              <w:rPr>
                <w:sz w:val="18"/>
              </w:rPr>
              <w:t>T14</w:t>
            </w:r>
          </w:p>
        </w:tc>
        <w:tc>
          <w:tcPr>
            <w:tcW w:type="dxa" w:w="3787"/>
            <w:vAlign w:val="center"/>
            <w:tcMar>
              <w:top w:w="90" w:type="dxa"/>
              <w:bottom w:w="90" w:type="dxa"/>
              <w:left w:w="90" w:type="dxa"/>
              <w:right w:w="90" w:type="dxa"/>
            </w:tcMar>
            <w:shd w:fill="F6F8FA"/>
          </w:tcPr>
          <w:p>
            <w:pPr>
              <w:spacing w:after="0" w:line="257" w:lineRule="auto"/>
            </w:pPr>
            <w:r>
              <w:rPr>
                <w:sz w:val="18"/>
              </w:rPr>
              <w:t>Join, CTE, window or division expression</w:t>
            </w:r>
          </w:p>
        </w:tc>
        <w:tc>
          <w:tcPr>
            <w:tcW w:type="dxa" w:w="5688"/>
            <w:vAlign w:val="center"/>
            <w:tcMar>
              <w:top w:w="90" w:type="dxa"/>
              <w:bottom w:w="90" w:type="dxa"/>
              <w:left w:w="90" w:type="dxa"/>
              <w:right w:w="90" w:type="dxa"/>
            </w:tcMar>
            <w:shd w:fill="F6F8FA"/>
          </w:tcPr>
          <w:p>
            <w:pPr>
              <w:spacing w:after="0" w:line="257" w:lineRule="auto"/>
            </w:pPr>
            <w:r>
              <w:rPr>
                <w:sz w:val="18"/>
              </w:rPr>
              <w:t>Unsupported status rather than partial silent parsing</w:t>
            </w:r>
          </w:p>
        </w:tc>
      </w:tr>
      <w:tr>
        <w:trPr>
          <w:cantSplit/>
        </w:trPr>
        <w:tc>
          <w:tcPr>
            <w:tcW w:type="dxa" w:w="749"/>
            <w:vAlign w:val="center"/>
            <w:tcMar>
              <w:top w:w="90" w:type="dxa"/>
              <w:bottom w:w="90" w:type="dxa"/>
              <w:left w:w="90" w:type="dxa"/>
              <w:right w:w="90" w:type="dxa"/>
            </w:tcMar>
            <w:shd w:fill="FFFFFF"/>
          </w:tcPr>
          <w:p>
            <w:pPr>
              <w:spacing w:after="0" w:line="257" w:lineRule="auto"/>
              <w:jc w:val="center"/>
            </w:pPr>
            <w:r>
              <w:rPr>
                <w:sz w:val="18"/>
              </w:rPr>
              <w:t>T15</w:t>
            </w:r>
          </w:p>
        </w:tc>
        <w:tc>
          <w:tcPr>
            <w:tcW w:type="dxa" w:w="3787"/>
            <w:vAlign w:val="center"/>
            <w:tcMar>
              <w:top w:w="90" w:type="dxa"/>
              <w:bottom w:w="90" w:type="dxa"/>
              <w:left w:w="90" w:type="dxa"/>
              <w:right w:w="90" w:type="dxa"/>
            </w:tcMar>
            <w:shd w:fill="FFFFFF"/>
          </w:tcPr>
          <w:p>
            <w:pPr>
              <w:spacing w:after="0" w:line="257" w:lineRule="auto"/>
            </w:pPr>
            <w:r>
              <w:rPr>
                <w:sz w:val="18"/>
              </w:rPr>
              <w:t>File scan or second SQL statement</w:t>
            </w:r>
          </w:p>
        </w:tc>
        <w:tc>
          <w:tcPr>
            <w:tcW w:type="dxa" w:w="5688"/>
            <w:vAlign w:val="center"/>
            <w:tcMar>
              <w:top w:w="90" w:type="dxa"/>
              <w:bottom w:w="90" w:type="dxa"/>
              <w:left w:w="90" w:type="dxa"/>
              <w:right w:w="90" w:type="dxa"/>
            </w:tcMar>
            <w:shd w:fill="FFFFFF"/>
          </w:tcPr>
          <w:p>
            <w:pPr>
              <w:spacing w:after="0" w:line="257" w:lineRule="auto"/>
            </w:pPr>
            <w:r>
              <w:rPr>
                <w:sz w:val="18"/>
              </w:rPr>
              <w:t>Rejected before execution</w:t>
            </w:r>
          </w:p>
        </w:tc>
      </w:tr>
      <w:tr>
        <w:trPr>
          <w:cantSplit/>
        </w:trPr>
        <w:tc>
          <w:tcPr>
            <w:tcW w:type="dxa" w:w="749"/>
            <w:vAlign w:val="center"/>
            <w:tcMar>
              <w:top w:w="90" w:type="dxa"/>
              <w:bottom w:w="90" w:type="dxa"/>
              <w:left w:w="90" w:type="dxa"/>
              <w:right w:w="90" w:type="dxa"/>
            </w:tcMar>
            <w:shd w:fill="F6F8FA"/>
          </w:tcPr>
          <w:p>
            <w:pPr>
              <w:spacing w:after="0" w:line="257" w:lineRule="auto"/>
              <w:jc w:val="center"/>
            </w:pPr>
            <w:r>
              <w:rPr>
                <w:sz w:val="18"/>
              </w:rPr>
              <w:t>T16</w:t>
            </w:r>
          </w:p>
        </w:tc>
        <w:tc>
          <w:tcPr>
            <w:tcW w:type="dxa" w:w="3787"/>
            <w:vAlign w:val="center"/>
            <w:tcMar>
              <w:top w:w="90" w:type="dxa"/>
              <w:bottom w:w="90" w:type="dxa"/>
              <w:left w:w="90" w:type="dxa"/>
              <w:right w:w="90" w:type="dxa"/>
            </w:tcMar>
            <w:shd w:fill="F6F8FA"/>
          </w:tcPr>
          <w:p>
            <w:pPr>
              <w:spacing w:after="0" w:line="257" w:lineRule="auto"/>
            </w:pPr>
            <w:r>
              <w:rPr>
                <w:sz w:val="18"/>
              </w:rPr>
              <w:t>Oversized file or resource exhaustion</w:t>
            </w:r>
          </w:p>
        </w:tc>
        <w:tc>
          <w:tcPr>
            <w:tcW w:type="dxa" w:w="5688"/>
            <w:vAlign w:val="center"/>
            <w:tcMar>
              <w:top w:w="90" w:type="dxa"/>
              <w:bottom w:w="90" w:type="dxa"/>
              <w:left w:w="90" w:type="dxa"/>
              <w:right w:w="90" w:type="dxa"/>
            </w:tcMar>
            <w:shd w:fill="F6F8FA"/>
          </w:tcPr>
          <w:p>
            <w:pPr>
              <w:spacing w:after="0" w:line="257" w:lineRule="auto"/>
            </w:pPr>
            <w:r>
              <w:rPr>
                <w:sz w:val="18"/>
              </w:rPr>
              <w:t>Bounded failure and honest job state</w:t>
            </w:r>
          </w:p>
        </w:tc>
      </w:tr>
      <w:tr>
        <w:trPr>
          <w:cantSplit/>
        </w:trPr>
        <w:tc>
          <w:tcPr>
            <w:tcW w:type="dxa" w:w="749"/>
            <w:vAlign w:val="center"/>
            <w:tcMar>
              <w:top w:w="90" w:type="dxa"/>
              <w:bottom w:w="90" w:type="dxa"/>
              <w:left w:w="90" w:type="dxa"/>
              <w:right w:w="90" w:type="dxa"/>
            </w:tcMar>
            <w:shd w:fill="FFFFFF"/>
          </w:tcPr>
          <w:p>
            <w:pPr>
              <w:spacing w:after="0" w:line="257" w:lineRule="auto"/>
              <w:jc w:val="center"/>
            </w:pPr>
            <w:r>
              <w:rPr>
                <w:sz w:val="18"/>
              </w:rPr>
              <w:t>T17</w:t>
            </w:r>
          </w:p>
        </w:tc>
        <w:tc>
          <w:tcPr>
            <w:tcW w:type="dxa" w:w="3787"/>
            <w:vAlign w:val="center"/>
            <w:tcMar>
              <w:top w:w="90" w:type="dxa"/>
              <w:bottom w:w="90" w:type="dxa"/>
              <w:left w:w="90" w:type="dxa"/>
              <w:right w:w="90" w:type="dxa"/>
            </w:tcMar>
            <w:shd w:fill="FFFFFF"/>
          </w:tcPr>
          <w:p>
            <w:pPr>
              <w:spacing w:after="0" w:line="257" w:lineRule="auto"/>
            </w:pPr>
            <w:r>
              <w:rPr>
                <w:sz w:val="18"/>
              </w:rPr>
              <w:t>Worker dies mid-run</w:t>
            </w:r>
          </w:p>
        </w:tc>
        <w:tc>
          <w:tcPr>
            <w:tcW w:type="dxa" w:w="5688"/>
            <w:vAlign w:val="center"/>
            <w:tcMar>
              <w:top w:w="90" w:type="dxa"/>
              <w:bottom w:w="90" w:type="dxa"/>
              <w:left w:w="90" w:type="dxa"/>
              <w:right w:w="90" w:type="dxa"/>
            </w:tcMar>
            <w:shd w:fill="FFFFFF"/>
          </w:tcPr>
          <w:p>
            <w:pPr>
              <w:spacing w:after="0" w:line="257" w:lineRule="auto"/>
            </w:pPr>
            <w:r>
              <w:rPr>
                <w:sz w:val="18"/>
              </w:rPr>
              <w:t>Lease recovery creates a new attempt without two accepted results</w:t>
            </w:r>
          </w:p>
        </w:tc>
      </w:tr>
      <w:tr>
        <w:trPr>
          <w:cantSplit/>
        </w:trPr>
        <w:tc>
          <w:tcPr>
            <w:tcW w:type="dxa" w:w="749"/>
            <w:vAlign w:val="center"/>
            <w:tcMar>
              <w:top w:w="90" w:type="dxa"/>
              <w:bottom w:w="90" w:type="dxa"/>
              <w:left w:w="90" w:type="dxa"/>
              <w:right w:w="90" w:type="dxa"/>
            </w:tcMar>
            <w:shd w:fill="F6F8FA"/>
          </w:tcPr>
          <w:p>
            <w:pPr>
              <w:spacing w:after="0" w:line="257" w:lineRule="auto"/>
              <w:jc w:val="center"/>
            </w:pPr>
            <w:r>
              <w:rPr>
                <w:sz w:val="18"/>
              </w:rPr>
              <w:t>T18</w:t>
            </w:r>
          </w:p>
        </w:tc>
        <w:tc>
          <w:tcPr>
            <w:tcW w:type="dxa" w:w="3787"/>
            <w:vAlign w:val="center"/>
            <w:tcMar>
              <w:top w:w="90" w:type="dxa"/>
              <w:bottom w:w="90" w:type="dxa"/>
              <w:left w:w="90" w:type="dxa"/>
              <w:right w:w="90" w:type="dxa"/>
            </w:tcMar>
            <w:shd w:fill="F6F8FA"/>
          </w:tcPr>
          <w:p>
            <w:pPr>
              <w:spacing w:after="0" w:line="257" w:lineRule="auto"/>
            </w:pPr>
            <w:r>
              <w:rPr>
                <w:sz w:val="18"/>
              </w:rPr>
              <w:t>Repeated request with same idempotency key</w:t>
            </w:r>
          </w:p>
        </w:tc>
        <w:tc>
          <w:tcPr>
            <w:tcW w:type="dxa" w:w="5688"/>
            <w:vAlign w:val="center"/>
            <w:tcMar>
              <w:top w:w="90" w:type="dxa"/>
              <w:bottom w:w="90" w:type="dxa"/>
              <w:left w:w="90" w:type="dxa"/>
              <w:right w:w="90" w:type="dxa"/>
            </w:tcMar>
            <w:shd w:fill="F6F8FA"/>
          </w:tcPr>
          <w:p>
            <w:pPr>
              <w:spacing w:after="0" w:line="257" w:lineRule="auto"/>
            </w:pPr>
            <w:r>
              <w:rPr>
                <w:sz w:val="18"/>
              </w:rPr>
              <w:t>One run returned; changed payload receives conflict</w:t>
            </w:r>
          </w:p>
        </w:tc>
      </w:tr>
      <w:tr>
        <w:trPr>
          <w:cantSplit/>
        </w:trPr>
        <w:tc>
          <w:tcPr>
            <w:tcW w:type="dxa" w:w="749"/>
            <w:vAlign w:val="center"/>
            <w:tcMar>
              <w:top w:w="90" w:type="dxa"/>
              <w:bottom w:w="90" w:type="dxa"/>
              <w:left w:w="90" w:type="dxa"/>
              <w:right w:w="90" w:type="dxa"/>
            </w:tcMar>
            <w:shd w:fill="FFFFFF"/>
          </w:tcPr>
          <w:p>
            <w:pPr>
              <w:spacing w:after="0" w:line="257" w:lineRule="auto"/>
              <w:jc w:val="center"/>
            </w:pPr>
            <w:r>
              <w:rPr>
                <w:sz w:val="18"/>
              </w:rPr>
              <w:t>T19</w:t>
            </w:r>
          </w:p>
        </w:tc>
        <w:tc>
          <w:tcPr>
            <w:tcW w:type="dxa" w:w="3787"/>
            <w:vAlign w:val="center"/>
            <w:tcMar>
              <w:top w:w="90" w:type="dxa"/>
              <w:bottom w:w="90" w:type="dxa"/>
              <w:left w:w="90" w:type="dxa"/>
              <w:right w:w="90" w:type="dxa"/>
            </w:tcMar>
            <w:shd w:fill="FFFFFF"/>
          </w:tcPr>
          <w:p>
            <w:pPr>
              <w:spacing w:after="0" w:line="257" w:lineRule="auto"/>
            </w:pPr>
            <w:r>
              <w:rPr>
                <w:sz w:val="18"/>
              </w:rPr>
              <w:t>Same inputs and versions repeated</w:t>
            </w:r>
          </w:p>
        </w:tc>
        <w:tc>
          <w:tcPr>
            <w:tcW w:type="dxa" w:w="5688"/>
            <w:vAlign w:val="center"/>
            <w:tcMar>
              <w:top w:w="90" w:type="dxa"/>
              <w:bottom w:w="90" w:type="dxa"/>
              <w:left w:w="90" w:type="dxa"/>
              <w:right w:w="90" w:type="dxa"/>
            </w:tcMar>
            <w:shd w:fill="FFFFFF"/>
          </w:tcPr>
          <w:p>
            <w:pPr>
              <w:spacing w:after="0" w:line="257" w:lineRule="auto"/>
            </w:pPr>
            <w:r>
              <w:rPr>
                <w:sz w:val="18"/>
              </w:rPr>
              <w:t>Numeric results and stable evidence reproduce</w:t>
            </w:r>
          </w:p>
        </w:tc>
      </w:tr>
      <w:tr>
        <w:trPr>
          <w:cantSplit/>
        </w:trPr>
        <w:tc>
          <w:tcPr>
            <w:tcW w:type="dxa" w:w="749"/>
            <w:vAlign w:val="center"/>
            <w:tcMar>
              <w:top w:w="90" w:type="dxa"/>
              <w:bottom w:w="90" w:type="dxa"/>
              <w:left w:w="90" w:type="dxa"/>
              <w:right w:w="90" w:type="dxa"/>
            </w:tcMar>
            <w:shd w:fill="F6F8FA"/>
          </w:tcPr>
          <w:p>
            <w:pPr>
              <w:spacing w:after="0" w:line="257" w:lineRule="auto"/>
              <w:jc w:val="center"/>
            </w:pPr>
            <w:r>
              <w:rPr>
                <w:sz w:val="18"/>
              </w:rPr>
              <w:t>T20</w:t>
            </w:r>
          </w:p>
        </w:tc>
        <w:tc>
          <w:tcPr>
            <w:tcW w:type="dxa" w:w="3787"/>
            <w:vAlign w:val="center"/>
            <w:tcMar>
              <w:top w:w="90" w:type="dxa"/>
              <w:bottom w:w="90" w:type="dxa"/>
              <w:left w:w="90" w:type="dxa"/>
              <w:right w:w="90" w:type="dxa"/>
            </w:tcMar>
            <w:shd w:fill="F6F8FA"/>
          </w:tcPr>
          <w:p>
            <w:pPr>
              <w:spacing w:after="0" w:line="257" w:lineRule="auto"/>
            </w:pPr>
            <w:r>
              <w:rPr>
                <w:sz w:val="18"/>
              </w:rPr>
              <w:t>Snapshot or engine version changes</w:t>
            </w:r>
          </w:p>
        </w:tc>
        <w:tc>
          <w:tcPr>
            <w:tcW w:type="dxa" w:w="5688"/>
            <w:vAlign w:val="center"/>
            <w:tcMar>
              <w:top w:w="90" w:type="dxa"/>
              <w:bottom w:w="90" w:type="dxa"/>
              <w:left w:w="90" w:type="dxa"/>
              <w:right w:w="90" w:type="dxa"/>
            </w:tcMar>
            <w:shd w:fill="F6F8FA"/>
          </w:tcPr>
          <w:p>
            <w:pPr>
              <w:spacing w:after="0" w:line="257" w:lineRule="auto"/>
            </w:pPr>
            <w:r>
              <w:rPr>
                <w:sz w:val="18"/>
              </w:rPr>
              <w:t>New run identity; no stale cache reuse</w:t>
            </w:r>
          </w:p>
        </w:tc>
      </w:tr>
      <w:tr>
        <w:trPr>
          <w:cantSplit/>
        </w:trPr>
        <w:tc>
          <w:tcPr>
            <w:tcW w:type="dxa" w:w="749"/>
            <w:vAlign w:val="center"/>
            <w:tcMar>
              <w:top w:w="90" w:type="dxa"/>
              <w:bottom w:w="90" w:type="dxa"/>
              <w:left w:w="90" w:type="dxa"/>
              <w:right w:w="90" w:type="dxa"/>
            </w:tcMar>
            <w:shd w:fill="FFFFFF"/>
          </w:tcPr>
          <w:p>
            <w:pPr>
              <w:spacing w:after="0" w:line="257" w:lineRule="auto"/>
              <w:jc w:val="center"/>
            </w:pPr>
            <w:r>
              <w:rPr>
                <w:sz w:val="18"/>
              </w:rPr>
              <w:t>T21</w:t>
            </w:r>
          </w:p>
        </w:tc>
        <w:tc>
          <w:tcPr>
            <w:tcW w:type="dxa" w:w="3787"/>
            <w:vAlign w:val="center"/>
            <w:tcMar>
              <w:top w:w="90" w:type="dxa"/>
              <w:bottom w:w="90" w:type="dxa"/>
              <w:left w:w="90" w:type="dxa"/>
              <w:right w:w="90" w:type="dxa"/>
            </w:tcMar>
            <w:shd w:fill="FFFFFF"/>
          </w:tcPr>
          <w:p>
            <w:pPr>
              <w:spacing w:after="0" w:line="257" w:lineRule="auto"/>
            </w:pPr>
            <w:r>
              <w:rPr>
                <w:sz w:val="18"/>
              </w:rPr>
              <w:t>Changed definition with unchanged data</w:t>
            </w:r>
          </w:p>
        </w:tc>
        <w:tc>
          <w:tcPr>
            <w:tcW w:type="dxa" w:w="5688"/>
            <w:vAlign w:val="center"/>
            <w:tcMar>
              <w:top w:w="90" w:type="dxa"/>
              <w:bottom w:w="90" w:type="dxa"/>
              <w:left w:w="90" w:type="dxa"/>
              <w:right w:w="90" w:type="dxa"/>
            </w:tcMar>
            <w:shd w:fill="FFFFFF"/>
          </w:tcPr>
          <w:p>
            <w:pPr>
              <w:spacing w:after="0" w:line="257" w:lineRule="auto"/>
            </w:pPr>
            <w:r>
              <w:rPr>
                <w:sz w:val="18"/>
              </w:rPr>
              <w:t>Fixed-data drift effect correctly isolated</w:t>
            </w:r>
          </w:p>
        </w:tc>
      </w:tr>
      <w:tr>
        <w:trPr>
          <w:cantSplit/>
        </w:trPr>
        <w:tc>
          <w:tcPr>
            <w:tcW w:type="dxa" w:w="749"/>
            <w:vAlign w:val="center"/>
            <w:tcMar>
              <w:top w:w="90" w:type="dxa"/>
              <w:bottom w:w="90" w:type="dxa"/>
              <w:left w:w="90" w:type="dxa"/>
              <w:right w:w="90" w:type="dxa"/>
            </w:tcMar>
            <w:shd w:fill="F6F8FA"/>
          </w:tcPr>
          <w:p>
            <w:pPr>
              <w:spacing w:after="0" w:line="257" w:lineRule="auto"/>
              <w:jc w:val="center"/>
            </w:pPr>
            <w:r>
              <w:rPr>
                <w:sz w:val="18"/>
              </w:rPr>
              <w:t>T22</w:t>
            </w:r>
          </w:p>
        </w:tc>
        <w:tc>
          <w:tcPr>
            <w:tcW w:type="dxa" w:w="3787"/>
            <w:vAlign w:val="center"/>
            <w:tcMar>
              <w:top w:w="90" w:type="dxa"/>
              <w:bottom w:w="90" w:type="dxa"/>
              <w:left w:w="90" w:type="dxa"/>
              <w:right w:w="90" w:type="dxa"/>
            </w:tcMar>
            <w:shd w:fill="F6F8FA"/>
          </w:tcPr>
          <w:p>
            <w:pPr>
              <w:spacing w:after="0" w:line="257" w:lineRule="auto"/>
            </w:pPr>
            <w:r>
              <w:rPr>
                <w:sz w:val="18"/>
              </w:rPr>
              <w:t>Same definition with changed data</w:t>
            </w:r>
          </w:p>
        </w:tc>
        <w:tc>
          <w:tcPr>
            <w:tcW w:type="dxa" w:w="5688"/>
            <w:vAlign w:val="center"/>
            <w:tcMar>
              <w:top w:w="90" w:type="dxa"/>
              <w:bottom w:w="90" w:type="dxa"/>
              <w:left w:w="90" w:type="dxa"/>
              <w:right w:w="90" w:type="dxa"/>
            </w:tcMar>
            <w:shd w:fill="F6F8FA"/>
          </w:tcPr>
          <w:p>
            <w:pPr>
              <w:spacing w:after="0" w:line="257" w:lineRule="auto"/>
            </w:pPr>
            <w:r>
              <w:rPr>
                <w:sz w:val="18"/>
              </w:rPr>
              <w:t>Data change not labeled pure semantic drift</w:t>
            </w:r>
          </w:p>
        </w:tc>
      </w:tr>
      <w:tr>
        <w:trPr>
          <w:cantSplit/>
        </w:trPr>
        <w:tc>
          <w:tcPr>
            <w:tcW w:type="dxa" w:w="749"/>
            <w:vAlign w:val="center"/>
            <w:tcMar>
              <w:top w:w="90" w:type="dxa"/>
              <w:bottom w:w="90" w:type="dxa"/>
              <w:left w:w="90" w:type="dxa"/>
              <w:right w:w="90" w:type="dxa"/>
            </w:tcMar>
            <w:shd w:fill="FFFFFF"/>
          </w:tcPr>
          <w:p>
            <w:pPr>
              <w:spacing w:after="0" w:line="257" w:lineRule="auto"/>
              <w:jc w:val="center"/>
            </w:pPr>
            <w:r>
              <w:rPr>
                <w:sz w:val="18"/>
              </w:rPr>
              <w:t>T23</w:t>
            </w:r>
          </w:p>
        </w:tc>
        <w:tc>
          <w:tcPr>
            <w:tcW w:type="dxa" w:w="3787"/>
            <w:vAlign w:val="center"/>
            <w:tcMar>
              <w:top w:w="90" w:type="dxa"/>
              <w:bottom w:w="90" w:type="dxa"/>
              <w:left w:w="90" w:type="dxa"/>
              <w:right w:w="90" w:type="dxa"/>
            </w:tcMar>
            <w:shd w:fill="FFFFFF"/>
          </w:tcPr>
          <w:p>
            <w:pPr>
              <w:spacing w:after="0" w:line="257" w:lineRule="auto"/>
            </w:pPr>
            <w:r>
              <w:rPr>
                <w:sz w:val="18"/>
              </w:rPr>
              <w:t>Duplicate customer across orders</w:t>
            </w:r>
          </w:p>
        </w:tc>
        <w:tc>
          <w:tcPr>
            <w:tcW w:type="dxa" w:w="5688"/>
            <w:vAlign w:val="center"/>
            <w:tcMar>
              <w:top w:w="90" w:type="dxa"/>
              <w:bottom w:w="90" w:type="dxa"/>
              <w:left w:w="90" w:type="dxa"/>
              <w:right w:w="90" w:type="dxa"/>
            </w:tcMar>
            <w:shd w:fill="FFFFFF"/>
          </w:tcPr>
          <w:p>
            <w:pPr>
              <w:spacing w:after="0" w:line="257" w:lineRule="auto"/>
            </w:pPr>
            <w:r>
              <w:rPr>
                <w:sz w:val="18"/>
              </w:rPr>
              <w:t>COUNT DISTINCT uses entity membership, not sum of order counts</w:t>
            </w:r>
          </w:p>
        </w:tc>
      </w:tr>
      <w:tr>
        <w:trPr>
          <w:cantSplit/>
        </w:trPr>
        <w:tc>
          <w:tcPr>
            <w:tcW w:type="dxa" w:w="749"/>
            <w:vAlign w:val="center"/>
            <w:tcMar>
              <w:top w:w="90" w:type="dxa"/>
              <w:bottom w:w="90" w:type="dxa"/>
              <w:left w:w="90" w:type="dxa"/>
              <w:right w:w="90" w:type="dxa"/>
            </w:tcMar>
            <w:shd w:fill="F6F8FA"/>
          </w:tcPr>
          <w:p>
            <w:pPr>
              <w:spacing w:after="0" w:line="257" w:lineRule="auto"/>
              <w:jc w:val="center"/>
            </w:pPr>
            <w:r>
              <w:rPr>
                <w:sz w:val="18"/>
              </w:rPr>
              <w:t>T24</w:t>
            </w:r>
          </w:p>
        </w:tc>
        <w:tc>
          <w:tcPr>
            <w:tcW w:type="dxa" w:w="3787"/>
            <w:vAlign w:val="center"/>
            <w:tcMar>
              <w:top w:w="90" w:type="dxa"/>
              <w:bottom w:w="90" w:type="dxa"/>
              <w:left w:w="90" w:type="dxa"/>
              <w:right w:w="90" w:type="dxa"/>
            </w:tcMar>
            <w:shd w:fill="F6F8FA"/>
          </w:tcPr>
          <w:p>
            <w:pPr>
              <w:spacing w:after="0" w:line="257" w:lineRule="auto"/>
            </w:pPr>
            <w:r>
              <w:rPr>
                <w:sz w:val="18"/>
              </w:rPr>
              <w:t>Missing snapshot after deletion</w:t>
            </w:r>
          </w:p>
        </w:tc>
        <w:tc>
          <w:tcPr>
            <w:tcW w:type="dxa" w:w="5688"/>
            <w:vAlign w:val="center"/>
            <w:tcMar>
              <w:top w:w="90" w:type="dxa"/>
              <w:bottom w:w="90" w:type="dxa"/>
              <w:left w:w="90" w:type="dxa"/>
              <w:right w:w="90" w:type="dxa"/>
            </w:tcMar>
            <w:shd w:fill="F6F8FA"/>
          </w:tcPr>
          <w:p>
            <w:pPr>
              <w:spacing w:after="0" w:line="257" w:lineRule="auto"/>
            </w:pPr>
            <w:r>
              <w:rPr>
                <w:sz w:val="18"/>
              </w:rPr>
              <w:t>Historical result visible, replay unavailable</w:t>
            </w:r>
          </w:p>
        </w:tc>
      </w:tr>
      <w:tr>
        <w:trPr>
          <w:cantSplit/>
        </w:trPr>
        <w:tc>
          <w:tcPr>
            <w:tcW w:type="dxa" w:w="749"/>
            <w:vAlign w:val="center"/>
            <w:tcMar>
              <w:top w:w="90" w:type="dxa"/>
              <w:bottom w:w="90" w:type="dxa"/>
              <w:left w:w="90" w:type="dxa"/>
              <w:right w:w="90" w:type="dxa"/>
            </w:tcMar>
            <w:shd w:fill="FFFFFF"/>
          </w:tcPr>
          <w:p>
            <w:pPr>
              <w:spacing w:after="0" w:line="257" w:lineRule="auto"/>
              <w:jc w:val="center"/>
            </w:pPr>
            <w:r>
              <w:rPr>
                <w:sz w:val="18"/>
              </w:rPr>
              <w:t>T25</w:t>
            </w:r>
          </w:p>
        </w:tc>
        <w:tc>
          <w:tcPr>
            <w:tcW w:type="dxa" w:w="3787"/>
            <w:vAlign w:val="center"/>
            <w:tcMar>
              <w:top w:w="90" w:type="dxa"/>
              <w:bottom w:w="90" w:type="dxa"/>
              <w:left w:w="90" w:type="dxa"/>
              <w:right w:w="90" w:type="dxa"/>
            </w:tcMar>
            <w:shd w:fill="FFFFFF"/>
          </w:tcPr>
          <w:p>
            <w:pPr>
              <w:spacing w:after="0" w:line="257" w:lineRule="auto"/>
            </w:pPr>
            <w:r>
              <w:rPr>
                <w:sz w:val="18"/>
              </w:rPr>
              <w:t>Partial attribution or invalid hybrid</w:t>
            </w:r>
          </w:p>
        </w:tc>
        <w:tc>
          <w:tcPr>
            <w:tcW w:type="dxa" w:w="5688"/>
            <w:vAlign w:val="center"/>
            <w:tcMar>
              <w:top w:w="90" w:type="dxa"/>
              <w:bottom w:w="90" w:type="dxa"/>
              <w:left w:w="90" w:type="dxa"/>
              <w:right w:w="90" w:type="dxa"/>
            </w:tcMar>
            <w:shd w:fill="FFFFFF"/>
          </w:tcPr>
          <w:p>
            <w:pPr>
              <w:spacing w:after="0" w:line="257" w:lineRule="auto"/>
            </w:pPr>
            <w:r>
              <w:rPr>
                <w:sz w:val="18"/>
              </w:rPr>
              <w:t>Endpoint remains visible; explanation cannot be complete</w:t>
            </w:r>
          </w:p>
        </w:tc>
      </w:tr>
      <w:tr>
        <w:trPr>
          <w:cantSplit/>
        </w:trPr>
        <w:tc>
          <w:tcPr>
            <w:tcW w:type="dxa" w:w="749"/>
            <w:vAlign w:val="center"/>
            <w:tcMar>
              <w:top w:w="90" w:type="dxa"/>
              <w:bottom w:w="90" w:type="dxa"/>
              <w:left w:w="90" w:type="dxa"/>
              <w:right w:w="90" w:type="dxa"/>
            </w:tcMar>
            <w:shd w:fill="F6F8FA"/>
          </w:tcPr>
          <w:p>
            <w:pPr>
              <w:spacing w:after="0" w:line="257" w:lineRule="auto"/>
              <w:jc w:val="center"/>
            </w:pPr>
            <w:r>
              <w:rPr>
                <w:sz w:val="18"/>
              </w:rPr>
              <w:t>T26</w:t>
            </w:r>
          </w:p>
        </w:tc>
        <w:tc>
          <w:tcPr>
            <w:tcW w:type="dxa" w:w="3787"/>
            <w:vAlign w:val="center"/>
            <w:tcMar>
              <w:top w:w="90" w:type="dxa"/>
              <w:bottom w:w="90" w:type="dxa"/>
              <w:left w:w="90" w:type="dxa"/>
              <w:right w:w="90" w:type="dxa"/>
            </w:tcMar>
            <w:shd w:fill="F6F8FA"/>
          </w:tcPr>
          <w:p>
            <w:pPr>
              <w:spacing w:after="0" w:line="257" w:lineRule="auto"/>
            </w:pPr>
            <w:r>
              <w:rPr>
                <w:sz w:val="18"/>
              </w:rPr>
              <w:t>SQL or description contains HTML or instructions</w:t>
            </w:r>
          </w:p>
        </w:tc>
        <w:tc>
          <w:tcPr>
            <w:tcW w:type="dxa" w:w="5688"/>
            <w:vAlign w:val="center"/>
            <w:tcMar>
              <w:top w:w="90" w:type="dxa"/>
              <w:bottom w:w="90" w:type="dxa"/>
              <w:left w:w="90" w:type="dxa"/>
              <w:right w:w="90" w:type="dxa"/>
            </w:tcMar>
            <w:shd w:fill="F6F8FA"/>
          </w:tcPr>
          <w:p>
            <w:pPr>
              <w:spacing w:after="0" w:line="257" w:lineRule="auto"/>
            </w:pPr>
            <w:r>
              <w:rPr>
                <w:sz w:val="18"/>
              </w:rPr>
              <w:t>Escaped text; no model or runner instruction following</w:t>
            </w:r>
          </w:p>
        </w:tc>
      </w:tr>
    </w:tbl>
    <w:p>
      <w:pPr>
        <w:spacing w:after="20"/>
      </w:pPr>
    </w:p>
    <w:p>
      <w:pPr>
        <w:pStyle w:val="Heading2"/>
      </w:pPr>
      <w:r>
        <w:t>Independent oracles and evaluation</w:t>
      </w:r>
    </w:p>
    <w:p>
      <w:r>
        <w:t>Verify the golden totals using a separate decimal calculation and explicit membership lists, not by calling the same parser and reconciler under test. For generated datasets, independently calculate simple expected aggregates and keep fixed seeds. Use property tests for sign reversal of endpoint deltas, identity comparisons, row partition coverage and bridge telescoping.</w:t>
      </w:r>
    </w:p>
    <w:p>
      <w:r>
        <w:t>Do not require each ordered rule contribution to reverse exactly when the direction changes; interactions and the declared sequence can change attribution. The endpoint gap must reverse. Identity comparison must produce a zero gap for defined endpoints and preserve undefined endpoint semantics for empty SUM cases.</w:t>
      </w:r>
    </w:p>
    <w:p>
      <w:r>
        <w:t>Create a matching corpus with at least 100 labeled pairs covering expected agreement, intentional variants, unrelated names and unknown cases. Split it by business concept or template family so near-duplicate definitions do not leak between tuning and evaluation. Report precision, recall, confusion cases and the abstention rate; a high precision score with almost no suggestions can be unhelpful.</w:t>
      </w:r>
    </w:p>
    <w:p>
      <w:pPr>
        <w:pStyle w:val="Heading2"/>
      </w:pPr>
      <w:r>
        <w:t>Five minute demonstration</w:t>
      </w:r>
    </w:p>
    <w:p>
      <w:pPr>
        <w:ind w:left="317" w:hanging="317"/>
      </w:pPr>
      <w:r>
        <w:t>1. Show the three revenue totals and ask which number should be used for which purpose.</w:t>
      </w:r>
    </w:p>
    <w:p>
      <w:pPr>
        <w:ind w:left="317" w:hanging="317"/>
      </w:pPr>
      <w:r>
        <w:t>2. Open the definition matrix and show status, refund and date differences.</w:t>
      </w:r>
    </w:p>
    <w:p>
      <w:pPr>
        <w:ind w:left="317" w:hanging="317"/>
      </w:pPr>
      <w:r>
        <w:t>3. Run A against Finance on the frozen August snapshot and show the INR 60 lakh gap.</w:t>
      </w:r>
    </w:p>
    <w:p>
      <w:pPr>
        <w:ind w:left="317" w:hanging="317"/>
      </w:pPr>
      <w:r>
        <w:t>4. Open the bridge and click through to the four contributing orders.</w:t>
      </w:r>
    </w:p>
    <w:p>
      <w:pPr>
        <w:ind w:left="317" w:hanging="317"/>
      </w:pPr>
      <w:r>
        <w:t>5. Compare A with B to show that not Cancelled includes a pending order.</w:t>
      </w:r>
    </w:p>
    <w:p>
      <w:pPr>
        <w:ind w:left="317" w:hanging="317"/>
      </w:pPr>
      <w:r>
        <w:t>6. Show a different-definition but equal-value case to demonstrate that equality is not proof.</w:t>
      </w:r>
    </w:p>
    <w:p>
      <w:pPr>
        <w:ind w:left="317" w:hanging="317"/>
      </w:pPr>
      <w:r>
        <w:t>7. Import a changed date rule, replay it on the same snapshot, and record a scoped baseline decision.</w:t>
      </w:r>
    </w:p>
    <w:p>
      <w:pPr>
        <w:ind w:left="317" w:hanging="317"/>
      </w:pPr>
      <w:r>
        <w:t>8. Export evidence with the limitations and reproducibility identifiers intact.</w:t>
      </w:r>
    </w:p>
    <w:p>
      <w:r>
        <w:t>The strongest portfolio proof is this reproducible investigation plus tests and a clear explanation of limits. A screenshot of a dashboard alone does not demonstrate the reconciliation engine.</w:t>
      </w:r>
    </w:p>
    <w:p>
      <w:pPr>
        <w:pStyle w:val="Heading1"/>
      </w:pPr>
      <w:r>
        <w:t>9 Backlog and delivery roadmap</w:t>
      </w:r>
    </w:p>
    <w:p>
      <w:pPr>
        <w:pStyle w:val="Heading2"/>
      </w:pPr>
      <w:r>
        <w:t>Effort and sequence</w:t>
      </w:r>
    </w:p>
    <w:p>
      <w:r>
        <w:t>The proposed core build requires approximately 150 to 205 focused hours for one developer who can work with Python, SQL and a basic React application. At 15 to 20 hours per week, that is roughly 8 to 14 weeks before contingency. Add 20 to 30 percent for learning unfamiliar tools and resolving integration issues. These are planning estimates, not delivery promises.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592"/>
        <w:gridCol w:w="2160"/>
        <w:gridCol w:w="3168"/>
      </w:tblGrid>
      <w:tr>
        <w:trPr>
          <w:cantSplit/>
          <w:tblHeader/>
        </w:trPr>
        <w:tc>
          <w:tcPr>
            <w:tcW w:type="dxa" w:w="2304"/>
            <w:vAlign w:val="center"/>
            <w:tcMar>
              <w:top w:w="90" w:type="dxa"/>
              <w:bottom w:w="90" w:type="dxa"/>
              <w:left w:w="90" w:type="dxa"/>
              <w:right w:w="90" w:type="dxa"/>
            </w:tcMar>
            <w:shd w:fill="DBE5ED"/>
          </w:tcPr>
          <w:p>
            <w:pPr>
              <w:spacing w:after="0" w:line="257" w:lineRule="auto"/>
            </w:pPr>
            <w:r>
              <w:rPr>
                <w:b/>
                <w:color w:val="000000"/>
                <w:sz w:val="18"/>
              </w:rPr>
              <w:t>Milestone</w:t>
            </w:r>
          </w:p>
        </w:tc>
        <w:tc>
          <w:tcPr>
            <w:tcW w:type="dxa" w:w="2592"/>
            <w:vAlign w:val="center"/>
            <w:tcMar>
              <w:top w:w="90" w:type="dxa"/>
              <w:bottom w:w="90" w:type="dxa"/>
              <w:left w:w="90" w:type="dxa"/>
              <w:right w:w="90" w:type="dxa"/>
            </w:tcMar>
            <w:shd w:fill="DBE5ED"/>
          </w:tcPr>
          <w:p>
            <w:pPr>
              <w:spacing w:after="0" w:line="257" w:lineRule="auto"/>
            </w:pPr>
            <w:r>
              <w:rPr>
                <w:b/>
                <w:color w:val="000000"/>
                <w:sz w:val="18"/>
              </w:rPr>
              <w:t>Scope</w:t>
            </w:r>
          </w:p>
        </w:tc>
        <w:tc>
          <w:tcPr>
            <w:tcW w:type="dxa" w:w="2160"/>
            <w:vAlign w:val="center"/>
            <w:tcMar>
              <w:top w:w="90" w:type="dxa"/>
              <w:bottom w:w="90" w:type="dxa"/>
              <w:left w:w="90" w:type="dxa"/>
              <w:right w:w="90" w:type="dxa"/>
            </w:tcMar>
            <w:shd w:fill="DBE5ED"/>
          </w:tcPr>
          <w:p>
            <w:pPr>
              <w:spacing w:after="0" w:line="257" w:lineRule="auto"/>
            </w:pPr>
            <w:r>
              <w:rPr>
                <w:b/>
                <w:color w:val="000000"/>
                <w:sz w:val="18"/>
              </w:rPr>
              <w:t>Estimated hours</w:t>
            </w:r>
          </w:p>
        </w:tc>
        <w:tc>
          <w:tcPr>
            <w:tcW w:type="dxa" w:w="3168"/>
            <w:vAlign w:val="center"/>
            <w:tcMar>
              <w:top w:w="90" w:type="dxa"/>
              <w:bottom w:w="90" w:type="dxa"/>
              <w:left w:w="90" w:type="dxa"/>
              <w:right w:w="90" w:type="dxa"/>
            </w:tcMar>
            <w:shd w:fill="DBE5ED"/>
          </w:tcPr>
          <w:p>
            <w:pPr>
              <w:spacing w:after="0" w:line="257" w:lineRule="auto"/>
            </w:pPr>
            <w:r>
              <w:rPr>
                <w:b/>
                <w:color w:val="000000"/>
                <w:sz w:val="18"/>
              </w:rPr>
              <w:t>Exit evidence</w:t>
            </w:r>
          </w:p>
        </w:tc>
      </w:tr>
      <w:tr>
        <w:trPr>
          <w:cantSplit/>
        </w:trPr>
        <w:tc>
          <w:tcPr>
            <w:tcW w:type="dxa" w:w="2304"/>
            <w:vAlign w:val="center"/>
            <w:tcMar>
              <w:top w:w="90" w:type="dxa"/>
              <w:bottom w:w="90" w:type="dxa"/>
              <w:left w:w="90" w:type="dxa"/>
              <w:right w:w="90" w:type="dxa"/>
            </w:tcMar>
            <w:shd w:fill="FFFFFF"/>
          </w:tcPr>
          <w:p>
            <w:pPr>
              <w:spacing w:after="0" w:line="257" w:lineRule="auto"/>
            </w:pPr>
            <w:r>
              <w:rPr>
                <w:sz w:val="18"/>
              </w:rPr>
              <w:t>M0 Feasibility</w:t>
            </w:r>
          </w:p>
        </w:tc>
        <w:tc>
          <w:tcPr>
            <w:tcW w:type="dxa" w:w="2592"/>
            <w:vAlign w:val="center"/>
            <w:tcMar>
              <w:top w:w="90" w:type="dxa"/>
              <w:bottom w:w="90" w:type="dxa"/>
              <w:left w:w="90" w:type="dxa"/>
              <w:right w:w="90" w:type="dxa"/>
            </w:tcMar>
            <w:shd w:fill="FFFFFF"/>
          </w:tcPr>
          <w:p>
            <w:pPr>
              <w:spacing w:after="0" w:line="257" w:lineRule="auto"/>
            </w:pPr>
            <w:r>
              <w:rPr>
                <w:sz w:val="18"/>
              </w:rPr>
              <w:t>Golden fixture, grammar decisions, isolated execution spike</w:t>
            </w:r>
          </w:p>
        </w:tc>
        <w:tc>
          <w:tcPr>
            <w:tcW w:type="dxa" w:w="2160"/>
            <w:vAlign w:val="center"/>
            <w:tcMar>
              <w:top w:w="90" w:type="dxa"/>
              <w:bottom w:w="90" w:type="dxa"/>
              <w:left w:w="90" w:type="dxa"/>
              <w:right w:w="90" w:type="dxa"/>
            </w:tcMar>
            <w:shd w:fill="FFFFFF"/>
          </w:tcPr>
          <w:p>
            <w:pPr>
              <w:spacing w:after="0" w:line="257" w:lineRule="auto"/>
            </w:pPr>
            <w:r>
              <w:rPr>
                <w:sz w:val="18"/>
              </w:rPr>
              <w:t>12 to 16</w:t>
            </w:r>
          </w:p>
        </w:tc>
        <w:tc>
          <w:tcPr>
            <w:tcW w:type="dxa" w:w="3168"/>
            <w:vAlign w:val="center"/>
            <w:tcMar>
              <w:top w:w="90" w:type="dxa"/>
              <w:bottom w:w="90" w:type="dxa"/>
              <w:left w:w="90" w:type="dxa"/>
              <w:right w:w="90" w:type="dxa"/>
            </w:tcMar>
            <w:shd w:fill="FFFFFF"/>
          </w:tcPr>
          <w:p>
            <w:pPr>
              <w:spacing w:after="0" w:line="257" w:lineRule="auto"/>
            </w:pPr>
            <w:r>
              <w:rPr>
                <w:sz w:val="18"/>
              </w:rPr>
              <w:t>Independent expected totals and supported-subset decision</w:t>
            </w:r>
          </w:p>
        </w:tc>
      </w:tr>
      <w:tr>
        <w:trPr>
          <w:cantSplit/>
        </w:trPr>
        <w:tc>
          <w:tcPr>
            <w:tcW w:type="dxa" w:w="2304"/>
            <w:vAlign w:val="center"/>
            <w:tcMar>
              <w:top w:w="90" w:type="dxa"/>
              <w:bottom w:w="90" w:type="dxa"/>
              <w:left w:w="90" w:type="dxa"/>
              <w:right w:w="90" w:type="dxa"/>
            </w:tcMar>
            <w:shd w:fill="F6F8FA"/>
          </w:tcPr>
          <w:p>
            <w:pPr>
              <w:spacing w:after="0" w:line="257" w:lineRule="auto"/>
            </w:pPr>
            <w:r>
              <w:rPr>
                <w:sz w:val="18"/>
              </w:rPr>
              <w:t>M1 Core comparison</w:t>
            </w:r>
          </w:p>
        </w:tc>
        <w:tc>
          <w:tcPr>
            <w:tcW w:type="dxa" w:w="2592"/>
            <w:vAlign w:val="center"/>
            <w:tcMar>
              <w:top w:w="90" w:type="dxa"/>
              <w:bottom w:w="90" w:type="dxa"/>
              <w:left w:w="90" w:type="dxa"/>
              <w:right w:w="90" w:type="dxa"/>
            </w:tcMar>
            <w:shd w:fill="F6F8FA"/>
          </w:tcPr>
          <w:p>
            <w:pPr>
              <w:spacing w:after="0" w:line="257" w:lineRule="auto"/>
            </w:pPr>
            <w:r>
              <w:rPr>
                <w:sz w:val="18"/>
              </w:rPr>
              <w:t>IR, parser support checker, context and endpoints</w:t>
            </w:r>
          </w:p>
        </w:tc>
        <w:tc>
          <w:tcPr>
            <w:tcW w:type="dxa" w:w="2160"/>
            <w:vAlign w:val="center"/>
            <w:tcMar>
              <w:top w:w="90" w:type="dxa"/>
              <w:bottom w:w="90" w:type="dxa"/>
              <w:left w:w="90" w:type="dxa"/>
              <w:right w:w="90" w:type="dxa"/>
            </w:tcMar>
            <w:shd w:fill="F6F8FA"/>
          </w:tcPr>
          <w:p>
            <w:pPr>
              <w:spacing w:after="0" w:line="257" w:lineRule="auto"/>
            </w:pPr>
            <w:r>
              <w:rPr>
                <w:sz w:val="18"/>
              </w:rPr>
              <w:t>28 to 36</w:t>
            </w:r>
          </w:p>
        </w:tc>
        <w:tc>
          <w:tcPr>
            <w:tcW w:type="dxa" w:w="3168"/>
            <w:vAlign w:val="center"/>
            <w:tcMar>
              <w:top w:w="90" w:type="dxa"/>
              <w:bottom w:w="90" w:type="dxa"/>
              <w:left w:w="90" w:type="dxa"/>
              <w:right w:w="90" w:type="dxa"/>
            </w:tcMar>
            <w:shd w:fill="F6F8FA"/>
          </w:tcPr>
          <w:p>
            <w:pPr>
              <w:spacing w:after="0" w:line="257" w:lineRule="auto"/>
            </w:pPr>
            <w:r>
              <w:rPr>
                <w:sz w:val="18"/>
              </w:rPr>
              <w:t>Golden and unsupported fixtures pass</w:t>
            </w:r>
          </w:p>
        </w:tc>
      </w:tr>
      <w:tr>
        <w:trPr>
          <w:cantSplit/>
        </w:trPr>
        <w:tc>
          <w:tcPr>
            <w:tcW w:type="dxa" w:w="2304"/>
            <w:vAlign w:val="center"/>
            <w:tcMar>
              <w:top w:w="90" w:type="dxa"/>
              <w:bottom w:w="90" w:type="dxa"/>
              <w:left w:w="90" w:type="dxa"/>
              <w:right w:w="90" w:type="dxa"/>
            </w:tcMar>
            <w:shd w:fill="FFFFFF"/>
          </w:tcPr>
          <w:p>
            <w:pPr>
              <w:spacing w:after="0" w:line="257" w:lineRule="auto"/>
            </w:pPr>
            <w:r>
              <w:rPr>
                <w:sz w:val="18"/>
              </w:rPr>
              <w:t>M2 Explanation and history</w:t>
            </w:r>
          </w:p>
        </w:tc>
        <w:tc>
          <w:tcPr>
            <w:tcW w:type="dxa" w:w="2592"/>
            <w:vAlign w:val="center"/>
            <w:tcMar>
              <w:top w:w="90" w:type="dxa"/>
              <w:bottom w:w="90" w:type="dxa"/>
              <w:left w:w="90" w:type="dxa"/>
              <w:right w:w="90" w:type="dxa"/>
            </w:tcMar>
            <w:shd w:fill="FFFFFF"/>
          </w:tcPr>
          <w:p>
            <w:pPr>
              <w:spacing w:after="0" w:line="257" w:lineRule="auto"/>
            </w:pPr>
            <w:r>
              <w:rPr>
                <w:sz w:val="18"/>
              </w:rPr>
              <w:t>Row evidence, ordered bridge and version diff</w:t>
            </w:r>
          </w:p>
        </w:tc>
        <w:tc>
          <w:tcPr>
            <w:tcW w:type="dxa" w:w="2160"/>
            <w:vAlign w:val="center"/>
            <w:tcMar>
              <w:top w:w="90" w:type="dxa"/>
              <w:bottom w:w="90" w:type="dxa"/>
              <w:left w:w="90" w:type="dxa"/>
              <w:right w:w="90" w:type="dxa"/>
            </w:tcMar>
            <w:shd w:fill="FFFFFF"/>
          </w:tcPr>
          <w:p>
            <w:pPr>
              <w:spacing w:after="0" w:line="257" w:lineRule="auto"/>
            </w:pPr>
            <w:r>
              <w:rPr>
                <w:sz w:val="18"/>
              </w:rPr>
              <w:t>30 to 40</w:t>
            </w:r>
          </w:p>
        </w:tc>
        <w:tc>
          <w:tcPr>
            <w:tcW w:type="dxa" w:w="3168"/>
            <w:vAlign w:val="center"/>
            <w:tcMar>
              <w:top w:w="90" w:type="dxa"/>
              <w:bottom w:w="90" w:type="dxa"/>
              <w:left w:w="90" w:type="dxa"/>
              <w:right w:w="90" w:type="dxa"/>
            </w:tcMar>
            <w:shd w:fill="FFFFFF"/>
          </w:tcPr>
          <w:p>
            <w:pPr>
              <w:spacing w:after="0" w:line="257" w:lineRule="auto"/>
            </w:pPr>
            <w:r>
              <w:rPr>
                <w:sz w:val="18"/>
              </w:rPr>
              <w:t>Reconciliation invariants and drift replay pass</w:t>
            </w:r>
          </w:p>
        </w:tc>
      </w:tr>
      <w:tr>
        <w:trPr>
          <w:cantSplit/>
        </w:trPr>
        <w:tc>
          <w:tcPr>
            <w:tcW w:type="dxa" w:w="2304"/>
            <w:vAlign w:val="center"/>
            <w:tcMar>
              <w:top w:w="90" w:type="dxa"/>
              <w:bottom w:w="90" w:type="dxa"/>
              <w:left w:w="90" w:type="dxa"/>
              <w:right w:w="90" w:type="dxa"/>
            </w:tcMar>
            <w:shd w:fill="F6F8FA"/>
          </w:tcPr>
          <w:p>
            <w:pPr>
              <w:spacing w:after="0" w:line="257" w:lineRule="auto"/>
            </w:pPr>
            <w:r>
              <w:rPr>
                <w:sz w:val="18"/>
              </w:rPr>
              <w:t>M3 Application layer</w:t>
            </w:r>
          </w:p>
        </w:tc>
        <w:tc>
          <w:tcPr>
            <w:tcW w:type="dxa" w:w="2592"/>
            <w:vAlign w:val="center"/>
            <w:tcMar>
              <w:top w:w="90" w:type="dxa"/>
              <w:bottom w:w="90" w:type="dxa"/>
              <w:left w:w="90" w:type="dxa"/>
              <w:right w:w="90" w:type="dxa"/>
            </w:tcMar>
            <w:shd w:fill="F6F8FA"/>
          </w:tcPr>
          <w:p>
            <w:pPr>
              <w:spacing w:after="0" w:line="257" w:lineRule="auto"/>
            </w:pPr>
            <w:r>
              <w:rPr>
                <w:sz w:val="18"/>
              </w:rPr>
              <w:t>Metadata model, jobs, API and artifact persistence</w:t>
            </w:r>
          </w:p>
        </w:tc>
        <w:tc>
          <w:tcPr>
            <w:tcW w:type="dxa" w:w="2160"/>
            <w:vAlign w:val="center"/>
            <w:tcMar>
              <w:top w:w="90" w:type="dxa"/>
              <w:bottom w:w="90" w:type="dxa"/>
              <w:left w:w="90" w:type="dxa"/>
              <w:right w:w="90" w:type="dxa"/>
            </w:tcMar>
            <w:shd w:fill="F6F8FA"/>
          </w:tcPr>
          <w:p>
            <w:pPr>
              <w:spacing w:after="0" w:line="257" w:lineRule="auto"/>
            </w:pPr>
            <w:r>
              <w:rPr>
                <w:sz w:val="18"/>
              </w:rPr>
              <w:t>24 to 32</w:t>
            </w:r>
          </w:p>
        </w:tc>
        <w:tc>
          <w:tcPr>
            <w:tcW w:type="dxa" w:w="3168"/>
            <w:vAlign w:val="center"/>
            <w:tcMar>
              <w:top w:w="90" w:type="dxa"/>
              <w:bottom w:w="90" w:type="dxa"/>
              <w:left w:w="90" w:type="dxa"/>
              <w:right w:w="90" w:type="dxa"/>
            </w:tcMar>
            <w:shd w:fill="F6F8FA"/>
          </w:tcPr>
          <w:p>
            <w:pPr>
              <w:spacing w:after="0" w:line="257" w:lineRule="auto"/>
            </w:pPr>
            <w:r>
              <w:rPr>
                <w:sz w:val="18"/>
              </w:rPr>
              <w:t>Interrupted job recovery and reproducible saved results</w:t>
            </w:r>
          </w:p>
        </w:tc>
      </w:tr>
      <w:tr>
        <w:trPr>
          <w:cantSplit/>
        </w:trPr>
        <w:tc>
          <w:tcPr>
            <w:tcW w:type="dxa" w:w="2304"/>
            <w:vAlign w:val="center"/>
            <w:tcMar>
              <w:top w:w="90" w:type="dxa"/>
              <w:bottom w:w="90" w:type="dxa"/>
              <w:left w:w="90" w:type="dxa"/>
              <w:right w:w="90" w:type="dxa"/>
            </w:tcMar>
            <w:shd w:fill="FFFFFF"/>
          </w:tcPr>
          <w:p>
            <w:pPr>
              <w:spacing w:after="0" w:line="257" w:lineRule="auto"/>
            </w:pPr>
            <w:r>
              <w:rPr>
                <w:sz w:val="18"/>
              </w:rPr>
              <w:t>M4 Analyst interface</w:t>
            </w:r>
          </w:p>
        </w:tc>
        <w:tc>
          <w:tcPr>
            <w:tcW w:type="dxa" w:w="2592"/>
            <w:vAlign w:val="center"/>
            <w:tcMar>
              <w:top w:w="90" w:type="dxa"/>
              <w:bottom w:w="90" w:type="dxa"/>
              <w:left w:w="90" w:type="dxa"/>
              <w:right w:w="90" w:type="dxa"/>
            </w:tcMar>
            <w:shd w:fill="FFFFFF"/>
          </w:tcPr>
          <w:p>
            <w:pPr>
              <w:spacing w:after="0" w:line="257" w:lineRule="auto"/>
            </w:pPr>
            <w:r>
              <w:rPr>
                <w:sz w:val="18"/>
              </w:rPr>
              <w:t>Imports, inventory, comparison, history and export</w:t>
            </w:r>
          </w:p>
        </w:tc>
        <w:tc>
          <w:tcPr>
            <w:tcW w:type="dxa" w:w="2160"/>
            <w:vAlign w:val="center"/>
            <w:tcMar>
              <w:top w:w="90" w:type="dxa"/>
              <w:bottom w:w="90" w:type="dxa"/>
              <w:left w:w="90" w:type="dxa"/>
              <w:right w:w="90" w:type="dxa"/>
            </w:tcMar>
            <w:shd w:fill="FFFFFF"/>
          </w:tcPr>
          <w:p>
            <w:pPr>
              <w:spacing w:after="0" w:line="257" w:lineRule="auto"/>
            </w:pPr>
            <w:r>
              <w:rPr>
                <w:sz w:val="18"/>
              </w:rPr>
              <w:t>32 to 44</w:t>
            </w:r>
          </w:p>
        </w:tc>
        <w:tc>
          <w:tcPr>
            <w:tcW w:type="dxa" w:w="3168"/>
            <w:vAlign w:val="center"/>
            <w:tcMar>
              <w:top w:w="90" w:type="dxa"/>
              <w:bottom w:w="90" w:type="dxa"/>
              <w:left w:w="90" w:type="dxa"/>
              <w:right w:w="90" w:type="dxa"/>
            </w:tcMar>
            <w:shd w:fill="FFFFFF"/>
          </w:tcPr>
          <w:p>
            <w:pPr>
              <w:spacing w:after="0" w:line="257" w:lineRule="auto"/>
            </w:pPr>
            <w:r>
              <w:rPr>
                <w:sz w:val="18"/>
              </w:rPr>
              <w:t>Complete user journey without direct database intervention</w:t>
            </w:r>
          </w:p>
        </w:tc>
      </w:tr>
      <w:tr>
        <w:trPr>
          <w:cantSplit/>
        </w:trPr>
        <w:tc>
          <w:tcPr>
            <w:tcW w:type="dxa" w:w="2304"/>
            <w:vAlign w:val="center"/>
            <w:tcMar>
              <w:top w:w="90" w:type="dxa"/>
              <w:bottom w:w="90" w:type="dxa"/>
              <w:left w:w="90" w:type="dxa"/>
              <w:right w:w="90" w:type="dxa"/>
            </w:tcMar>
            <w:shd w:fill="F6F8FA"/>
          </w:tcPr>
          <w:p>
            <w:pPr>
              <w:spacing w:after="0" w:line="257" w:lineRule="auto"/>
            </w:pPr>
            <w:r>
              <w:rPr>
                <w:sz w:val="18"/>
              </w:rPr>
              <w:t>M5 Evaluation and presentation</w:t>
            </w:r>
          </w:p>
        </w:tc>
        <w:tc>
          <w:tcPr>
            <w:tcW w:type="dxa" w:w="2592"/>
            <w:vAlign w:val="center"/>
            <w:tcMar>
              <w:top w:w="90" w:type="dxa"/>
              <w:bottom w:w="90" w:type="dxa"/>
              <w:left w:w="90" w:type="dxa"/>
              <w:right w:w="90" w:type="dxa"/>
            </w:tcMar>
            <w:shd w:fill="F6F8FA"/>
          </w:tcPr>
          <w:p>
            <w:pPr>
              <w:spacing w:after="0" w:line="257" w:lineRule="auto"/>
            </w:pPr>
            <w:r>
              <w:rPr>
                <w:sz w:val="18"/>
              </w:rPr>
              <w:t>Regression corpus, performance checks, pilot, docs and recording</w:t>
            </w:r>
          </w:p>
        </w:tc>
        <w:tc>
          <w:tcPr>
            <w:tcW w:type="dxa" w:w="2160"/>
            <w:vAlign w:val="center"/>
            <w:tcMar>
              <w:top w:w="90" w:type="dxa"/>
              <w:bottom w:w="90" w:type="dxa"/>
              <w:left w:w="90" w:type="dxa"/>
              <w:right w:w="90" w:type="dxa"/>
            </w:tcMar>
            <w:shd w:fill="F6F8FA"/>
          </w:tcPr>
          <w:p>
            <w:pPr>
              <w:spacing w:after="0" w:line="257" w:lineRule="auto"/>
            </w:pPr>
            <w:r>
              <w:rPr>
                <w:sz w:val="18"/>
              </w:rPr>
              <w:t>24 to 37</w:t>
            </w:r>
          </w:p>
        </w:tc>
        <w:tc>
          <w:tcPr>
            <w:tcW w:type="dxa" w:w="3168"/>
            <w:vAlign w:val="center"/>
            <w:tcMar>
              <w:top w:w="90" w:type="dxa"/>
              <w:bottom w:w="90" w:type="dxa"/>
              <w:left w:w="90" w:type="dxa"/>
              <w:right w:w="90" w:type="dxa"/>
            </w:tcMar>
            <w:shd w:fill="F6F8FA"/>
          </w:tcPr>
          <w:p>
            <w:pPr>
              <w:spacing w:after="0" w:line="257" w:lineRule="auto"/>
            </w:pPr>
            <w:r>
              <w:rPr>
                <w:sz w:val="18"/>
              </w:rPr>
              <w:t>Evidence pack, limitations and measured benchmark</w:t>
            </w:r>
          </w:p>
        </w:tc>
      </w:tr>
    </w:tbl>
    <w:p>
      <w:pPr>
        <w:spacing w:after="20"/>
      </w:pPr>
    </w:p>
    <w:p>
      <w:r>
        <w:t>Build one vertical investigation before implementing every inventory or settings screen. If the project is too large, retain SUM comparisons, row evidence, the ordered bridge and definition history; defer automated suggestions, COUNT DISTINCT and baseline workflow polish. Do not cut the honesty of unsupported and partial states.</w:t>
      </w:r>
    </w:p>
    <w:p>
      <w:pPr>
        <w:pStyle w:val="Heading2"/>
      </w:pPr>
      <w:r>
        <w:t>Build backlog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5"/>
        <w:gridCol w:w="1006"/>
        <w:gridCol w:w="3235"/>
        <w:gridCol w:w="1810"/>
        <w:gridCol w:w="3369"/>
      </w:tblGrid>
      <w:tr>
        <w:trPr>
          <w:cantSplit/>
          <w:tblHeader/>
        </w:trPr>
        <w:tc>
          <w:tcPr>
            <w:tcW w:type="dxa" w:w="805"/>
            <w:vAlign w:val="center"/>
            <w:tcMar>
              <w:top w:w="90" w:type="dxa"/>
              <w:bottom w:w="90" w:type="dxa"/>
              <w:left w:w="90" w:type="dxa"/>
              <w:right w:w="90" w:type="dxa"/>
            </w:tcMar>
            <w:shd w:fill="DBE5ED"/>
          </w:tcPr>
          <w:p>
            <w:pPr>
              <w:spacing w:after="0" w:line="257" w:lineRule="auto"/>
              <w:jc w:val="center"/>
            </w:pPr>
            <w:r>
              <w:rPr>
                <w:b/>
                <w:color w:val="000000"/>
                <w:sz w:val="18"/>
              </w:rPr>
              <w:t>ID</w:t>
            </w:r>
          </w:p>
        </w:tc>
        <w:tc>
          <w:tcPr>
            <w:tcW w:type="dxa" w:w="1006"/>
            <w:vAlign w:val="center"/>
            <w:tcMar>
              <w:top w:w="90" w:type="dxa"/>
              <w:bottom w:w="90" w:type="dxa"/>
              <w:left w:w="90" w:type="dxa"/>
              <w:right w:w="90" w:type="dxa"/>
            </w:tcMar>
            <w:shd w:fill="DBE5ED"/>
          </w:tcPr>
          <w:p>
            <w:pPr>
              <w:spacing w:after="0" w:line="257" w:lineRule="auto"/>
            </w:pPr>
            <w:r>
              <w:rPr>
                <w:b/>
                <w:color w:val="000000"/>
                <w:sz w:val="18"/>
              </w:rPr>
              <w:t>Priority</w:t>
            </w:r>
          </w:p>
        </w:tc>
        <w:tc>
          <w:tcPr>
            <w:tcW w:type="dxa" w:w="3235"/>
            <w:vAlign w:val="center"/>
            <w:tcMar>
              <w:top w:w="90" w:type="dxa"/>
              <w:bottom w:w="90" w:type="dxa"/>
              <w:left w:w="90" w:type="dxa"/>
              <w:right w:w="90" w:type="dxa"/>
            </w:tcMar>
            <w:shd w:fill="DBE5ED"/>
          </w:tcPr>
          <w:p>
            <w:pPr>
              <w:spacing w:after="0" w:line="257" w:lineRule="auto"/>
            </w:pPr>
            <w:r>
              <w:rPr>
                <w:b/>
                <w:color w:val="000000"/>
                <w:sz w:val="18"/>
              </w:rPr>
              <w:t>Work item</w:t>
            </w:r>
          </w:p>
        </w:tc>
        <w:tc>
          <w:tcPr>
            <w:tcW w:type="dxa" w:w="1810"/>
            <w:vAlign w:val="center"/>
            <w:tcMar>
              <w:top w:w="90" w:type="dxa"/>
              <w:bottom w:w="90" w:type="dxa"/>
              <w:left w:w="90" w:type="dxa"/>
              <w:right w:w="90" w:type="dxa"/>
            </w:tcMar>
            <w:shd w:fill="DBE5ED"/>
          </w:tcPr>
          <w:p>
            <w:pPr>
              <w:spacing w:after="0" w:line="257" w:lineRule="auto"/>
            </w:pPr>
            <w:r>
              <w:rPr>
                <w:b/>
                <w:color w:val="000000"/>
                <w:sz w:val="18"/>
              </w:rPr>
              <w:t>Depends on</w:t>
            </w:r>
          </w:p>
        </w:tc>
        <w:tc>
          <w:tcPr>
            <w:tcW w:type="dxa" w:w="3369"/>
            <w:vAlign w:val="center"/>
            <w:tcMar>
              <w:top w:w="90" w:type="dxa"/>
              <w:bottom w:w="90" w:type="dxa"/>
              <w:left w:w="90" w:type="dxa"/>
              <w:right w:w="90" w:type="dxa"/>
            </w:tcMar>
            <w:shd w:fill="DBE5ED"/>
          </w:tcPr>
          <w:p>
            <w:pPr>
              <w:spacing w:after="0" w:line="257" w:lineRule="auto"/>
            </w:pPr>
            <w:r>
              <w:rPr>
                <w:b/>
                <w:color w:val="000000"/>
                <w:sz w:val="18"/>
              </w:rPr>
              <w:t>Done when</w:t>
            </w:r>
          </w:p>
        </w:tc>
      </w:tr>
      <w:tr>
        <w:trPr>
          <w:cantSplit/>
        </w:trPr>
        <w:tc>
          <w:tcPr>
            <w:tcW w:type="dxa" w:w="805"/>
            <w:vAlign w:val="center"/>
            <w:tcMar>
              <w:top w:w="90" w:type="dxa"/>
              <w:bottom w:w="90" w:type="dxa"/>
              <w:left w:w="90" w:type="dxa"/>
              <w:right w:w="90" w:type="dxa"/>
            </w:tcMar>
            <w:shd w:fill="FFFFFF"/>
          </w:tcPr>
          <w:p>
            <w:pPr>
              <w:spacing w:after="0" w:line="257" w:lineRule="auto"/>
              <w:jc w:val="center"/>
            </w:pPr>
            <w:r>
              <w:rPr>
                <w:sz w:val="18"/>
              </w:rPr>
              <w:t>MG01</w:t>
            </w:r>
          </w:p>
        </w:tc>
        <w:tc>
          <w:tcPr>
            <w:tcW w:type="dxa" w:w="1006"/>
            <w:vAlign w:val="center"/>
            <w:tcMar>
              <w:top w:w="90" w:type="dxa"/>
              <w:bottom w:w="90" w:type="dxa"/>
              <w:left w:w="90" w:type="dxa"/>
              <w:right w:w="90" w:type="dxa"/>
            </w:tcMar>
            <w:shd w:fill="FFFFFF"/>
          </w:tcPr>
          <w:p>
            <w:pPr>
              <w:spacing w:after="0" w:line="257" w:lineRule="auto"/>
            </w:pPr>
            <w:r>
              <w:rPr>
                <w:sz w:val="18"/>
              </w:rPr>
              <w:t>Must</w:t>
            </w:r>
          </w:p>
        </w:tc>
        <w:tc>
          <w:tcPr>
            <w:tcW w:type="dxa" w:w="3235"/>
            <w:vAlign w:val="center"/>
            <w:tcMar>
              <w:top w:w="90" w:type="dxa"/>
              <w:bottom w:w="90" w:type="dxa"/>
              <w:left w:w="90" w:type="dxa"/>
              <w:right w:w="90" w:type="dxa"/>
            </w:tcMar>
            <w:shd w:fill="FFFFFF"/>
          </w:tcPr>
          <w:p>
            <w:pPr>
              <w:spacing w:after="0" w:line="257" w:lineRule="auto"/>
            </w:pPr>
            <w:r>
              <w:rPr>
                <w:sz w:val="18"/>
              </w:rPr>
              <w:t>Freeze data dictionary and golden fixture</w:t>
            </w:r>
          </w:p>
        </w:tc>
        <w:tc>
          <w:tcPr>
            <w:tcW w:type="dxa" w:w="1810"/>
            <w:vAlign w:val="center"/>
            <w:tcMar>
              <w:top w:w="90" w:type="dxa"/>
              <w:bottom w:w="90" w:type="dxa"/>
              <w:left w:w="90" w:type="dxa"/>
              <w:right w:w="90" w:type="dxa"/>
            </w:tcMar>
            <w:shd w:fill="FFFFFF"/>
          </w:tcPr>
          <w:p>
            <w:pPr>
              <w:spacing w:after="0" w:line="257" w:lineRule="auto"/>
            </w:pPr>
            <w:r>
              <w:rPr>
                <w:sz w:val="18"/>
              </w:rPr>
              <w:t>None</w:t>
            </w:r>
          </w:p>
        </w:tc>
        <w:tc>
          <w:tcPr>
            <w:tcW w:type="dxa" w:w="3369"/>
            <w:vAlign w:val="center"/>
            <w:tcMar>
              <w:top w:w="90" w:type="dxa"/>
              <w:bottom w:w="90" w:type="dxa"/>
              <w:left w:w="90" w:type="dxa"/>
              <w:right w:w="90" w:type="dxa"/>
            </w:tcMar>
            <w:shd w:fill="FFFFFF"/>
          </w:tcPr>
          <w:p>
            <w:pPr>
              <w:spacing w:after="0" w:line="257" w:lineRule="auto"/>
            </w:pPr>
            <w:r>
              <w:rPr>
                <w:sz w:val="18"/>
              </w:rPr>
              <w:t>Totals verified independently</w:t>
            </w:r>
          </w:p>
        </w:tc>
      </w:tr>
      <w:tr>
        <w:trPr>
          <w:cantSplit/>
        </w:trPr>
        <w:tc>
          <w:tcPr>
            <w:tcW w:type="dxa" w:w="805"/>
            <w:vAlign w:val="center"/>
            <w:tcMar>
              <w:top w:w="90" w:type="dxa"/>
              <w:bottom w:w="90" w:type="dxa"/>
              <w:left w:w="90" w:type="dxa"/>
              <w:right w:w="90" w:type="dxa"/>
            </w:tcMar>
            <w:shd w:fill="F6F8FA"/>
          </w:tcPr>
          <w:p>
            <w:pPr>
              <w:spacing w:after="0" w:line="257" w:lineRule="auto"/>
              <w:jc w:val="center"/>
            </w:pPr>
            <w:r>
              <w:rPr>
                <w:sz w:val="18"/>
              </w:rPr>
              <w:t>MG02</w:t>
            </w:r>
          </w:p>
        </w:tc>
        <w:tc>
          <w:tcPr>
            <w:tcW w:type="dxa" w:w="1006"/>
            <w:vAlign w:val="center"/>
            <w:tcMar>
              <w:top w:w="90" w:type="dxa"/>
              <w:bottom w:w="90" w:type="dxa"/>
              <w:left w:w="90" w:type="dxa"/>
              <w:right w:w="90" w:type="dxa"/>
            </w:tcMar>
            <w:shd w:fill="F6F8FA"/>
          </w:tcPr>
          <w:p>
            <w:pPr>
              <w:spacing w:after="0" w:line="257" w:lineRule="auto"/>
            </w:pPr>
            <w:r>
              <w:rPr>
                <w:sz w:val="18"/>
              </w:rPr>
              <w:t>Must</w:t>
            </w:r>
          </w:p>
        </w:tc>
        <w:tc>
          <w:tcPr>
            <w:tcW w:type="dxa" w:w="3235"/>
            <w:vAlign w:val="center"/>
            <w:tcMar>
              <w:top w:w="90" w:type="dxa"/>
              <w:bottom w:w="90" w:type="dxa"/>
              <w:left w:w="90" w:type="dxa"/>
              <w:right w:w="90" w:type="dxa"/>
            </w:tcMar>
            <w:shd w:fill="F6F8FA"/>
          </w:tcPr>
          <w:p>
            <w:pPr>
              <w:spacing w:after="0" w:line="257" w:lineRule="auto"/>
            </w:pPr>
            <w:r>
              <w:rPr>
                <w:sz w:val="18"/>
              </w:rPr>
              <w:t>Define typed IR and support policy</w:t>
            </w:r>
          </w:p>
        </w:tc>
        <w:tc>
          <w:tcPr>
            <w:tcW w:type="dxa" w:w="1810"/>
            <w:vAlign w:val="center"/>
            <w:tcMar>
              <w:top w:w="90" w:type="dxa"/>
              <w:bottom w:w="90" w:type="dxa"/>
              <w:left w:w="90" w:type="dxa"/>
              <w:right w:w="90" w:type="dxa"/>
            </w:tcMar>
            <w:shd w:fill="F6F8FA"/>
          </w:tcPr>
          <w:p>
            <w:pPr>
              <w:spacing w:after="0" w:line="257" w:lineRule="auto"/>
            </w:pPr>
            <w:r>
              <w:rPr>
                <w:sz w:val="18"/>
              </w:rPr>
              <w:t>MG01</w:t>
            </w:r>
          </w:p>
        </w:tc>
        <w:tc>
          <w:tcPr>
            <w:tcW w:type="dxa" w:w="3369"/>
            <w:vAlign w:val="center"/>
            <w:tcMar>
              <w:top w:w="90" w:type="dxa"/>
              <w:bottom w:w="90" w:type="dxa"/>
              <w:left w:w="90" w:type="dxa"/>
              <w:right w:w="90" w:type="dxa"/>
            </w:tcMar>
            <w:shd w:fill="F6F8FA"/>
          </w:tcPr>
          <w:p>
            <w:pPr>
              <w:spacing w:after="0" w:line="257" w:lineRule="auto"/>
            </w:pPr>
            <w:r>
              <w:rPr>
                <w:sz w:val="18"/>
              </w:rPr>
              <w:t>Every supported syntax maps unambiguously</w:t>
            </w:r>
          </w:p>
        </w:tc>
      </w:tr>
      <w:tr>
        <w:trPr>
          <w:cantSplit/>
        </w:trPr>
        <w:tc>
          <w:tcPr>
            <w:tcW w:type="dxa" w:w="805"/>
            <w:vAlign w:val="center"/>
            <w:tcMar>
              <w:top w:w="90" w:type="dxa"/>
              <w:bottom w:w="90" w:type="dxa"/>
              <w:left w:w="90" w:type="dxa"/>
              <w:right w:w="90" w:type="dxa"/>
            </w:tcMar>
            <w:shd w:fill="FFFFFF"/>
          </w:tcPr>
          <w:p>
            <w:pPr>
              <w:spacing w:after="0" w:line="257" w:lineRule="auto"/>
              <w:jc w:val="center"/>
            </w:pPr>
            <w:r>
              <w:rPr>
                <w:sz w:val="18"/>
              </w:rPr>
              <w:t>MG03</w:t>
            </w:r>
          </w:p>
        </w:tc>
        <w:tc>
          <w:tcPr>
            <w:tcW w:type="dxa" w:w="1006"/>
            <w:vAlign w:val="center"/>
            <w:tcMar>
              <w:top w:w="90" w:type="dxa"/>
              <w:bottom w:w="90" w:type="dxa"/>
              <w:left w:w="90" w:type="dxa"/>
              <w:right w:w="90" w:type="dxa"/>
            </w:tcMar>
            <w:shd w:fill="FFFFFF"/>
          </w:tcPr>
          <w:p>
            <w:pPr>
              <w:spacing w:after="0" w:line="257" w:lineRule="auto"/>
            </w:pPr>
            <w:r>
              <w:rPr>
                <w:sz w:val="18"/>
              </w:rPr>
              <w:t>Must</w:t>
            </w:r>
          </w:p>
        </w:tc>
        <w:tc>
          <w:tcPr>
            <w:tcW w:type="dxa" w:w="3235"/>
            <w:vAlign w:val="center"/>
            <w:tcMar>
              <w:top w:w="90" w:type="dxa"/>
              <w:bottom w:w="90" w:type="dxa"/>
              <w:left w:w="90" w:type="dxa"/>
              <w:right w:w="90" w:type="dxa"/>
            </w:tcMar>
            <w:shd w:fill="FFFFFF"/>
          </w:tcPr>
          <w:p>
            <w:pPr>
              <w:spacing w:after="0" w:line="257" w:lineRule="auto"/>
            </w:pPr>
            <w:r>
              <w:rPr>
                <w:sz w:val="18"/>
              </w:rPr>
              <w:t>Implement parser and schema binding</w:t>
            </w:r>
          </w:p>
        </w:tc>
        <w:tc>
          <w:tcPr>
            <w:tcW w:type="dxa" w:w="1810"/>
            <w:vAlign w:val="center"/>
            <w:tcMar>
              <w:top w:w="90" w:type="dxa"/>
              <w:bottom w:w="90" w:type="dxa"/>
              <w:left w:w="90" w:type="dxa"/>
              <w:right w:w="90" w:type="dxa"/>
            </w:tcMar>
            <w:shd w:fill="FFFFFF"/>
          </w:tcPr>
          <w:p>
            <w:pPr>
              <w:spacing w:after="0" w:line="257" w:lineRule="auto"/>
            </w:pPr>
            <w:r>
              <w:rPr>
                <w:sz w:val="18"/>
              </w:rPr>
              <w:t>MG02</w:t>
            </w:r>
          </w:p>
        </w:tc>
        <w:tc>
          <w:tcPr>
            <w:tcW w:type="dxa" w:w="3369"/>
            <w:vAlign w:val="center"/>
            <w:tcMar>
              <w:top w:w="90" w:type="dxa"/>
              <w:bottom w:w="90" w:type="dxa"/>
              <w:left w:w="90" w:type="dxa"/>
              <w:right w:w="90" w:type="dxa"/>
            </w:tcMar>
            <w:shd w:fill="FFFFFF"/>
          </w:tcPr>
          <w:p>
            <w:pPr>
              <w:spacing w:after="0" w:line="257" w:lineRule="auto"/>
            </w:pPr>
            <w:r>
              <w:rPr>
                <w:sz w:val="18"/>
              </w:rPr>
              <w:t>Good and bad definitions have stable outcomes</w:t>
            </w:r>
          </w:p>
        </w:tc>
      </w:tr>
      <w:tr>
        <w:trPr>
          <w:cantSplit/>
        </w:trPr>
        <w:tc>
          <w:tcPr>
            <w:tcW w:type="dxa" w:w="805"/>
            <w:vAlign w:val="center"/>
            <w:tcMar>
              <w:top w:w="90" w:type="dxa"/>
              <w:bottom w:w="90" w:type="dxa"/>
              <w:left w:w="90" w:type="dxa"/>
              <w:right w:w="90" w:type="dxa"/>
            </w:tcMar>
            <w:shd w:fill="F6F8FA"/>
          </w:tcPr>
          <w:p>
            <w:pPr>
              <w:spacing w:after="0" w:line="257" w:lineRule="auto"/>
              <w:jc w:val="center"/>
            </w:pPr>
            <w:r>
              <w:rPr>
                <w:sz w:val="18"/>
              </w:rPr>
              <w:t>MG04</w:t>
            </w:r>
          </w:p>
        </w:tc>
        <w:tc>
          <w:tcPr>
            <w:tcW w:type="dxa" w:w="1006"/>
            <w:vAlign w:val="center"/>
            <w:tcMar>
              <w:top w:w="90" w:type="dxa"/>
              <w:bottom w:w="90" w:type="dxa"/>
              <w:left w:w="90" w:type="dxa"/>
              <w:right w:w="90" w:type="dxa"/>
            </w:tcMar>
            <w:shd w:fill="F6F8FA"/>
          </w:tcPr>
          <w:p>
            <w:pPr>
              <w:spacing w:after="0" w:line="257" w:lineRule="auto"/>
            </w:pPr>
            <w:r>
              <w:rPr>
                <w:sz w:val="18"/>
              </w:rPr>
              <w:t>Must</w:t>
            </w:r>
          </w:p>
        </w:tc>
        <w:tc>
          <w:tcPr>
            <w:tcW w:type="dxa" w:w="3235"/>
            <w:vAlign w:val="center"/>
            <w:tcMar>
              <w:top w:w="90" w:type="dxa"/>
              <w:bottom w:w="90" w:type="dxa"/>
              <w:left w:w="90" w:type="dxa"/>
              <w:right w:w="90" w:type="dxa"/>
            </w:tcMar>
            <w:shd w:fill="F6F8FA"/>
          </w:tcPr>
          <w:p>
            <w:pPr>
              <w:spacing w:after="0" w:line="257" w:lineRule="auto"/>
            </w:pPr>
            <w:r>
              <w:rPr>
                <w:sz w:val="18"/>
              </w:rPr>
              <w:t>Validate and freeze imported snapshots</w:t>
            </w:r>
          </w:p>
        </w:tc>
        <w:tc>
          <w:tcPr>
            <w:tcW w:type="dxa" w:w="1810"/>
            <w:vAlign w:val="center"/>
            <w:tcMar>
              <w:top w:w="90" w:type="dxa"/>
              <w:bottom w:w="90" w:type="dxa"/>
              <w:left w:w="90" w:type="dxa"/>
              <w:right w:w="90" w:type="dxa"/>
            </w:tcMar>
            <w:shd w:fill="F6F8FA"/>
          </w:tcPr>
          <w:p>
            <w:pPr>
              <w:spacing w:after="0" w:line="257" w:lineRule="auto"/>
            </w:pPr>
            <w:r>
              <w:rPr>
                <w:sz w:val="18"/>
              </w:rPr>
              <w:t>MG01</w:t>
            </w:r>
          </w:p>
        </w:tc>
        <w:tc>
          <w:tcPr>
            <w:tcW w:type="dxa" w:w="3369"/>
            <w:vAlign w:val="center"/>
            <w:tcMar>
              <w:top w:w="90" w:type="dxa"/>
              <w:bottom w:w="90" w:type="dxa"/>
              <w:left w:w="90" w:type="dxa"/>
              <w:right w:w="90" w:type="dxa"/>
            </w:tcMar>
            <w:shd w:fill="F6F8FA"/>
          </w:tcPr>
          <w:p>
            <w:pPr>
              <w:spacing w:after="0" w:line="257" w:lineRule="auto"/>
            </w:pPr>
            <w:r>
              <w:rPr>
                <w:sz w:val="18"/>
              </w:rPr>
              <w:t>Content hash, schema and key validation recorded</w:t>
            </w:r>
          </w:p>
        </w:tc>
      </w:tr>
      <w:tr>
        <w:trPr>
          <w:cantSplit/>
        </w:trPr>
        <w:tc>
          <w:tcPr>
            <w:tcW w:type="dxa" w:w="805"/>
            <w:vAlign w:val="center"/>
            <w:tcMar>
              <w:top w:w="90" w:type="dxa"/>
              <w:bottom w:w="90" w:type="dxa"/>
              <w:left w:w="90" w:type="dxa"/>
              <w:right w:w="90" w:type="dxa"/>
            </w:tcMar>
            <w:shd w:fill="FFFFFF"/>
          </w:tcPr>
          <w:p>
            <w:pPr>
              <w:spacing w:after="0" w:line="257" w:lineRule="auto"/>
              <w:jc w:val="center"/>
            </w:pPr>
            <w:r>
              <w:rPr>
                <w:sz w:val="18"/>
              </w:rPr>
              <w:t>MG05</w:t>
            </w:r>
          </w:p>
        </w:tc>
        <w:tc>
          <w:tcPr>
            <w:tcW w:type="dxa" w:w="1006"/>
            <w:vAlign w:val="center"/>
            <w:tcMar>
              <w:top w:w="90" w:type="dxa"/>
              <w:bottom w:w="90" w:type="dxa"/>
              <w:left w:w="90" w:type="dxa"/>
              <w:right w:w="90" w:type="dxa"/>
            </w:tcMar>
            <w:shd w:fill="FFFFFF"/>
          </w:tcPr>
          <w:p>
            <w:pPr>
              <w:spacing w:after="0" w:line="257" w:lineRule="auto"/>
            </w:pPr>
            <w:r>
              <w:rPr>
                <w:sz w:val="18"/>
              </w:rPr>
              <w:t>Must</w:t>
            </w:r>
          </w:p>
        </w:tc>
        <w:tc>
          <w:tcPr>
            <w:tcW w:type="dxa" w:w="3235"/>
            <w:vAlign w:val="center"/>
            <w:tcMar>
              <w:top w:w="90" w:type="dxa"/>
              <w:bottom w:w="90" w:type="dxa"/>
              <w:left w:w="90" w:type="dxa"/>
              <w:right w:w="90" w:type="dxa"/>
            </w:tcMar>
            <w:shd w:fill="FFFFFF"/>
          </w:tcPr>
          <w:p>
            <w:pPr>
              <w:spacing w:after="0" w:line="257" w:lineRule="auto"/>
            </w:pPr>
            <w:r>
              <w:rPr>
                <w:sz w:val="18"/>
              </w:rPr>
              <w:t>Build restricted runner</w:t>
            </w:r>
          </w:p>
        </w:tc>
        <w:tc>
          <w:tcPr>
            <w:tcW w:type="dxa" w:w="1810"/>
            <w:vAlign w:val="center"/>
            <w:tcMar>
              <w:top w:w="90" w:type="dxa"/>
              <w:bottom w:w="90" w:type="dxa"/>
              <w:left w:w="90" w:type="dxa"/>
              <w:right w:w="90" w:type="dxa"/>
            </w:tcMar>
            <w:shd w:fill="FFFFFF"/>
          </w:tcPr>
          <w:p>
            <w:pPr>
              <w:spacing w:after="0" w:line="257" w:lineRule="auto"/>
            </w:pPr>
            <w:r>
              <w:rPr>
                <w:sz w:val="18"/>
              </w:rPr>
              <w:t>MG02 MG04</w:t>
            </w:r>
          </w:p>
        </w:tc>
        <w:tc>
          <w:tcPr>
            <w:tcW w:type="dxa" w:w="3369"/>
            <w:vAlign w:val="center"/>
            <w:tcMar>
              <w:top w:w="90" w:type="dxa"/>
              <w:bottom w:w="90" w:type="dxa"/>
              <w:left w:w="90" w:type="dxa"/>
              <w:right w:w="90" w:type="dxa"/>
            </w:tcMar>
            <w:shd w:fill="FFFFFF"/>
          </w:tcPr>
          <w:p>
            <w:pPr>
              <w:spacing w:after="0" w:line="257" w:lineRule="auto"/>
            </w:pPr>
            <w:r>
              <w:rPr>
                <w:sz w:val="18"/>
              </w:rPr>
              <w:t>Untrusted scans and resource escapes are blocked in tests</w:t>
            </w:r>
          </w:p>
        </w:tc>
      </w:tr>
      <w:tr>
        <w:trPr>
          <w:cantSplit/>
        </w:trPr>
        <w:tc>
          <w:tcPr>
            <w:tcW w:type="dxa" w:w="805"/>
            <w:vAlign w:val="center"/>
            <w:tcMar>
              <w:top w:w="90" w:type="dxa"/>
              <w:bottom w:w="90" w:type="dxa"/>
              <w:left w:w="90" w:type="dxa"/>
              <w:right w:w="90" w:type="dxa"/>
            </w:tcMar>
            <w:shd w:fill="F6F8FA"/>
          </w:tcPr>
          <w:p>
            <w:pPr>
              <w:spacing w:after="0" w:line="257" w:lineRule="auto"/>
              <w:jc w:val="center"/>
            </w:pPr>
            <w:r>
              <w:rPr>
                <w:sz w:val="18"/>
              </w:rPr>
              <w:t>MG06</w:t>
            </w:r>
          </w:p>
        </w:tc>
        <w:tc>
          <w:tcPr>
            <w:tcW w:type="dxa" w:w="1006"/>
            <w:vAlign w:val="center"/>
            <w:tcMar>
              <w:top w:w="90" w:type="dxa"/>
              <w:bottom w:w="90" w:type="dxa"/>
              <w:left w:w="90" w:type="dxa"/>
              <w:right w:w="90" w:type="dxa"/>
            </w:tcMar>
            <w:shd w:fill="F6F8FA"/>
          </w:tcPr>
          <w:p>
            <w:pPr>
              <w:spacing w:after="0" w:line="257" w:lineRule="auto"/>
            </w:pPr>
            <w:r>
              <w:rPr>
                <w:sz w:val="18"/>
              </w:rPr>
              <w:t>Must</w:t>
            </w:r>
          </w:p>
        </w:tc>
        <w:tc>
          <w:tcPr>
            <w:tcW w:type="dxa" w:w="3235"/>
            <w:vAlign w:val="center"/>
            <w:tcMar>
              <w:top w:w="90" w:type="dxa"/>
              <w:bottom w:w="90" w:type="dxa"/>
              <w:left w:w="90" w:type="dxa"/>
              <w:right w:w="90" w:type="dxa"/>
            </w:tcMar>
            <w:shd w:fill="F6F8FA"/>
          </w:tcPr>
          <w:p>
            <w:pPr>
              <w:spacing w:after="0" w:line="257" w:lineRule="auto"/>
            </w:pPr>
            <w:r>
              <w:rPr>
                <w:sz w:val="18"/>
              </w:rPr>
              <w:t>Validate comparison context</w:t>
            </w:r>
          </w:p>
        </w:tc>
        <w:tc>
          <w:tcPr>
            <w:tcW w:type="dxa" w:w="1810"/>
            <w:vAlign w:val="center"/>
            <w:tcMar>
              <w:top w:w="90" w:type="dxa"/>
              <w:bottom w:w="90" w:type="dxa"/>
              <w:left w:w="90" w:type="dxa"/>
              <w:right w:w="90" w:type="dxa"/>
            </w:tcMar>
            <w:shd w:fill="F6F8FA"/>
          </w:tcPr>
          <w:p>
            <w:pPr>
              <w:spacing w:after="0" w:line="257" w:lineRule="auto"/>
            </w:pPr>
            <w:r>
              <w:rPr>
                <w:sz w:val="18"/>
              </w:rPr>
              <w:t>MG03 MG04</w:t>
            </w:r>
          </w:p>
        </w:tc>
        <w:tc>
          <w:tcPr>
            <w:tcW w:type="dxa" w:w="3369"/>
            <w:vAlign w:val="center"/>
            <w:tcMar>
              <w:top w:w="90" w:type="dxa"/>
              <w:bottom w:w="90" w:type="dxa"/>
              <w:left w:w="90" w:type="dxa"/>
              <w:right w:w="90" w:type="dxa"/>
            </w:tcMar>
            <w:shd w:fill="F6F8FA"/>
          </w:tcPr>
          <w:p>
            <w:pPr>
              <w:spacing w:after="0" w:line="257" w:lineRule="auto"/>
            </w:pPr>
            <w:r>
              <w:rPr>
                <w:sz w:val="18"/>
              </w:rPr>
              <w:t>Missing or incompatible context blocks impact</w:t>
            </w:r>
          </w:p>
        </w:tc>
      </w:tr>
      <w:tr>
        <w:trPr>
          <w:cantSplit/>
        </w:trPr>
        <w:tc>
          <w:tcPr>
            <w:tcW w:type="dxa" w:w="805"/>
            <w:vAlign w:val="center"/>
            <w:tcMar>
              <w:top w:w="90" w:type="dxa"/>
              <w:bottom w:w="90" w:type="dxa"/>
              <w:left w:w="90" w:type="dxa"/>
              <w:right w:w="90" w:type="dxa"/>
            </w:tcMar>
            <w:shd w:fill="FFFFFF"/>
          </w:tcPr>
          <w:p>
            <w:pPr>
              <w:spacing w:after="0" w:line="257" w:lineRule="auto"/>
              <w:jc w:val="center"/>
            </w:pPr>
            <w:r>
              <w:rPr>
                <w:sz w:val="18"/>
              </w:rPr>
              <w:t>MG07</w:t>
            </w:r>
          </w:p>
        </w:tc>
        <w:tc>
          <w:tcPr>
            <w:tcW w:type="dxa" w:w="1006"/>
            <w:vAlign w:val="center"/>
            <w:tcMar>
              <w:top w:w="90" w:type="dxa"/>
              <w:bottom w:w="90" w:type="dxa"/>
              <w:left w:w="90" w:type="dxa"/>
              <w:right w:w="90" w:type="dxa"/>
            </w:tcMar>
            <w:shd w:fill="FFFFFF"/>
          </w:tcPr>
          <w:p>
            <w:pPr>
              <w:spacing w:after="0" w:line="257" w:lineRule="auto"/>
            </w:pPr>
            <w:r>
              <w:rPr>
                <w:sz w:val="18"/>
              </w:rPr>
              <w:t>Must</w:t>
            </w:r>
          </w:p>
        </w:tc>
        <w:tc>
          <w:tcPr>
            <w:tcW w:type="dxa" w:w="3235"/>
            <w:vAlign w:val="center"/>
            <w:tcMar>
              <w:top w:w="90" w:type="dxa"/>
              <w:bottom w:w="90" w:type="dxa"/>
              <w:left w:w="90" w:type="dxa"/>
              <w:right w:w="90" w:type="dxa"/>
            </w:tcMar>
            <w:shd w:fill="FFFFFF"/>
          </w:tcPr>
          <w:p>
            <w:pPr>
              <w:spacing w:after="0" w:line="257" w:lineRule="auto"/>
            </w:pPr>
            <w:r>
              <w:rPr>
                <w:sz w:val="18"/>
              </w:rPr>
              <w:t>Compute endpoint values</w:t>
            </w:r>
          </w:p>
        </w:tc>
        <w:tc>
          <w:tcPr>
            <w:tcW w:type="dxa" w:w="1810"/>
            <w:vAlign w:val="center"/>
            <w:tcMar>
              <w:top w:w="90" w:type="dxa"/>
              <w:bottom w:w="90" w:type="dxa"/>
              <w:left w:w="90" w:type="dxa"/>
              <w:right w:w="90" w:type="dxa"/>
            </w:tcMar>
            <w:shd w:fill="FFFFFF"/>
          </w:tcPr>
          <w:p>
            <w:pPr>
              <w:spacing w:after="0" w:line="257" w:lineRule="auto"/>
            </w:pPr>
            <w:r>
              <w:rPr>
                <w:sz w:val="18"/>
              </w:rPr>
              <w:t>MG05 MG06</w:t>
            </w:r>
          </w:p>
        </w:tc>
        <w:tc>
          <w:tcPr>
            <w:tcW w:type="dxa" w:w="3369"/>
            <w:vAlign w:val="center"/>
            <w:tcMar>
              <w:top w:w="90" w:type="dxa"/>
              <w:bottom w:w="90" w:type="dxa"/>
              <w:left w:w="90" w:type="dxa"/>
              <w:right w:w="90" w:type="dxa"/>
            </w:tcMar>
            <w:shd w:fill="FFFFFF"/>
          </w:tcPr>
          <w:p>
            <w:pPr>
              <w:spacing w:after="0" w:line="257" w:lineRule="auto"/>
            </w:pPr>
            <w:r>
              <w:rPr>
                <w:sz w:val="18"/>
              </w:rPr>
              <w:t>Golden scalar values match the oracle</w:t>
            </w:r>
          </w:p>
        </w:tc>
      </w:tr>
      <w:tr>
        <w:trPr>
          <w:cantSplit/>
        </w:trPr>
        <w:tc>
          <w:tcPr>
            <w:tcW w:type="dxa" w:w="805"/>
            <w:vAlign w:val="center"/>
            <w:tcMar>
              <w:top w:w="90" w:type="dxa"/>
              <w:bottom w:w="90" w:type="dxa"/>
              <w:left w:w="90" w:type="dxa"/>
              <w:right w:w="90" w:type="dxa"/>
            </w:tcMar>
            <w:shd w:fill="F6F8FA"/>
          </w:tcPr>
          <w:p>
            <w:pPr>
              <w:spacing w:after="0" w:line="257" w:lineRule="auto"/>
              <w:jc w:val="center"/>
            </w:pPr>
            <w:r>
              <w:rPr>
                <w:sz w:val="18"/>
              </w:rPr>
              <w:t>MG08</w:t>
            </w:r>
          </w:p>
        </w:tc>
        <w:tc>
          <w:tcPr>
            <w:tcW w:type="dxa" w:w="1006"/>
            <w:vAlign w:val="center"/>
            <w:tcMar>
              <w:top w:w="90" w:type="dxa"/>
              <w:bottom w:w="90" w:type="dxa"/>
              <w:left w:w="90" w:type="dxa"/>
              <w:right w:w="90" w:type="dxa"/>
            </w:tcMar>
            <w:shd w:fill="F6F8FA"/>
          </w:tcPr>
          <w:p>
            <w:pPr>
              <w:spacing w:after="0" w:line="257" w:lineRule="auto"/>
            </w:pPr>
            <w:r>
              <w:rPr>
                <w:sz w:val="18"/>
              </w:rPr>
              <w:t>Must</w:t>
            </w:r>
          </w:p>
        </w:tc>
        <w:tc>
          <w:tcPr>
            <w:tcW w:type="dxa" w:w="3235"/>
            <w:vAlign w:val="center"/>
            <w:tcMar>
              <w:top w:w="90" w:type="dxa"/>
              <w:bottom w:w="90" w:type="dxa"/>
              <w:left w:w="90" w:type="dxa"/>
              <w:right w:w="90" w:type="dxa"/>
            </w:tcMar>
            <w:shd w:fill="F6F8FA"/>
          </w:tcPr>
          <w:p>
            <w:pPr>
              <w:spacing w:after="0" w:line="257" w:lineRule="auto"/>
            </w:pPr>
            <w:r>
              <w:rPr>
                <w:sz w:val="18"/>
              </w:rPr>
              <w:t>Produce additive row evidence</w:t>
            </w:r>
          </w:p>
        </w:tc>
        <w:tc>
          <w:tcPr>
            <w:tcW w:type="dxa" w:w="1810"/>
            <w:vAlign w:val="center"/>
            <w:tcMar>
              <w:top w:w="90" w:type="dxa"/>
              <w:bottom w:w="90" w:type="dxa"/>
              <w:left w:w="90" w:type="dxa"/>
              <w:right w:w="90" w:type="dxa"/>
            </w:tcMar>
            <w:shd w:fill="F6F8FA"/>
          </w:tcPr>
          <w:p>
            <w:pPr>
              <w:spacing w:after="0" w:line="257" w:lineRule="auto"/>
            </w:pPr>
            <w:r>
              <w:rPr>
                <w:sz w:val="18"/>
              </w:rPr>
              <w:t>MG07</w:t>
            </w:r>
          </w:p>
        </w:tc>
        <w:tc>
          <w:tcPr>
            <w:tcW w:type="dxa" w:w="3369"/>
            <w:vAlign w:val="center"/>
            <w:tcMar>
              <w:top w:w="90" w:type="dxa"/>
              <w:bottom w:w="90" w:type="dxa"/>
              <w:left w:w="90" w:type="dxa"/>
              <w:right w:w="90" w:type="dxa"/>
            </w:tcMar>
            <w:shd w:fill="F6F8FA"/>
          </w:tcPr>
          <w:p>
            <w:pPr>
              <w:spacing w:after="0" w:line="257" w:lineRule="auto"/>
            </w:pPr>
            <w:r>
              <w:rPr>
                <w:sz w:val="18"/>
              </w:rPr>
              <w:t>Row differences sum to endpoint gap</w:t>
            </w:r>
          </w:p>
        </w:tc>
      </w:tr>
      <w:tr>
        <w:trPr>
          <w:cantSplit/>
        </w:trPr>
        <w:tc>
          <w:tcPr>
            <w:tcW w:type="dxa" w:w="805"/>
            <w:vAlign w:val="center"/>
            <w:tcMar>
              <w:top w:w="90" w:type="dxa"/>
              <w:bottom w:w="90" w:type="dxa"/>
              <w:left w:w="90" w:type="dxa"/>
              <w:right w:w="90" w:type="dxa"/>
            </w:tcMar>
            <w:shd w:fill="FFFFFF"/>
          </w:tcPr>
          <w:p>
            <w:pPr>
              <w:spacing w:after="0" w:line="257" w:lineRule="auto"/>
              <w:jc w:val="center"/>
            </w:pPr>
            <w:r>
              <w:rPr>
                <w:sz w:val="18"/>
              </w:rPr>
              <w:t>MG09</w:t>
            </w:r>
          </w:p>
        </w:tc>
        <w:tc>
          <w:tcPr>
            <w:tcW w:type="dxa" w:w="1006"/>
            <w:vAlign w:val="center"/>
            <w:tcMar>
              <w:top w:w="90" w:type="dxa"/>
              <w:bottom w:w="90" w:type="dxa"/>
              <w:left w:w="90" w:type="dxa"/>
              <w:right w:w="90" w:type="dxa"/>
            </w:tcMar>
            <w:shd w:fill="FFFFFF"/>
          </w:tcPr>
          <w:p>
            <w:pPr>
              <w:spacing w:after="0" w:line="257" w:lineRule="auto"/>
            </w:pPr>
            <w:r>
              <w:rPr>
                <w:sz w:val="18"/>
              </w:rPr>
              <w:t>Must</w:t>
            </w:r>
          </w:p>
        </w:tc>
        <w:tc>
          <w:tcPr>
            <w:tcW w:type="dxa" w:w="3235"/>
            <w:vAlign w:val="center"/>
            <w:tcMar>
              <w:top w:w="90" w:type="dxa"/>
              <w:bottom w:w="90" w:type="dxa"/>
              <w:left w:w="90" w:type="dxa"/>
              <w:right w:w="90" w:type="dxa"/>
            </w:tcMar>
            <w:shd w:fill="FFFFFF"/>
          </w:tcPr>
          <w:p>
            <w:pPr>
              <w:spacing w:after="0" w:line="257" w:lineRule="auto"/>
            </w:pPr>
            <w:r>
              <w:rPr>
                <w:sz w:val="18"/>
              </w:rPr>
              <w:t>Build ordered rule bridge</w:t>
            </w:r>
          </w:p>
        </w:tc>
        <w:tc>
          <w:tcPr>
            <w:tcW w:type="dxa" w:w="1810"/>
            <w:vAlign w:val="center"/>
            <w:tcMar>
              <w:top w:w="90" w:type="dxa"/>
              <w:bottom w:w="90" w:type="dxa"/>
              <w:left w:w="90" w:type="dxa"/>
              <w:right w:w="90" w:type="dxa"/>
            </w:tcMar>
            <w:shd w:fill="FFFFFF"/>
          </w:tcPr>
          <w:p>
            <w:pPr>
              <w:spacing w:after="0" w:line="257" w:lineRule="auto"/>
            </w:pPr>
            <w:r>
              <w:rPr>
                <w:sz w:val="18"/>
              </w:rPr>
              <w:t>MG03 MG07</w:t>
            </w:r>
          </w:p>
        </w:tc>
        <w:tc>
          <w:tcPr>
            <w:tcW w:type="dxa" w:w="3369"/>
            <w:vAlign w:val="center"/>
            <w:tcMar>
              <w:top w:w="90" w:type="dxa"/>
              <w:bottom w:w="90" w:type="dxa"/>
              <w:left w:w="90" w:type="dxa"/>
              <w:right w:w="90" w:type="dxa"/>
            </w:tcMar>
            <w:shd w:fill="FFFFFF"/>
          </w:tcPr>
          <w:p>
            <w:pPr>
              <w:spacing w:after="0" w:line="257" w:lineRule="auto"/>
            </w:pPr>
            <w:r>
              <w:rPr>
                <w:sz w:val="18"/>
              </w:rPr>
              <w:t>Every intermediate stored and residual checked</w:t>
            </w:r>
          </w:p>
        </w:tc>
      </w:tr>
      <w:tr>
        <w:trPr>
          <w:cantSplit/>
        </w:trPr>
        <w:tc>
          <w:tcPr>
            <w:tcW w:type="dxa" w:w="805"/>
            <w:vAlign w:val="center"/>
            <w:tcMar>
              <w:top w:w="90" w:type="dxa"/>
              <w:bottom w:w="90" w:type="dxa"/>
              <w:left w:w="90" w:type="dxa"/>
              <w:right w:w="90" w:type="dxa"/>
            </w:tcMar>
            <w:shd w:fill="F6F8FA"/>
          </w:tcPr>
          <w:p>
            <w:pPr>
              <w:spacing w:after="0" w:line="257" w:lineRule="auto"/>
              <w:jc w:val="center"/>
            </w:pPr>
            <w:r>
              <w:rPr>
                <w:sz w:val="18"/>
              </w:rPr>
              <w:t>MG10</w:t>
            </w:r>
          </w:p>
        </w:tc>
        <w:tc>
          <w:tcPr>
            <w:tcW w:type="dxa" w:w="1006"/>
            <w:vAlign w:val="center"/>
            <w:tcMar>
              <w:top w:w="90" w:type="dxa"/>
              <w:bottom w:w="90" w:type="dxa"/>
              <w:left w:w="90" w:type="dxa"/>
              <w:right w:w="90" w:type="dxa"/>
            </w:tcMar>
            <w:shd w:fill="F6F8FA"/>
          </w:tcPr>
          <w:p>
            <w:pPr>
              <w:spacing w:after="0" w:line="257" w:lineRule="auto"/>
            </w:pPr>
            <w:r>
              <w:rPr>
                <w:sz w:val="18"/>
              </w:rPr>
              <w:t>Must</w:t>
            </w:r>
          </w:p>
        </w:tc>
        <w:tc>
          <w:tcPr>
            <w:tcW w:type="dxa" w:w="3235"/>
            <w:vAlign w:val="center"/>
            <w:tcMar>
              <w:top w:w="90" w:type="dxa"/>
              <w:bottom w:w="90" w:type="dxa"/>
              <w:left w:w="90" w:type="dxa"/>
              <w:right w:w="90" w:type="dxa"/>
            </w:tcMar>
            <w:shd w:fill="F6F8FA"/>
          </w:tcPr>
          <w:p>
            <w:pPr>
              <w:spacing w:after="0" w:line="257" w:lineRule="auto"/>
            </w:pPr>
            <w:r>
              <w:rPr>
                <w:sz w:val="18"/>
              </w:rPr>
              <w:t>Classify version differences</w:t>
            </w:r>
          </w:p>
        </w:tc>
        <w:tc>
          <w:tcPr>
            <w:tcW w:type="dxa" w:w="1810"/>
            <w:vAlign w:val="center"/>
            <w:tcMar>
              <w:top w:w="90" w:type="dxa"/>
              <w:bottom w:w="90" w:type="dxa"/>
              <w:left w:w="90" w:type="dxa"/>
              <w:right w:w="90" w:type="dxa"/>
            </w:tcMar>
            <w:shd w:fill="F6F8FA"/>
          </w:tcPr>
          <w:p>
            <w:pPr>
              <w:spacing w:after="0" w:line="257" w:lineRule="auto"/>
            </w:pPr>
            <w:r>
              <w:rPr>
                <w:sz w:val="18"/>
              </w:rPr>
              <w:t>MG03</w:t>
            </w:r>
          </w:p>
        </w:tc>
        <w:tc>
          <w:tcPr>
            <w:tcW w:type="dxa" w:w="3369"/>
            <w:vAlign w:val="center"/>
            <w:tcMar>
              <w:top w:w="90" w:type="dxa"/>
              <w:bottom w:w="90" w:type="dxa"/>
              <w:left w:w="90" w:type="dxa"/>
              <w:right w:w="90" w:type="dxa"/>
            </w:tcMar>
            <w:shd w:fill="F6F8FA"/>
          </w:tcPr>
          <w:p>
            <w:pPr>
              <w:spacing w:after="0" w:line="257" w:lineRule="auto"/>
            </w:pPr>
            <w:r>
              <w:rPr>
                <w:sz w:val="18"/>
              </w:rPr>
              <w:t>Cosmetic, structural and unknown changes separated</w:t>
            </w:r>
          </w:p>
        </w:tc>
      </w:tr>
      <w:tr>
        <w:trPr>
          <w:cantSplit/>
        </w:trPr>
        <w:tc>
          <w:tcPr>
            <w:tcW w:type="dxa" w:w="805"/>
            <w:vAlign w:val="center"/>
            <w:tcMar>
              <w:top w:w="90" w:type="dxa"/>
              <w:bottom w:w="90" w:type="dxa"/>
              <w:left w:w="90" w:type="dxa"/>
              <w:right w:w="90" w:type="dxa"/>
            </w:tcMar>
            <w:shd w:fill="FFFFFF"/>
          </w:tcPr>
          <w:p>
            <w:pPr>
              <w:spacing w:after="0" w:line="257" w:lineRule="auto"/>
              <w:jc w:val="center"/>
            </w:pPr>
            <w:r>
              <w:rPr>
                <w:sz w:val="18"/>
              </w:rPr>
              <w:t>MG11</w:t>
            </w:r>
          </w:p>
        </w:tc>
        <w:tc>
          <w:tcPr>
            <w:tcW w:type="dxa" w:w="1006"/>
            <w:vAlign w:val="center"/>
            <w:tcMar>
              <w:top w:w="90" w:type="dxa"/>
              <w:bottom w:w="90" w:type="dxa"/>
              <w:left w:w="90" w:type="dxa"/>
              <w:right w:w="90" w:type="dxa"/>
            </w:tcMar>
            <w:shd w:fill="FFFFFF"/>
          </w:tcPr>
          <w:p>
            <w:pPr>
              <w:spacing w:after="0" w:line="257" w:lineRule="auto"/>
            </w:pPr>
            <w:r>
              <w:rPr>
                <w:sz w:val="18"/>
              </w:rPr>
              <w:t>Must</w:t>
            </w:r>
          </w:p>
        </w:tc>
        <w:tc>
          <w:tcPr>
            <w:tcW w:type="dxa" w:w="3235"/>
            <w:vAlign w:val="center"/>
            <w:tcMar>
              <w:top w:w="90" w:type="dxa"/>
              <w:bottom w:w="90" w:type="dxa"/>
              <w:left w:w="90" w:type="dxa"/>
              <w:right w:w="90" w:type="dxa"/>
            </w:tcMar>
            <w:shd w:fill="FFFFFF"/>
          </w:tcPr>
          <w:p>
            <w:pPr>
              <w:spacing w:after="0" w:line="257" w:lineRule="auto"/>
            </w:pPr>
            <w:r>
              <w:rPr>
                <w:sz w:val="18"/>
              </w:rPr>
              <w:t>Store immutable versions and runs</w:t>
            </w:r>
          </w:p>
        </w:tc>
        <w:tc>
          <w:tcPr>
            <w:tcW w:type="dxa" w:w="1810"/>
            <w:vAlign w:val="center"/>
            <w:tcMar>
              <w:top w:w="90" w:type="dxa"/>
              <w:bottom w:w="90" w:type="dxa"/>
              <w:left w:w="90" w:type="dxa"/>
              <w:right w:w="90" w:type="dxa"/>
            </w:tcMar>
            <w:shd w:fill="FFFFFF"/>
          </w:tcPr>
          <w:p>
            <w:pPr>
              <w:spacing w:after="0" w:line="257" w:lineRule="auto"/>
            </w:pPr>
            <w:r>
              <w:rPr>
                <w:sz w:val="18"/>
              </w:rPr>
              <w:t>MG02</w:t>
            </w:r>
          </w:p>
        </w:tc>
        <w:tc>
          <w:tcPr>
            <w:tcW w:type="dxa" w:w="3369"/>
            <w:vAlign w:val="center"/>
            <w:tcMar>
              <w:top w:w="90" w:type="dxa"/>
              <w:bottom w:w="90" w:type="dxa"/>
              <w:left w:w="90" w:type="dxa"/>
              <w:right w:w="90" w:type="dxa"/>
            </w:tcMar>
            <w:shd w:fill="FFFFFF"/>
          </w:tcPr>
          <w:p>
            <w:pPr>
              <w:spacing w:after="0" w:line="257" w:lineRule="auto"/>
            </w:pPr>
            <w:r>
              <w:rPr>
                <w:sz w:val="18"/>
              </w:rPr>
              <w:t>No edit alters previous evidence</w:t>
            </w:r>
          </w:p>
        </w:tc>
      </w:tr>
      <w:tr>
        <w:trPr>
          <w:cantSplit/>
        </w:trPr>
        <w:tc>
          <w:tcPr>
            <w:tcW w:type="dxa" w:w="805"/>
            <w:vAlign w:val="center"/>
            <w:tcMar>
              <w:top w:w="90" w:type="dxa"/>
              <w:bottom w:w="90" w:type="dxa"/>
              <w:left w:w="90" w:type="dxa"/>
              <w:right w:w="90" w:type="dxa"/>
            </w:tcMar>
            <w:shd w:fill="F6F8FA"/>
          </w:tcPr>
          <w:p>
            <w:pPr>
              <w:spacing w:after="0" w:line="257" w:lineRule="auto"/>
              <w:jc w:val="center"/>
            </w:pPr>
            <w:r>
              <w:rPr>
                <w:sz w:val="18"/>
              </w:rPr>
              <w:t>MG12</w:t>
            </w:r>
          </w:p>
        </w:tc>
        <w:tc>
          <w:tcPr>
            <w:tcW w:type="dxa" w:w="1006"/>
            <w:vAlign w:val="center"/>
            <w:tcMar>
              <w:top w:w="90" w:type="dxa"/>
              <w:bottom w:w="90" w:type="dxa"/>
              <w:left w:w="90" w:type="dxa"/>
              <w:right w:w="90" w:type="dxa"/>
            </w:tcMar>
            <w:shd w:fill="F6F8FA"/>
          </w:tcPr>
          <w:p>
            <w:pPr>
              <w:spacing w:after="0" w:line="257" w:lineRule="auto"/>
            </w:pPr>
            <w:r>
              <w:rPr>
                <w:sz w:val="18"/>
              </w:rPr>
              <w:t>Must</w:t>
            </w:r>
          </w:p>
        </w:tc>
        <w:tc>
          <w:tcPr>
            <w:tcW w:type="dxa" w:w="3235"/>
            <w:vAlign w:val="center"/>
            <w:tcMar>
              <w:top w:w="90" w:type="dxa"/>
              <w:bottom w:w="90" w:type="dxa"/>
              <w:left w:w="90" w:type="dxa"/>
              <w:right w:w="90" w:type="dxa"/>
            </w:tcMar>
            <w:shd w:fill="F6F8FA"/>
          </w:tcPr>
          <w:p>
            <w:pPr>
              <w:spacing w:after="0" w:line="257" w:lineRule="auto"/>
            </w:pPr>
            <w:r>
              <w:rPr>
                <w:sz w:val="18"/>
              </w:rPr>
              <w:t>Add durable jobs and recovery</w:t>
            </w:r>
          </w:p>
        </w:tc>
        <w:tc>
          <w:tcPr>
            <w:tcW w:type="dxa" w:w="1810"/>
            <w:vAlign w:val="center"/>
            <w:tcMar>
              <w:top w:w="90" w:type="dxa"/>
              <w:bottom w:w="90" w:type="dxa"/>
              <w:left w:w="90" w:type="dxa"/>
              <w:right w:w="90" w:type="dxa"/>
            </w:tcMar>
            <w:shd w:fill="F6F8FA"/>
          </w:tcPr>
          <w:p>
            <w:pPr>
              <w:spacing w:after="0" w:line="257" w:lineRule="auto"/>
            </w:pPr>
            <w:r>
              <w:rPr>
                <w:sz w:val="18"/>
              </w:rPr>
              <w:t>MG05 MG11</w:t>
            </w:r>
          </w:p>
        </w:tc>
        <w:tc>
          <w:tcPr>
            <w:tcW w:type="dxa" w:w="3369"/>
            <w:vAlign w:val="center"/>
            <w:tcMar>
              <w:top w:w="90" w:type="dxa"/>
              <w:bottom w:w="90" w:type="dxa"/>
              <w:left w:w="90" w:type="dxa"/>
              <w:right w:w="90" w:type="dxa"/>
            </w:tcMar>
            <w:shd w:fill="F6F8FA"/>
          </w:tcPr>
          <w:p>
            <w:pPr>
              <w:spacing w:after="0" w:line="257" w:lineRule="auto"/>
            </w:pPr>
            <w:r>
              <w:rPr>
                <w:sz w:val="18"/>
              </w:rPr>
              <w:t>Duplicate requests and dead workers handled</w:t>
            </w:r>
          </w:p>
        </w:tc>
      </w:tr>
      <w:tr>
        <w:trPr>
          <w:cantSplit/>
        </w:trPr>
        <w:tc>
          <w:tcPr>
            <w:tcW w:type="dxa" w:w="805"/>
            <w:vAlign w:val="center"/>
            <w:tcMar>
              <w:top w:w="90" w:type="dxa"/>
              <w:bottom w:w="90" w:type="dxa"/>
              <w:left w:w="90" w:type="dxa"/>
              <w:right w:w="90" w:type="dxa"/>
            </w:tcMar>
            <w:shd w:fill="FFFFFF"/>
          </w:tcPr>
          <w:p>
            <w:pPr>
              <w:spacing w:after="0" w:line="257" w:lineRule="auto"/>
              <w:jc w:val="center"/>
            </w:pPr>
            <w:r>
              <w:rPr>
                <w:sz w:val="18"/>
              </w:rPr>
              <w:t>MG13</w:t>
            </w:r>
          </w:p>
        </w:tc>
        <w:tc>
          <w:tcPr>
            <w:tcW w:type="dxa" w:w="1006"/>
            <w:vAlign w:val="center"/>
            <w:tcMar>
              <w:top w:w="90" w:type="dxa"/>
              <w:bottom w:w="90" w:type="dxa"/>
              <w:left w:w="90" w:type="dxa"/>
              <w:right w:w="90" w:type="dxa"/>
            </w:tcMar>
            <w:shd w:fill="FFFFFF"/>
          </w:tcPr>
          <w:p>
            <w:pPr>
              <w:spacing w:after="0" w:line="257" w:lineRule="auto"/>
            </w:pPr>
            <w:r>
              <w:rPr>
                <w:sz w:val="18"/>
              </w:rPr>
              <w:t>Must</w:t>
            </w:r>
          </w:p>
        </w:tc>
        <w:tc>
          <w:tcPr>
            <w:tcW w:type="dxa" w:w="3235"/>
            <w:vAlign w:val="center"/>
            <w:tcMar>
              <w:top w:w="90" w:type="dxa"/>
              <w:bottom w:w="90" w:type="dxa"/>
              <w:left w:w="90" w:type="dxa"/>
              <w:right w:w="90" w:type="dxa"/>
            </w:tcMar>
            <w:shd w:fill="FFFFFF"/>
          </w:tcPr>
          <w:p>
            <w:pPr>
              <w:spacing w:after="0" w:line="257" w:lineRule="auto"/>
            </w:pPr>
            <w:r>
              <w:rPr>
                <w:sz w:val="18"/>
              </w:rPr>
              <w:t>Expose typed API contracts</w:t>
            </w:r>
          </w:p>
        </w:tc>
        <w:tc>
          <w:tcPr>
            <w:tcW w:type="dxa" w:w="1810"/>
            <w:vAlign w:val="center"/>
            <w:tcMar>
              <w:top w:w="90" w:type="dxa"/>
              <w:bottom w:w="90" w:type="dxa"/>
              <w:left w:w="90" w:type="dxa"/>
              <w:right w:w="90" w:type="dxa"/>
            </w:tcMar>
            <w:shd w:fill="FFFFFF"/>
          </w:tcPr>
          <w:p>
            <w:pPr>
              <w:spacing w:after="0" w:line="257" w:lineRule="auto"/>
            </w:pPr>
            <w:r>
              <w:rPr>
                <w:sz w:val="18"/>
              </w:rPr>
              <w:t>MG06 MG11 MG12</w:t>
            </w:r>
          </w:p>
        </w:tc>
        <w:tc>
          <w:tcPr>
            <w:tcW w:type="dxa" w:w="3369"/>
            <w:vAlign w:val="center"/>
            <w:tcMar>
              <w:top w:w="90" w:type="dxa"/>
              <w:bottom w:w="90" w:type="dxa"/>
              <w:left w:w="90" w:type="dxa"/>
              <w:right w:w="90" w:type="dxa"/>
            </w:tcMar>
            <w:shd w:fill="FFFFFF"/>
          </w:tcPr>
          <w:p>
            <w:pPr>
              <w:spacing w:after="0" w:line="257" w:lineRule="auto"/>
            </w:pPr>
            <w:r>
              <w:rPr>
                <w:sz w:val="18"/>
              </w:rPr>
              <w:t>UI contract agrees with server validation</w:t>
            </w:r>
          </w:p>
        </w:tc>
      </w:tr>
      <w:tr>
        <w:trPr>
          <w:cantSplit/>
        </w:trPr>
        <w:tc>
          <w:tcPr>
            <w:tcW w:type="dxa" w:w="805"/>
            <w:vAlign w:val="center"/>
            <w:tcMar>
              <w:top w:w="90" w:type="dxa"/>
              <w:bottom w:w="90" w:type="dxa"/>
              <w:left w:w="90" w:type="dxa"/>
              <w:right w:w="90" w:type="dxa"/>
            </w:tcMar>
            <w:shd w:fill="F6F8FA"/>
          </w:tcPr>
          <w:p>
            <w:pPr>
              <w:spacing w:after="0" w:line="257" w:lineRule="auto"/>
              <w:jc w:val="center"/>
            </w:pPr>
            <w:r>
              <w:rPr>
                <w:sz w:val="18"/>
              </w:rPr>
              <w:t>MG14</w:t>
            </w:r>
          </w:p>
        </w:tc>
        <w:tc>
          <w:tcPr>
            <w:tcW w:type="dxa" w:w="1006"/>
            <w:vAlign w:val="center"/>
            <w:tcMar>
              <w:top w:w="90" w:type="dxa"/>
              <w:bottom w:w="90" w:type="dxa"/>
              <w:left w:w="90" w:type="dxa"/>
              <w:right w:w="90" w:type="dxa"/>
            </w:tcMar>
            <w:shd w:fill="F6F8FA"/>
          </w:tcPr>
          <w:p>
            <w:pPr>
              <w:spacing w:after="0" w:line="257" w:lineRule="auto"/>
            </w:pPr>
            <w:r>
              <w:rPr>
                <w:sz w:val="18"/>
              </w:rPr>
              <w:t>Must</w:t>
            </w:r>
          </w:p>
        </w:tc>
        <w:tc>
          <w:tcPr>
            <w:tcW w:type="dxa" w:w="3235"/>
            <w:vAlign w:val="center"/>
            <w:tcMar>
              <w:top w:w="90" w:type="dxa"/>
              <w:bottom w:w="90" w:type="dxa"/>
              <w:left w:w="90" w:type="dxa"/>
              <w:right w:w="90" w:type="dxa"/>
            </w:tcMar>
            <w:shd w:fill="F6F8FA"/>
          </w:tcPr>
          <w:p>
            <w:pPr>
              <w:spacing w:after="0" w:line="257" w:lineRule="auto"/>
            </w:pPr>
            <w:r>
              <w:rPr>
                <w:sz w:val="18"/>
              </w:rPr>
              <w:t>Build comparison screen</w:t>
            </w:r>
          </w:p>
        </w:tc>
        <w:tc>
          <w:tcPr>
            <w:tcW w:type="dxa" w:w="1810"/>
            <w:vAlign w:val="center"/>
            <w:tcMar>
              <w:top w:w="90" w:type="dxa"/>
              <w:bottom w:w="90" w:type="dxa"/>
              <w:left w:w="90" w:type="dxa"/>
              <w:right w:w="90" w:type="dxa"/>
            </w:tcMar>
            <w:shd w:fill="F6F8FA"/>
          </w:tcPr>
          <w:p>
            <w:pPr>
              <w:spacing w:after="0" w:line="257" w:lineRule="auto"/>
            </w:pPr>
            <w:r>
              <w:rPr>
                <w:sz w:val="18"/>
              </w:rPr>
              <w:t>MG08 MG09 MG13</w:t>
            </w:r>
          </w:p>
        </w:tc>
        <w:tc>
          <w:tcPr>
            <w:tcW w:type="dxa" w:w="3369"/>
            <w:vAlign w:val="center"/>
            <w:tcMar>
              <w:top w:w="90" w:type="dxa"/>
              <w:bottom w:w="90" w:type="dxa"/>
              <w:left w:w="90" w:type="dxa"/>
              <w:right w:w="90" w:type="dxa"/>
            </w:tcMar>
            <w:shd w:fill="F6F8FA"/>
          </w:tcPr>
          <w:p>
            <w:pPr>
              <w:spacing w:after="0" w:line="257" w:lineRule="auto"/>
            </w:pPr>
            <w:r>
              <w:rPr>
                <w:sz w:val="18"/>
              </w:rPr>
              <w:t>User can inspect exact gap and evidence</w:t>
            </w:r>
          </w:p>
        </w:tc>
      </w:tr>
      <w:tr>
        <w:trPr>
          <w:cantSplit/>
        </w:trPr>
        <w:tc>
          <w:tcPr>
            <w:tcW w:type="dxa" w:w="805"/>
            <w:vAlign w:val="center"/>
            <w:tcMar>
              <w:top w:w="90" w:type="dxa"/>
              <w:bottom w:w="90" w:type="dxa"/>
              <w:left w:w="90" w:type="dxa"/>
              <w:right w:w="90" w:type="dxa"/>
            </w:tcMar>
            <w:shd w:fill="FFFFFF"/>
          </w:tcPr>
          <w:p>
            <w:pPr>
              <w:spacing w:after="0" w:line="257" w:lineRule="auto"/>
              <w:jc w:val="center"/>
            </w:pPr>
            <w:r>
              <w:rPr>
                <w:sz w:val="18"/>
              </w:rPr>
              <w:t>MG15</w:t>
            </w:r>
          </w:p>
        </w:tc>
        <w:tc>
          <w:tcPr>
            <w:tcW w:type="dxa" w:w="1006"/>
            <w:vAlign w:val="center"/>
            <w:tcMar>
              <w:top w:w="90" w:type="dxa"/>
              <w:bottom w:w="90" w:type="dxa"/>
              <w:left w:w="90" w:type="dxa"/>
              <w:right w:w="90" w:type="dxa"/>
            </w:tcMar>
            <w:shd w:fill="FFFFFF"/>
          </w:tcPr>
          <w:p>
            <w:pPr>
              <w:spacing w:after="0" w:line="257" w:lineRule="auto"/>
            </w:pPr>
            <w:r>
              <w:rPr>
                <w:sz w:val="18"/>
              </w:rPr>
              <w:t>Must</w:t>
            </w:r>
          </w:p>
        </w:tc>
        <w:tc>
          <w:tcPr>
            <w:tcW w:type="dxa" w:w="3235"/>
            <w:vAlign w:val="center"/>
            <w:tcMar>
              <w:top w:w="90" w:type="dxa"/>
              <w:bottom w:w="90" w:type="dxa"/>
              <w:left w:w="90" w:type="dxa"/>
              <w:right w:w="90" w:type="dxa"/>
            </w:tcMar>
            <w:shd w:fill="FFFFFF"/>
          </w:tcPr>
          <w:p>
            <w:pPr>
              <w:spacing w:after="0" w:line="257" w:lineRule="auto"/>
            </w:pPr>
            <w:r>
              <w:rPr>
                <w:sz w:val="18"/>
              </w:rPr>
              <w:t>Build import and inventory screens</w:t>
            </w:r>
          </w:p>
        </w:tc>
        <w:tc>
          <w:tcPr>
            <w:tcW w:type="dxa" w:w="1810"/>
            <w:vAlign w:val="center"/>
            <w:tcMar>
              <w:top w:w="90" w:type="dxa"/>
              <w:bottom w:w="90" w:type="dxa"/>
              <w:left w:w="90" w:type="dxa"/>
              <w:right w:w="90" w:type="dxa"/>
            </w:tcMar>
            <w:shd w:fill="FFFFFF"/>
          </w:tcPr>
          <w:p>
            <w:pPr>
              <w:spacing w:after="0" w:line="257" w:lineRule="auto"/>
            </w:pPr>
            <w:r>
              <w:rPr>
                <w:sz w:val="18"/>
              </w:rPr>
              <w:t>MG03 MG04 MG13</w:t>
            </w:r>
          </w:p>
        </w:tc>
        <w:tc>
          <w:tcPr>
            <w:tcW w:type="dxa" w:w="3369"/>
            <w:vAlign w:val="center"/>
            <w:tcMar>
              <w:top w:w="90" w:type="dxa"/>
              <w:bottom w:w="90" w:type="dxa"/>
              <w:left w:w="90" w:type="dxa"/>
              <w:right w:w="90" w:type="dxa"/>
            </w:tcMar>
            <w:shd w:fill="FFFFFF"/>
          </w:tcPr>
          <w:p>
            <w:pPr>
              <w:spacing w:after="0" w:line="257" w:lineRule="auto"/>
            </w:pPr>
            <w:r>
              <w:rPr>
                <w:sz w:val="18"/>
              </w:rPr>
              <w:t>Support and coverage are explicit</w:t>
            </w:r>
          </w:p>
        </w:tc>
      </w:tr>
      <w:tr>
        <w:trPr>
          <w:cantSplit/>
        </w:trPr>
        <w:tc>
          <w:tcPr>
            <w:tcW w:type="dxa" w:w="805"/>
            <w:vAlign w:val="center"/>
            <w:tcMar>
              <w:top w:w="90" w:type="dxa"/>
              <w:bottom w:w="90" w:type="dxa"/>
              <w:left w:w="90" w:type="dxa"/>
              <w:right w:w="90" w:type="dxa"/>
            </w:tcMar>
            <w:shd w:fill="F6F8FA"/>
          </w:tcPr>
          <w:p>
            <w:pPr>
              <w:spacing w:after="0" w:line="257" w:lineRule="auto"/>
              <w:jc w:val="center"/>
            </w:pPr>
            <w:r>
              <w:rPr>
                <w:sz w:val="18"/>
              </w:rPr>
              <w:t>MG16</w:t>
            </w:r>
          </w:p>
        </w:tc>
        <w:tc>
          <w:tcPr>
            <w:tcW w:type="dxa" w:w="1006"/>
            <w:vAlign w:val="center"/>
            <w:tcMar>
              <w:top w:w="90" w:type="dxa"/>
              <w:bottom w:w="90" w:type="dxa"/>
              <w:left w:w="90" w:type="dxa"/>
              <w:right w:w="90" w:type="dxa"/>
            </w:tcMar>
            <w:shd w:fill="F6F8FA"/>
          </w:tcPr>
          <w:p>
            <w:pPr>
              <w:spacing w:after="0" w:line="257" w:lineRule="auto"/>
            </w:pPr>
            <w:r>
              <w:rPr>
                <w:sz w:val="18"/>
              </w:rPr>
              <w:t>Must</w:t>
            </w:r>
          </w:p>
        </w:tc>
        <w:tc>
          <w:tcPr>
            <w:tcW w:type="dxa" w:w="3235"/>
            <w:vAlign w:val="center"/>
            <w:tcMar>
              <w:top w:w="90" w:type="dxa"/>
              <w:bottom w:w="90" w:type="dxa"/>
              <w:left w:w="90" w:type="dxa"/>
              <w:right w:w="90" w:type="dxa"/>
            </w:tcMar>
            <w:shd w:fill="F6F8FA"/>
          </w:tcPr>
          <w:p>
            <w:pPr>
              <w:spacing w:after="0" w:line="257" w:lineRule="auto"/>
            </w:pPr>
            <w:r>
              <w:rPr>
                <w:sz w:val="18"/>
              </w:rPr>
              <w:t>Build history and fixed-data replay</w:t>
            </w:r>
          </w:p>
        </w:tc>
        <w:tc>
          <w:tcPr>
            <w:tcW w:type="dxa" w:w="1810"/>
            <w:vAlign w:val="center"/>
            <w:tcMar>
              <w:top w:w="90" w:type="dxa"/>
              <w:bottom w:w="90" w:type="dxa"/>
              <w:left w:w="90" w:type="dxa"/>
              <w:right w:w="90" w:type="dxa"/>
            </w:tcMar>
            <w:shd w:fill="F6F8FA"/>
          </w:tcPr>
          <w:p>
            <w:pPr>
              <w:spacing w:after="0" w:line="257" w:lineRule="auto"/>
            </w:pPr>
            <w:r>
              <w:rPr>
                <w:sz w:val="18"/>
              </w:rPr>
              <w:t>MG10 MG11 MG13</w:t>
            </w:r>
          </w:p>
        </w:tc>
        <w:tc>
          <w:tcPr>
            <w:tcW w:type="dxa" w:w="3369"/>
            <w:vAlign w:val="center"/>
            <w:tcMar>
              <w:top w:w="90" w:type="dxa"/>
              <w:bottom w:w="90" w:type="dxa"/>
              <w:left w:w="90" w:type="dxa"/>
              <w:right w:w="90" w:type="dxa"/>
            </w:tcMar>
            <w:shd w:fill="F6F8FA"/>
          </w:tcPr>
          <w:p>
            <w:pPr>
              <w:spacing w:after="0" w:line="257" w:lineRule="auto"/>
            </w:pPr>
            <w:r>
              <w:rPr>
                <w:sz w:val="18"/>
              </w:rPr>
              <w:t>Definition changes replay on fixed data</w:t>
            </w:r>
          </w:p>
        </w:tc>
      </w:tr>
      <w:tr>
        <w:trPr>
          <w:cantSplit/>
        </w:trPr>
        <w:tc>
          <w:tcPr>
            <w:tcW w:type="dxa" w:w="805"/>
            <w:vAlign w:val="center"/>
            <w:tcMar>
              <w:top w:w="90" w:type="dxa"/>
              <w:bottom w:w="90" w:type="dxa"/>
              <w:left w:w="90" w:type="dxa"/>
              <w:right w:w="90" w:type="dxa"/>
            </w:tcMar>
            <w:shd w:fill="FFFFFF"/>
          </w:tcPr>
          <w:p>
            <w:pPr>
              <w:spacing w:after="0" w:line="257" w:lineRule="auto"/>
              <w:jc w:val="center"/>
            </w:pPr>
            <w:r>
              <w:rPr>
                <w:sz w:val="18"/>
              </w:rPr>
              <w:t>MG17</w:t>
            </w:r>
          </w:p>
        </w:tc>
        <w:tc>
          <w:tcPr>
            <w:tcW w:type="dxa" w:w="1006"/>
            <w:vAlign w:val="center"/>
            <w:tcMar>
              <w:top w:w="90" w:type="dxa"/>
              <w:bottom w:w="90" w:type="dxa"/>
              <w:left w:w="90" w:type="dxa"/>
              <w:right w:w="90" w:type="dxa"/>
            </w:tcMar>
            <w:shd w:fill="FFFFFF"/>
          </w:tcPr>
          <w:p>
            <w:pPr>
              <w:spacing w:after="0" w:line="257" w:lineRule="auto"/>
            </w:pPr>
            <w:r>
              <w:rPr>
                <w:sz w:val="18"/>
              </w:rPr>
              <w:t>Should</w:t>
            </w:r>
          </w:p>
        </w:tc>
        <w:tc>
          <w:tcPr>
            <w:tcW w:type="dxa" w:w="3235"/>
            <w:vAlign w:val="center"/>
            <w:tcMar>
              <w:top w:w="90" w:type="dxa"/>
              <w:bottom w:w="90" w:type="dxa"/>
              <w:left w:w="90" w:type="dxa"/>
              <w:right w:w="90" w:type="dxa"/>
            </w:tcMar>
            <w:shd w:fill="FFFFFF"/>
          </w:tcPr>
          <w:p>
            <w:pPr>
              <w:spacing w:after="0" w:line="257" w:lineRule="auto"/>
            </w:pPr>
            <w:r>
              <w:rPr>
                <w:sz w:val="18"/>
              </w:rPr>
              <w:t>Add deterministic candidate ranking</w:t>
            </w:r>
          </w:p>
        </w:tc>
        <w:tc>
          <w:tcPr>
            <w:tcW w:type="dxa" w:w="1810"/>
            <w:vAlign w:val="center"/>
            <w:tcMar>
              <w:top w:w="90" w:type="dxa"/>
              <w:bottom w:w="90" w:type="dxa"/>
              <w:left w:w="90" w:type="dxa"/>
              <w:right w:w="90" w:type="dxa"/>
            </w:tcMar>
            <w:shd w:fill="FFFFFF"/>
          </w:tcPr>
          <w:p>
            <w:pPr>
              <w:spacing w:after="0" w:line="257" w:lineRule="auto"/>
            </w:pPr>
            <w:r>
              <w:rPr>
                <w:sz w:val="18"/>
              </w:rPr>
              <w:t>MG03 MG11</w:t>
            </w:r>
          </w:p>
        </w:tc>
        <w:tc>
          <w:tcPr>
            <w:tcW w:type="dxa" w:w="3369"/>
            <w:vAlign w:val="center"/>
            <w:tcMar>
              <w:top w:w="90" w:type="dxa"/>
              <w:bottom w:w="90" w:type="dxa"/>
              <w:left w:w="90" w:type="dxa"/>
              <w:right w:w="90" w:type="dxa"/>
            </w:tcMar>
            <w:shd w:fill="FFFFFF"/>
          </w:tcPr>
          <w:p>
            <w:pPr>
              <w:spacing w:after="0" w:line="257" w:lineRule="auto"/>
            </w:pPr>
            <w:r>
              <w:rPr>
                <w:sz w:val="18"/>
              </w:rPr>
              <w:t>Evaluated suggestions with manual review</w:t>
            </w:r>
          </w:p>
        </w:tc>
      </w:tr>
      <w:tr>
        <w:trPr>
          <w:cantSplit/>
        </w:trPr>
        <w:tc>
          <w:tcPr>
            <w:tcW w:type="dxa" w:w="805"/>
            <w:vAlign w:val="center"/>
            <w:tcMar>
              <w:top w:w="90" w:type="dxa"/>
              <w:bottom w:w="90" w:type="dxa"/>
              <w:left w:w="90" w:type="dxa"/>
              <w:right w:w="90" w:type="dxa"/>
            </w:tcMar>
            <w:shd w:fill="F6F8FA"/>
          </w:tcPr>
          <w:p>
            <w:pPr>
              <w:spacing w:after="0" w:line="257" w:lineRule="auto"/>
              <w:jc w:val="center"/>
            </w:pPr>
            <w:r>
              <w:rPr>
                <w:sz w:val="18"/>
              </w:rPr>
              <w:t>MG18</w:t>
            </w:r>
          </w:p>
        </w:tc>
        <w:tc>
          <w:tcPr>
            <w:tcW w:type="dxa" w:w="1006"/>
            <w:vAlign w:val="center"/>
            <w:tcMar>
              <w:top w:w="90" w:type="dxa"/>
              <w:bottom w:w="90" w:type="dxa"/>
              <w:left w:w="90" w:type="dxa"/>
              <w:right w:w="90" w:type="dxa"/>
            </w:tcMar>
            <w:shd w:fill="F6F8FA"/>
          </w:tcPr>
          <w:p>
            <w:pPr>
              <w:spacing w:after="0" w:line="257" w:lineRule="auto"/>
            </w:pPr>
            <w:r>
              <w:rPr>
                <w:sz w:val="18"/>
              </w:rPr>
              <w:t>Should</w:t>
            </w:r>
          </w:p>
        </w:tc>
        <w:tc>
          <w:tcPr>
            <w:tcW w:type="dxa" w:w="3235"/>
            <w:vAlign w:val="center"/>
            <w:tcMar>
              <w:top w:w="90" w:type="dxa"/>
              <w:bottom w:w="90" w:type="dxa"/>
              <w:left w:w="90" w:type="dxa"/>
              <w:right w:w="90" w:type="dxa"/>
            </w:tcMar>
            <w:shd w:fill="F6F8FA"/>
          </w:tcPr>
          <w:p>
            <w:pPr>
              <w:spacing w:after="0" w:line="257" w:lineRule="auto"/>
            </w:pPr>
            <w:r>
              <w:rPr>
                <w:sz w:val="18"/>
              </w:rPr>
              <w:t>Add scoped baseline decisions</w:t>
            </w:r>
          </w:p>
        </w:tc>
        <w:tc>
          <w:tcPr>
            <w:tcW w:type="dxa" w:w="1810"/>
            <w:vAlign w:val="center"/>
            <w:tcMar>
              <w:top w:w="90" w:type="dxa"/>
              <w:bottom w:w="90" w:type="dxa"/>
              <w:left w:w="90" w:type="dxa"/>
              <w:right w:w="90" w:type="dxa"/>
            </w:tcMar>
            <w:shd w:fill="F6F8FA"/>
          </w:tcPr>
          <w:p>
            <w:pPr>
              <w:spacing w:after="0" w:line="257" w:lineRule="auto"/>
            </w:pPr>
            <w:r>
              <w:rPr>
                <w:sz w:val="18"/>
              </w:rPr>
              <w:t>MG11 MG13</w:t>
            </w:r>
          </w:p>
        </w:tc>
        <w:tc>
          <w:tcPr>
            <w:tcW w:type="dxa" w:w="3369"/>
            <w:vAlign w:val="center"/>
            <w:tcMar>
              <w:top w:w="90" w:type="dxa"/>
              <w:bottom w:w="90" w:type="dxa"/>
              <w:left w:w="90" w:type="dxa"/>
              <w:right w:w="90" w:type="dxa"/>
            </w:tcMar>
            <w:shd w:fill="F6F8FA"/>
          </w:tcPr>
          <w:p>
            <w:pPr>
              <w:spacing w:after="0" w:line="257" w:lineRule="auto"/>
            </w:pPr>
            <w:r>
              <w:rPr>
                <w:sz w:val="18"/>
              </w:rPr>
              <w:t>Approval points to immutable version and scope</w:t>
            </w:r>
          </w:p>
        </w:tc>
      </w:tr>
      <w:tr>
        <w:trPr>
          <w:cantSplit/>
        </w:trPr>
        <w:tc>
          <w:tcPr>
            <w:tcW w:type="dxa" w:w="805"/>
            <w:vAlign w:val="center"/>
            <w:tcMar>
              <w:top w:w="90" w:type="dxa"/>
              <w:bottom w:w="90" w:type="dxa"/>
              <w:left w:w="90" w:type="dxa"/>
              <w:right w:w="90" w:type="dxa"/>
            </w:tcMar>
            <w:shd w:fill="FFFFFF"/>
          </w:tcPr>
          <w:p>
            <w:pPr>
              <w:spacing w:after="0" w:line="257" w:lineRule="auto"/>
              <w:jc w:val="center"/>
            </w:pPr>
            <w:r>
              <w:rPr>
                <w:sz w:val="18"/>
              </w:rPr>
              <w:t>MG19</w:t>
            </w:r>
          </w:p>
        </w:tc>
        <w:tc>
          <w:tcPr>
            <w:tcW w:type="dxa" w:w="1006"/>
            <w:vAlign w:val="center"/>
            <w:tcMar>
              <w:top w:w="90" w:type="dxa"/>
              <w:bottom w:w="90" w:type="dxa"/>
              <w:left w:w="90" w:type="dxa"/>
              <w:right w:w="90" w:type="dxa"/>
            </w:tcMar>
            <w:shd w:fill="FFFFFF"/>
          </w:tcPr>
          <w:p>
            <w:pPr>
              <w:spacing w:after="0" w:line="257" w:lineRule="auto"/>
            </w:pPr>
            <w:r>
              <w:rPr>
                <w:sz w:val="18"/>
              </w:rPr>
              <w:t>Should</w:t>
            </w:r>
          </w:p>
        </w:tc>
        <w:tc>
          <w:tcPr>
            <w:tcW w:type="dxa" w:w="3235"/>
            <w:vAlign w:val="center"/>
            <w:tcMar>
              <w:top w:w="90" w:type="dxa"/>
              <w:bottom w:w="90" w:type="dxa"/>
              <w:left w:w="90" w:type="dxa"/>
              <w:right w:w="90" w:type="dxa"/>
            </w:tcMar>
            <w:shd w:fill="FFFFFF"/>
          </w:tcPr>
          <w:p>
            <w:pPr>
              <w:spacing w:after="0" w:line="257" w:lineRule="auto"/>
            </w:pPr>
            <w:r>
              <w:rPr>
                <w:sz w:val="18"/>
              </w:rPr>
              <w:t>Register report dependencies</w:t>
            </w:r>
          </w:p>
        </w:tc>
        <w:tc>
          <w:tcPr>
            <w:tcW w:type="dxa" w:w="1810"/>
            <w:vAlign w:val="center"/>
            <w:tcMar>
              <w:top w:w="90" w:type="dxa"/>
              <w:bottom w:w="90" w:type="dxa"/>
              <w:left w:w="90" w:type="dxa"/>
              <w:right w:w="90" w:type="dxa"/>
            </w:tcMar>
            <w:shd w:fill="FFFFFF"/>
          </w:tcPr>
          <w:p>
            <w:pPr>
              <w:spacing w:after="0" w:line="257" w:lineRule="auto"/>
            </w:pPr>
            <w:r>
              <w:rPr>
                <w:sz w:val="18"/>
              </w:rPr>
              <w:t>MG11 MG13</w:t>
            </w:r>
          </w:p>
        </w:tc>
        <w:tc>
          <w:tcPr>
            <w:tcW w:type="dxa" w:w="3369"/>
            <w:vAlign w:val="center"/>
            <w:tcMar>
              <w:top w:w="90" w:type="dxa"/>
              <w:bottom w:w="90" w:type="dxa"/>
              <w:left w:w="90" w:type="dxa"/>
              <w:right w:w="90" w:type="dxa"/>
            </w:tcMar>
            <w:shd w:fill="FFFFFF"/>
          </w:tcPr>
          <w:p>
            <w:pPr>
              <w:spacing w:after="0" w:line="257" w:lineRule="auto"/>
            </w:pPr>
            <w:r>
              <w:rPr>
                <w:sz w:val="18"/>
              </w:rPr>
              <w:t>Known consumer list shows evidence and coverage</w:t>
            </w:r>
          </w:p>
        </w:tc>
      </w:tr>
      <w:tr>
        <w:trPr>
          <w:cantSplit/>
        </w:trPr>
        <w:tc>
          <w:tcPr>
            <w:tcW w:type="dxa" w:w="805"/>
            <w:vAlign w:val="center"/>
            <w:tcMar>
              <w:top w:w="90" w:type="dxa"/>
              <w:bottom w:w="90" w:type="dxa"/>
              <w:left w:w="90" w:type="dxa"/>
              <w:right w:w="90" w:type="dxa"/>
            </w:tcMar>
            <w:shd w:fill="F6F8FA"/>
          </w:tcPr>
          <w:p>
            <w:pPr>
              <w:spacing w:after="0" w:line="257" w:lineRule="auto"/>
              <w:jc w:val="center"/>
            </w:pPr>
            <w:r>
              <w:rPr>
                <w:sz w:val="18"/>
              </w:rPr>
              <w:t>MG20</w:t>
            </w:r>
          </w:p>
        </w:tc>
        <w:tc>
          <w:tcPr>
            <w:tcW w:type="dxa" w:w="1006"/>
            <w:vAlign w:val="center"/>
            <w:tcMar>
              <w:top w:w="90" w:type="dxa"/>
              <w:bottom w:w="90" w:type="dxa"/>
              <w:left w:w="90" w:type="dxa"/>
              <w:right w:w="90" w:type="dxa"/>
            </w:tcMar>
            <w:shd w:fill="F6F8FA"/>
          </w:tcPr>
          <w:p>
            <w:pPr>
              <w:spacing w:after="0" w:line="257" w:lineRule="auto"/>
            </w:pPr>
            <w:r>
              <w:rPr>
                <w:sz w:val="18"/>
              </w:rPr>
              <w:t>Must</w:t>
            </w:r>
          </w:p>
        </w:tc>
        <w:tc>
          <w:tcPr>
            <w:tcW w:type="dxa" w:w="3235"/>
            <w:vAlign w:val="center"/>
            <w:tcMar>
              <w:top w:w="90" w:type="dxa"/>
              <w:bottom w:w="90" w:type="dxa"/>
              <w:left w:w="90" w:type="dxa"/>
              <w:right w:w="90" w:type="dxa"/>
            </w:tcMar>
            <w:shd w:fill="F6F8FA"/>
          </w:tcPr>
          <w:p>
            <w:pPr>
              <w:spacing w:after="0" w:line="257" w:lineRule="auto"/>
            </w:pPr>
            <w:r>
              <w:rPr>
                <w:sz w:val="18"/>
              </w:rPr>
              <w:t>Export evidence and provenance</w:t>
            </w:r>
          </w:p>
        </w:tc>
        <w:tc>
          <w:tcPr>
            <w:tcW w:type="dxa" w:w="1810"/>
            <w:vAlign w:val="center"/>
            <w:tcMar>
              <w:top w:w="90" w:type="dxa"/>
              <w:bottom w:w="90" w:type="dxa"/>
              <w:left w:w="90" w:type="dxa"/>
              <w:right w:w="90" w:type="dxa"/>
            </w:tcMar>
            <w:shd w:fill="F6F8FA"/>
          </w:tcPr>
          <w:p>
            <w:pPr>
              <w:spacing w:after="0" w:line="257" w:lineRule="auto"/>
            </w:pPr>
            <w:r>
              <w:rPr>
                <w:sz w:val="18"/>
              </w:rPr>
              <w:t>MG08 MG09 MG11</w:t>
            </w:r>
          </w:p>
        </w:tc>
        <w:tc>
          <w:tcPr>
            <w:tcW w:type="dxa" w:w="3369"/>
            <w:vAlign w:val="center"/>
            <w:tcMar>
              <w:top w:w="90" w:type="dxa"/>
              <w:bottom w:w="90" w:type="dxa"/>
              <w:left w:w="90" w:type="dxa"/>
              <w:right w:w="90" w:type="dxa"/>
            </w:tcMar>
            <w:shd w:fill="F6F8FA"/>
          </w:tcPr>
          <w:p>
            <w:pPr>
              <w:spacing w:after="0" w:line="257" w:lineRule="auto"/>
            </w:pPr>
            <w:r>
              <w:rPr>
                <w:sz w:val="18"/>
              </w:rPr>
              <w:t>Report and JSON retain all limits</w:t>
            </w:r>
          </w:p>
        </w:tc>
      </w:tr>
      <w:tr>
        <w:trPr>
          <w:cantSplit/>
        </w:trPr>
        <w:tc>
          <w:tcPr>
            <w:tcW w:type="dxa" w:w="805"/>
            <w:vAlign w:val="center"/>
            <w:tcMar>
              <w:top w:w="90" w:type="dxa"/>
              <w:bottom w:w="90" w:type="dxa"/>
              <w:left w:w="90" w:type="dxa"/>
              <w:right w:w="90" w:type="dxa"/>
            </w:tcMar>
            <w:shd w:fill="FFFFFF"/>
          </w:tcPr>
          <w:p>
            <w:pPr>
              <w:spacing w:after="0" w:line="257" w:lineRule="auto"/>
              <w:jc w:val="center"/>
            </w:pPr>
            <w:r>
              <w:rPr>
                <w:sz w:val="18"/>
              </w:rPr>
              <w:t>MG21</w:t>
            </w:r>
          </w:p>
        </w:tc>
        <w:tc>
          <w:tcPr>
            <w:tcW w:type="dxa" w:w="1006"/>
            <w:vAlign w:val="center"/>
            <w:tcMar>
              <w:top w:w="90" w:type="dxa"/>
              <w:bottom w:w="90" w:type="dxa"/>
              <w:left w:w="90" w:type="dxa"/>
              <w:right w:w="90" w:type="dxa"/>
            </w:tcMar>
            <w:shd w:fill="FFFFFF"/>
          </w:tcPr>
          <w:p>
            <w:pPr>
              <w:spacing w:after="0" w:line="257" w:lineRule="auto"/>
            </w:pPr>
            <w:r>
              <w:rPr>
                <w:sz w:val="18"/>
              </w:rPr>
              <w:t>Must</w:t>
            </w:r>
          </w:p>
        </w:tc>
        <w:tc>
          <w:tcPr>
            <w:tcW w:type="dxa" w:w="3235"/>
            <w:vAlign w:val="center"/>
            <w:tcMar>
              <w:top w:w="90" w:type="dxa"/>
              <w:bottom w:w="90" w:type="dxa"/>
              <w:left w:w="90" w:type="dxa"/>
              <w:right w:w="90" w:type="dxa"/>
            </w:tcMar>
            <w:shd w:fill="FFFFFF"/>
          </w:tcPr>
          <w:p>
            <w:pPr>
              <w:spacing w:after="0" w:line="257" w:lineRule="auto"/>
            </w:pPr>
            <w:r>
              <w:rPr>
                <w:sz w:val="18"/>
              </w:rPr>
              <w:t>Complete regression and end-to-end tests</w:t>
            </w:r>
          </w:p>
        </w:tc>
        <w:tc>
          <w:tcPr>
            <w:tcW w:type="dxa" w:w="1810"/>
            <w:vAlign w:val="center"/>
            <w:tcMar>
              <w:top w:w="90" w:type="dxa"/>
              <w:bottom w:w="90" w:type="dxa"/>
              <w:left w:w="90" w:type="dxa"/>
              <w:right w:w="90" w:type="dxa"/>
            </w:tcMar>
            <w:shd w:fill="FFFFFF"/>
          </w:tcPr>
          <w:p>
            <w:pPr>
              <w:spacing w:after="0" w:line="257" w:lineRule="auto"/>
            </w:pPr>
            <w:r>
              <w:rPr>
                <w:sz w:val="18"/>
              </w:rPr>
              <w:t>Core milestones</w:t>
            </w:r>
          </w:p>
        </w:tc>
        <w:tc>
          <w:tcPr>
            <w:tcW w:type="dxa" w:w="3369"/>
            <w:vAlign w:val="center"/>
            <w:tcMar>
              <w:top w:w="90" w:type="dxa"/>
              <w:bottom w:w="90" w:type="dxa"/>
              <w:left w:w="90" w:type="dxa"/>
              <w:right w:w="90" w:type="dxa"/>
            </w:tcMar>
            <w:shd w:fill="FFFFFF"/>
          </w:tcPr>
          <w:p>
            <w:pPr>
              <w:spacing w:after="0" w:line="257" w:lineRule="auto"/>
            </w:pPr>
            <w:r>
              <w:rPr>
                <w:sz w:val="18"/>
              </w:rPr>
              <w:t>Defined release gates pass</w:t>
            </w:r>
          </w:p>
        </w:tc>
      </w:tr>
      <w:tr>
        <w:trPr>
          <w:cantSplit/>
        </w:trPr>
        <w:tc>
          <w:tcPr>
            <w:tcW w:type="dxa" w:w="805"/>
            <w:vAlign w:val="center"/>
            <w:tcMar>
              <w:top w:w="90" w:type="dxa"/>
              <w:bottom w:w="90" w:type="dxa"/>
              <w:left w:w="90" w:type="dxa"/>
              <w:right w:w="90" w:type="dxa"/>
            </w:tcMar>
            <w:shd w:fill="F6F8FA"/>
          </w:tcPr>
          <w:p>
            <w:pPr>
              <w:spacing w:after="0" w:line="257" w:lineRule="auto"/>
              <w:jc w:val="center"/>
            </w:pPr>
            <w:r>
              <w:rPr>
                <w:sz w:val="18"/>
              </w:rPr>
              <w:t>MG22</w:t>
            </w:r>
          </w:p>
        </w:tc>
        <w:tc>
          <w:tcPr>
            <w:tcW w:type="dxa" w:w="1006"/>
            <w:vAlign w:val="center"/>
            <w:tcMar>
              <w:top w:w="90" w:type="dxa"/>
              <w:bottom w:w="90" w:type="dxa"/>
              <w:left w:w="90" w:type="dxa"/>
              <w:right w:w="90" w:type="dxa"/>
            </w:tcMar>
            <w:shd w:fill="F6F8FA"/>
          </w:tcPr>
          <w:p>
            <w:pPr>
              <w:spacing w:after="0" w:line="257" w:lineRule="auto"/>
            </w:pPr>
            <w:r>
              <w:rPr>
                <w:sz w:val="18"/>
              </w:rPr>
              <w:t>Must</w:t>
            </w:r>
          </w:p>
        </w:tc>
        <w:tc>
          <w:tcPr>
            <w:tcW w:type="dxa" w:w="3235"/>
            <w:vAlign w:val="center"/>
            <w:tcMar>
              <w:top w:w="90" w:type="dxa"/>
              <w:bottom w:w="90" w:type="dxa"/>
              <w:left w:w="90" w:type="dxa"/>
              <w:right w:w="90" w:type="dxa"/>
            </w:tcMar>
            <w:shd w:fill="F6F8FA"/>
          </w:tcPr>
          <w:p>
            <w:pPr>
              <w:spacing w:after="0" w:line="257" w:lineRule="auto"/>
            </w:pPr>
            <w:r>
              <w:rPr>
                <w:sz w:val="18"/>
              </w:rPr>
              <w:t>Prepare demo and documentation</w:t>
            </w:r>
          </w:p>
        </w:tc>
        <w:tc>
          <w:tcPr>
            <w:tcW w:type="dxa" w:w="1810"/>
            <w:vAlign w:val="center"/>
            <w:tcMar>
              <w:top w:w="90" w:type="dxa"/>
              <w:bottom w:w="90" w:type="dxa"/>
              <w:left w:w="90" w:type="dxa"/>
              <w:right w:w="90" w:type="dxa"/>
            </w:tcMar>
            <w:shd w:fill="F6F8FA"/>
          </w:tcPr>
          <w:p>
            <w:pPr>
              <w:spacing w:after="0" w:line="257" w:lineRule="auto"/>
            </w:pPr>
            <w:r>
              <w:rPr>
                <w:sz w:val="18"/>
              </w:rPr>
              <w:t>MG14 MG16 MG20 MG21</w:t>
            </w:r>
          </w:p>
        </w:tc>
        <w:tc>
          <w:tcPr>
            <w:tcW w:type="dxa" w:w="3369"/>
            <w:vAlign w:val="center"/>
            <w:tcMar>
              <w:top w:w="90" w:type="dxa"/>
              <w:bottom w:w="90" w:type="dxa"/>
              <w:left w:w="90" w:type="dxa"/>
              <w:right w:w="90" w:type="dxa"/>
            </w:tcMar>
            <w:shd w:fill="F6F8FA"/>
          </w:tcPr>
          <w:p>
            <w:pPr>
              <w:spacing w:after="0" w:line="257" w:lineRule="auto"/>
            </w:pPr>
            <w:r>
              <w:rPr>
                <w:sz w:val="18"/>
              </w:rPr>
              <w:t>Another person reproduces the golden investigation</w:t>
            </w:r>
          </w:p>
        </w:tc>
      </w:tr>
      <w:tr>
        <w:trPr>
          <w:cantSplit/>
        </w:trPr>
        <w:tc>
          <w:tcPr>
            <w:tcW w:type="dxa" w:w="805"/>
            <w:vAlign w:val="center"/>
            <w:tcMar>
              <w:top w:w="90" w:type="dxa"/>
              <w:bottom w:w="90" w:type="dxa"/>
              <w:left w:w="90" w:type="dxa"/>
              <w:right w:w="90" w:type="dxa"/>
            </w:tcMar>
            <w:shd w:fill="FFFFFF"/>
          </w:tcPr>
          <w:p>
            <w:pPr>
              <w:spacing w:after="0" w:line="257" w:lineRule="auto"/>
              <w:jc w:val="center"/>
            </w:pPr>
            <w:r>
              <w:rPr>
                <w:sz w:val="18"/>
              </w:rPr>
              <w:t>MG23</w:t>
            </w:r>
          </w:p>
        </w:tc>
        <w:tc>
          <w:tcPr>
            <w:tcW w:type="dxa" w:w="1006"/>
            <w:vAlign w:val="center"/>
            <w:tcMar>
              <w:top w:w="90" w:type="dxa"/>
              <w:bottom w:w="90" w:type="dxa"/>
              <w:left w:w="90" w:type="dxa"/>
              <w:right w:w="90" w:type="dxa"/>
            </w:tcMar>
            <w:shd w:fill="FFFFFF"/>
          </w:tcPr>
          <w:p>
            <w:pPr>
              <w:spacing w:after="0" w:line="257" w:lineRule="auto"/>
            </w:pPr>
            <w:r>
              <w:rPr>
                <w:sz w:val="18"/>
              </w:rPr>
              <w:t>Later</w:t>
            </w:r>
          </w:p>
        </w:tc>
        <w:tc>
          <w:tcPr>
            <w:tcW w:type="dxa" w:w="3235"/>
            <w:vAlign w:val="center"/>
            <w:tcMar>
              <w:top w:w="90" w:type="dxa"/>
              <w:bottom w:w="90" w:type="dxa"/>
              <w:left w:w="90" w:type="dxa"/>
              <w:right w:w="90" w:type="dxa"/>
            </w:tcMar>
            <w:shd w:fill="FFFFFF"/>
          </w:tcPr>
          <w:p>
            <w:pPr>
              <w:spacing w:after="0" w:line="257" w:lineRule="auto"/>
            </w:pPr>
            <w:r>
              <w:rPr>
                <w:sz w:val="18"/>
              </w:rPr>
              <w:t>dbt manifest metadata adapter</w:t>
            </w:r>
          </w:p>
        </w:tc>
        <w:tc>
          <w:tcPr>
            <w:tcW w:type="dxa" w:w="1810"/>
            <w:vAlign w:val="center"/>
            <w:tcMar>
              <w:top w:w="90" w:type="dxa"/>
              <w:bottom w:w="90" w:type="dxa"/>
              <w:left w:w="90" w:type="dxa"/>
              <w:right w:w="90" w:type="dxa"/>
            </w:tcMar>
            <w:shd w:fill="FFFFFF"/>
          </w:tcPr>
          <w:p>
            <w:pPr>
              <w:spacing w:after="0" w:line="257" w:lineRule="auto"/>
            </w:pPr>
            <w:r>
              <w:rPr>
                <w:sz w:val="18"/>
              </w:rPr>
              <w:t>Stable core</w:t>
            </w:r>
          </w:p>
        </w:tc>
        <w:tc>
          <w:tcPr>
            <w:tcW w:type="dxa" w:w="3369"/>
            <w:vAlign w:val="center"/>
            <w:tcMar>
              <w:top w:w="90" w:type="dxa"/>
              <w:bottom w:w="90" w:type="dxa"/>
              <w:left w:w="90" w:type="dxa"/>
              <w:right w:w="90" w:type="dxa"/>
            </w:tcMar>
            <w:shd w:fill="FFFFFF"/>
          </w:tcPr>
          <w:p>
            <w:pPr>
              <w:spacing w:after="0" w:line="257" w:lineRule="auto"/>
            </w:pPr>
            <w:r>
              <w:rPr>
                <w:sz w:val="18"/>
              </w:rPr>
              <w:t>Versioned artifacts import without executing macros</w:t>
            </w:r>
          </w:p>
        </w:tc>
      </w:tr>
      <w:tr>
        <w:trPr>
          <w:cantSplit/>
        </w:trPr>
        <w:tc>
          <w:tcPr>
            <w:tcW w:type="dxa" w:w="805"/>
            <w:vAlign w:val="center"/>
            <w:tcMar>
              <w:top w:w="90" w:type="dxa"/>
              <w:bottom w:w="90" w:type="dxa"/>
              <w:left w:w="90" w:type="dxa"/>
              <w:right w:w="90" w:type="dxa"/>
            </w:tcMar>
            <w:shd w:fill="F6F8FA"/>
          </w:tcPr>
          <w:p>
            <w:pPr>
              <w:spacing w:after="0" w:line="257" w:lineRule="auto"/>
              <w:jc w:val="center"/>
            </w:pPr>
            <w:r>
              <w:rPr>
                <w:sz w:val="18"/>
              </w:rPr>
              <w:t>MG24</w:t>
            </w:r>
          </w:p>
        </w:tc>
        <w:tc>
          <w:tcPr>
            <w:tcW w:type="dxa" w:w="1006"/>
            <w:vAlign w:val="center"/>
            <w:tcMar>
              <w:top w:w="90" w:type="dxa"/>
              <w:bottom w:w="90" w:type="dxa"/>
              <w:left w:w="90" w:type="dxa"/>
              <w:right w:w="90" w:type="dxa"/>
            </w:tcMar>
            <w:shd w:fill="F6F8FA"/>
          </w:tcPr>
          <w:p>
            <w:pPr>
              <w:spacing w:after="0" w:line="257" w:lineRule="auto"/>
            </w:pPr>
            <w:r>
              <w:rPr>
                <w:sz w:val="18"/>
              </w:rPr>
              <w:t>Later</w:t>
            </w:r>
          </w:p>
        </w:tc>
        <w:tc>
          <w:tcPr>
            <w:tcW w:type="dxa" w:w="3235"/>
            <w:vAlign w:val="center"/>
            <w:tcMar>
              <w:top w:w="90" w:type="dxa"/>
              <w:bottom w:w="90" w:type="dxa"/>
              <w:left w:w="90" w:type="dxa"/>
              <w:right w:w="90" w:type="dxa"/>
            </w:tcMar>
            <w:shd w:fill="F6F8FA"/>
          </w:tcPr>
          <w:p>
            <w:pPr>
              <w:spacing w:after="0" w:line="257" w:lineRule="auto"/>
            </w:pPr>
            <w:r>
              <w:rPr>
                <w:sz w:val="18"/>
              </w:rPr>
              <w:t>Power BI TMDL metadata adapter</w:t>
            </w:r>
          </w:p>
        </w:tc>
        <w:tc>
          <w:tcPr>
            <w:tcW w:type="dxa" w:w="1810"/>
            <w:vAlign w:val="center"/>
            <w:tcMar>
              <w:top w:w="90" w:type="dxa"/>
              <w:bottom w:w="90" w:type="dxa"/>
              <w:left w:w="90" w:type="dxa"/>
              <w:right w:w="90" w:type="dxa"/>
            </w:tcMar>
            <w:shd w:fill="F6F8FA"/>
          </w:tcPr>
          <w:p>
            <w:pPr>
              <w:spacing w:after="0" w:line="257" w:lineRule="auto"/>
            </w:pPr>
            <w:r>
              <w:rPr>
                <w:sz w:val="18"/>
              </w:rPr>
              <w:t>Stable core</w:t>
            </w:r>
          </w:p>
        </w:tc>
        <w:tc>
          <w:tcPr>
            <w:tcW w:type="dxa" w:w="3369"/>
            <w:vAlign w:val="center"/>
            <w:tcMar>
              <w:top w:w="90" w:type="dxa"/>
              <w:bottom w:w="90" w:type="dxa"/>
              <w:left w:w="90" w:type="dxa"/>
              <w:right w:w="90" w:type="dxa"/>
            </w:tcMar>
            <w:shd w:fill="F6F8FA"/>
          </w:tcPr>
          <w:p>
            <w:pPr>
              <w:spacing w:after="0" w:line="257" w:lineRule="auto"/>
            </w:pPr>
            <w:r>
              <w:rPr>
                <w:sz w:val="18"/>
              </w:rPr>
              <w:t>Import capability clearly separated from execution</w:t>
            </w:r>
          </w:p>
        </w:tc>
      </w:tr>
      <w:tr>
        <w:trPr>
          <w:cantSplit/>
        </w:trPr>
        <w:tc>
          <w:tcPr>
            <w:tcW w:type="dxa" w:w="805"/>
            <w:vAlign w:val="center"/>
            <w:tcMar>
              <w:top w:w="90" w:type="dxa"/>
              <w:bottom w:w="90" w:type="dxa"/>
              <w:left w:w="90" w:type="dxa"/>
              <w:right w:w="90" w:type="dxa"/>
            </w:tcMar>
            <w:shd w:fill="FFFFFF"/>
          </w:tcPr>
          <w:p>
            <w:pPr>
              <w:spacing w:after="0" w:line="257" w:lineRule="auto"/>
              <w:jc w:val="center"/>
            </w:pPr>
            <w:r>
              <w:rPr>
                <w:sz w:val="18"/>
              </w:rPr>
              <w:t>MG25</w:t>
            </w:r>
          </w:p>
        </w:tc>
        <w:tc>
          <w:tcPr>
            <w:tcW w:type="dxa" w:w="1006"/>
            <w:vAlign w:val="center"/>
            <w:tcMar>
              <w:top w:w="90" w:type="dxa"/>
              <w:bottom w:w="90" w:type="dxa"/>
              <w:left w:w="90" w:type="dxa"/>
              <w:right w:w="90" w:type="dxa"/>
            </w:tcMar>
            <w:shd w:fill="FFFFFF"/>
          </w:tcPr>
          <w:p>
            <w:pPr>
              <w:spacing w:after="0" w:line="257" w:lineRule="auto"/>
            </w:pPr>
            <w:r>
              <w:rPr>
                <w:sz w:val="18"/>
              </w:rPr>
              <w:t>Later</w:t>
            </w:r>
          </w:p>
        </w:tc>
        <w:tc>
          <w:tcPr>
            <w:tcW w:type="dxa" w:w="3235"/>
            <w:vAlign w:val="center"/>
            <w:tcMar>
              <w:top w:w="90" w:type="dxa"/>
              <w:bottom w:w="90" w:type="dxa"/>
              <w:left w:w="90" w:type="dxa"/>
              <w:right w:w="90" w:type="dxa"/>
            </w:tcMar>
            <w:shd w:fill="FFFFFF"/>
          </w:tcPr>
          <w:p>
            <w:pPr>
              <w:spacing w:after="0" w:line="257" w:lineRule="auto"/>
            </w:pPr>
            <w:r>
              <w:rPr>
                <w:sz w:val="18"/>
              </w:rPr>
              <w:t>Exact bounded Shapley allocation</w:t>
            </w:r>
          </w:p>
        </w:tc>
        <w:tc>
          <w:tcPr>
            <w:tcW w:type="dxa" w:w="1810"/>
            <w:vAlign w:val="center"/>
            <w:tcMar>
              <w:top w:w="90" w:type="dxa"/>
              <w:bottom w:w="90" w:type="dxa"/>
              <w:left w:w="90" w:type="dxa"/>
              <w:right w:w="90" w:type="dxa"/>
            </w:tcMar>
            <w:shd w:fill="FFFFFF"/>
          </w:tcPr>
          <w:p>
            <w:pPr>
              <w:spacing w:after="0" w:line="257" w:lineRule="auto"/>
            </w:pPr>
            <w:r>
              <w:rPr>
                <w:sz w:val="18"/>
              </w:rPr>
              <w:t>MG09</w:t>
            </w:r>
          </w:p>
        </w:tc>
        <w:tc>
          <w:tcPr>
            <w:tcW w:type="dxa" w:w="3369"/>
            <w:vAlign w:val="center"/>
            <w:tcMar>
              <w:top w:w="90" w:type="dxa"/>
              <w:bottom w:w="90" w:type="dxa"/>
              <w:left w:w="90" w:type="dxa"/>
              <w:right w:w="90" w:type="dxa"/>
            </w:tcMar>
            <w:shd w:fill="FFFFFF"/>
          </w:tcPr>
          <w:p>
            <w:pPr>
              <w:spacing w:after="0" w:line="257" w:lineRule="auto"/>
            </w:pPr>
            <w:r>
              <w:rPr>
                <w:sz w:val="18"/>
              </w:rPr>
              <w:t>All combinations valid and results tested</w:t>
            </w:r>
          </w:p>
        </w:tc>
      </w:tr>
      <w:tr>
        <w:trPr>
          <w:cantSplit/>
        </w:trPr>
        <w:tc>
          <w:tcPr>
            <w:tcW w:type="dxa" w:w="805"/>
            <w:vAlign w:val="center"/>
            <w:tcMar>
              <w:top w:w="90" w:type="dxa"/>
              <w:bottom w:w="90" w:type="dxa"/>
              <w:left w:w="90" w:type="dxa"/>
              <w:right w:w="90" w:type="dxa"/>
            </w:tcMar>
            <w:shd w:fill="F6F8FA"/>
          </w:tcPr>
          <w:p>
            <w:pPr>
              <w:spacing w:after="0" w:line="257" w:lineRule="auto"/>
              <w:jc w:val="center"/>
            </w:pPr>
            <w:r>
              <w:rPr>
                <w:sz w:val="18"/>
              </w:rPr>
              <w:t>MG26</w:t>
            </w:r>
          </w:p>
        </w:tc>
        <w:tc>
          <w:tcPr>
            <w:tcW w:type="dxa" w:w="1006"/>
            <w:vAlign w:val="center"/>
            <w:tcMar>
              <w:top w:w="90" w:type="dxa"/>
              <w:bottom w:w="90" w:type="dxa"/>
              <w:left w:w="90" w:type="dxa"/>
              <w:right w:w="90" w:type="dxa"/>
            </w:tcMar>
            <w:shd w:fill="F6F8FA"/>
          </w:tcPr>
          <w:p>
            <w:pPr>
              <w:spacing w:after="0" w:line="257" w:lineRule="auto"/>
            </w:pPr>
            <w:r>
              <w:rPr>
                <w:sz w:val="18"/>
              </w:rPr>
              <w:t>Later</w:t>
            </w:r>
          </w:p>
        </w:tc>
        <w:tc>
          <w:tcPr>
            <w:tcW w:type="dxa" w:w="3235"/>
            <w:vAlign w:val="center"/>
            <w:tcMar>
              <w:top w:w="90" w:type="dxa"/>
              <w:bottom w:w="90" w:type="dxa"/>
              <w:left w:w="90" w:type="dxa"/>
              <w:right w:w="90" w:type="dxa"/>
            </w:tcMar>
            <w:shd w:fill="F6F8FA"/>
          </w:tcPr>
          <w:p>
            <w:pPr>
              <w:spacing w:after="0" w:line="257" w:lineRule="auto"/>
            </w:pPr>
            <w:r>
              <w:rPr>
                <w:sz w:val="18"/>
              </w:rPr>
              <w:t>Optional metadata embeddings</w:t>
            </w:r>
          </w:p>
        </w:tc>
        <w:tc>
          <w:tcPr>
            <w:tcW w:type="dxa" w:w="1810"/>
            <w:vAlign w:val="center"/>
            <w:tcMar>
              <w:top w:w="90" w:type="dxa"/>
              <w:bottom w:w="90" w:type="dxa"/>
              <w:left w:w="90" w:type="dxa"/>
              <w:right w:w="90" w:type="dxa"/>
            </w:tcMar>
            <w:shd w:fill="F6F8FA"/>
          </w:tcPr>
          <w:p>
            <w:pPr>
              <w:spacing w:after="0" w:line="257" w:lineRule="auto"/>
            </w:pPr>
            <w:r>
              <w:rPr>
                <w:sz w:val="18"/>
              </w:rPr>
              <w:t>MG17</w:t>
            </w:r>
          </w:p>
        </w:tc>
        <w:tc>
          <w:tcPr>
            <w:tcW w:type="dxa" w:w="3369"/>
            <w:vAlign w:val="center"/>
            <w:tcMar>
              <w:top w:w="90" w:type="dxa"/>
              <w:bottom w:w="90" w:type="dxa"/>
              <w:left w:w="90" w:type="dxa"/>
              <w:right w:w="90" w:type="dxa"/>
            </w:tcMar>
            <w:shd w:fill="F6F8FA"/>
          </w:tcPr>
          <w:p>
            <w:pPr>
              <w:spacing w:after="0" w:line="257" w:lineRule="auto"/>
            </w:pPr>
            <w:r>
              <w:rPr>
                <w:sz w:val="18"/>
              </w:rPr>
              <w:t>Improves held-out evaluation over baseline</w:t>
            </w:r>
          </w:p>
        </w:tc>
      </w:tr>
    </w:tbl>
    <w:p>
      <w:pPr>
        <w:spacing w:after="20"/>
      </w:pPr>
    </w:p>
    <w:p>
      <w:r>
        <w:t>"Must" describes the full proposed MVP. The reduced first demonstration may omit Should items and COUNT DISTINCT support while explicitly reporting its smaller capability set. Later items must not be quietly bundled into a first coding prompt.</w:t>
      </w:r>
    </w:p>
    <w:p>
      <w:pPr>
        <w:pStyle w:val="Heading2"/>
      </w:pPr>
      <w:r>
        <w:t>First engineering spike</w:t>
      </w:r>
    </w:p>
    <w:p>
      <w:r>
        <w:t>Before building application screens, prove four things. First, the parser can reliably distinguish the three permitted rule groups and reject unsupported clauses. Second, generated execution queries preserve the tested NULL and decimal behavior. Third, the chosen local environment can start and terminate an isolated runner with no network. Fourth, row contributions and the bridge agree with the independent golden calculation.</w:t>
      </w:r>
    </w:p>
    <w:p>
      <w:r>
        <w:t>Timebox the spike to M0. If arbitrary imported SQL cannot be decomposed reliably, reduce the grammar and explain its support boundary. Do not compensate with an LLM that guesses the missing logic. If isolation is not ready, keep the user interface in precomputed demonstration mode until it is.</w:t>
      </w:r>
    </w:p>
    <w:p>
      <w:pPr>
        <w:pStyle w:val="Heading2"/>
      </w:pPr>
      <w:r>
        <w:t>Definition of done</w:t>
      </w:r>
    </w:p>
    <w:p>
      <w:r>
        <w:t>Each feature has documented inputs, failure states and a tested acceptance condition. Numeric features include independent expected results or invariants. A feature involving a new query construct includes a negative case and a counterexample for meaning-preserving transformations. UI work includes accessible errors and retains context when a run finishes.</w:t>
      </w:r>
    </w:p>
    <w:p>
      <w:r>
        <w:t>The MVP is done when a fresh local setup reproduces the golden demo, unsupported queries cannot masquerade as successful comparisons, complete bridges reconcile, version history is immutable, jobs survive interruption, and a reviewer can trace every displayed amount to evidence. Do not make broad enterprise scale, security or savings claims from that milestone.</w:t>
      </w:r>
    </w:p>
    <w:p>
      <w:pPr>
        <w:pStyle w:val="Heading2"/>
      </w:pPr>
      <w:r>
        <w:t>Release checklist</w:t>
      </w:r>
    </w:p>
    <w:p>
      <w:pPr>
        <w:ind w:left="317" w:hanging="317"/>
      </w:pPr>
      <w:r>
        <w:t>1. Lock runtime and package versions and record the revision used for results.</w:t>
      </w:r>
    </w:p>
    <w:p>
      <w:pPr>
        <w:ind w:left="317" w:hanging="317"/>
      </w:pPr>
      <w:r>
        <w:t>2. Run the focused regression corpus and the end-to-end golden investigation.</w:t>
      </w:r>
    </w:p>
    <w:p>
      <w:pPr>
        <w:ind w:left="317" w:hanging="317"/>
      </w:pPr>
      <w:r>
        <w:t>3. Verify snapshot, query and context hashes appear in exports.</w:t>
      </w:r>
    </w:p>
    <w:p>
      <w:pPr>
        <w:ind w:left="317" w:hanging="317"/>
      </w:pPr>
      <w:r>
        <w:t>4. Test cancellation, timeout, duplicate request and worker-restart behavior.</w:t>
      </w:r>
    </w:p>
    <w:p>
      <w:pPr>
        <w:ind w:left="317" w:hanging="317"/>
      </w:pPr>
      <w:r>
        <w:t>5. Check that unsupported, undefined and partial results remain explicit everywhere.</w:t>
      </w:r>
    </w:p>
    <w:p>
      <w:pPr>
        <w:ind w:left="317" w:hanging="317"/>
      </w:pPr>
      <w:r>
        <w:t>6. Inspect the six screens using the smallest supported layout and keyboard navigation.</w:t>
      </w:r>
    </w:p>
    <w:p>
      <w:pPr>
        <w:ind w:left="317" w:hanging="317"/>
      </w:pPr>
      <w:r>
        <w:t>7. Publish the data dictionary, support matrix, benchmark method and known limits.</w:t>
      </w:r>
    </w:p>
    <w:p>
      <w:pPr>
        <w:ind w:left="317" w:hanging="317"/>
      </w:pPr>
      <w:r>
        <w:t>8. Record the demo using synthetic data and state which integrations are actually implemented.</w:t>
      </w:r>
    </w:p>
    <w:p>
      <w:pPr>
        <w:pStyle w:val="Heading2"/>
      </w:pPr>
      <w:r>
        <w:t>Budget assumptions</w:t>
      </w:r>
    </w:p>
    <w:p>
      <w:r>
        <w:t>The local deterministic MVP requires no paid LLM API or managed warehouse. It uses the developer's machine, local storage and an open-source software stack; existing internet, hardware and electricity costs still apply. Check the current license of each dependency before distributing the project.</w:t>
      </w:r>
    </w:p>
    <w:p>
      <w:r>
        <w:t>Hosted cost depends on active runner minutes, stored snapshot bytes, database service choice, backups and outbound downloads. Model it from measured workload instead of choosing an arbitrary monthly price. If an AI matcher is later added, estimate cost from imported metadata count and model token usage, with a hard spending limit and caching.</w:t>
      </w:r>
    </w:p>
    <w:p>
      <w:pPr>
        <w:pStyle w:val="Heading1"/>
      </w:pPr>
      <w:r>
        <w:t>10 Decisions risks and coding handoff</w:t>
      </w:r>
    </w:p>
    <w:p>
      <w:pPr>
        <w:pStyle w:val="Heading2"/>
      </w:pPr>
      <w:r>
        <w:t>Architecture decision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592"/>
        <w:gridCol w:w="2160"/>
        <w:gridCol w:w="3168"/>
      </w:tblGrid>
      <w:tr>
        <w:trPr>
          <w:cantSplit/>
          <w:tblHeader/>
        </w:trPr>
        <w:tc>
          <w:tcPr>
            <w:tcW w:type="dxa" w:w="2304"/>
            <w:vAlign w:val="center"/>
            <w:tcMar>
              <w:top w:w="90" w:type="dxa"/>
              <w:bottom w:w="90" w:type="dxa"/>
              <w:left w:w="90" w:type="dxa"/>
              <w:right w:w="90" w:type="dxa"/>
            </w:tcMar>
            <w:shd w:fill="DBE5ED"/>
          </w:tcPr>
          <w:p>
            <w:pPr>
              <w:spacing w:after="0" w:line="257" w:lineRule="auto"/>
            </w:pPr>
            <w:r>
              <w:rPr>
                <w:b/>
                <w:color w:val="000000"/>
                <w:sz w:val="18"/>
              </w:rPr>
              <w:t>ID</w:t>
            </w:r>
          </w:p>
        </w:tc>
        <w:tc>
          <w:tcPr>
            <w:tcW w:type="dxa" w:w="2592"/>
            <w:vAlign w:val="center"/>
            <w:tcMar>
              <w:top w:w="90" w:type="dxa"/>
              <w:bottom w:w="90" w:type="dxa"/>
              <w:left w:w="90" w:type="dxa"/>
              <w:right w:w="90" w:type="dxa"/>
            </w:tcMar>
            <w:shd w:fill="DBE5ED"/>
          </w:tcPr>
          <w:p>
            <w:pPr>
              <w:spacing w:after="0" w:line="257" w:lineRule="auto"/>
            </w:pPr>
            <w:r>
              <w:rPr>
                <w:b/>
                <w:color w:val="000000"/>
                <w:sz w:val="18"/>
              </w:rPr>
              <w:t>Decision</w:t>
            </w:r>
          </w:p>
        </w:tc>
        <w:tc>
          <w:tcPr>
            <w:tcW w:type="dxa" w:w="2160"/>
            <w:vAlign w:val="center"/>
            <w:tcMar>
              <w:top w:w="90" w:type="dxa"/>
              <w:bottom w:w="90" w:type="dxa"/>
              <w:left w:w="90" w:type="dxa"/>
              <w:right w:w="90" w:type="dxa"/>
            </w:tcMar>
            <w:shd w:fill="DBE5ED"/>
          </w:tcPr>
          <w:p>
            <w:pPr>
              <w:spacing w:after="0" w:line="257" w:lineRule="auto"/>
            </w:pPr>
            <w:r>
              <w:rPr>
                <w:b/>
                <w:color w:val="000000"/>
                <w:sz w:val="18"/>
              </w:rPr>
              <w:t>Reason</w:t>
            </w:r>
          </w:p>
        </w:tc>
        <w:tc>
          <w:tcPr>
            <w:tcW w:type="dxa" w:w="3168"/>
            <w:vAlign w:val="center"/>
            <w:tcMar>
              <w:top w:w="90" w:type="dxa"/>
              <w:bottom w:w="90" w:type="dxa"/>
              <w:left w:w="90" w:type="dxa"/>
              <w:right w:w="90" w:type="dxa"/>
            </w:tcMar>
            <w:shd w:fill="DBE5ED"/>
          </w:tcPr>
          <w:p>
            <w:pPr>
              <w:spacing w:after="0" w:line="257" w:lineRule="auto"/>
            </w:pPr>
            <w:r>
              <w:rPr>
                <w:b/>
                <w:color w:val="000000"/>
                <w:sz w:val="18"/>
              </w:rPr>
              <w:t>Revisit when</w:t>
            </w:r>
          </w:p>
        </w:tc>
      </w:tr>
      <w:tr>
        <w:trPr>
          <w:cantSplit/>
        </w:trPr>
        <w:tc>
          <w:tcPr>
            <w:tcW w:type="dxa" w:w="2304"/>
            <w:vAlign w:val="center"/>
            <w:tcMar>
              <w:top w:w="90" w:type="dxa"/>
              <w:bottom w:w="90" w:type="dxa"/>
              <w:left w:w="90" w:type="dxa"/>
              <w:right w:w="90" w:type="dxa"/>
            </w:tcMar>
            <w:shd w:fill="FFFFFF"/>
          </w:tcPr>
          <w:p>
            <w:pPr>
              <w:spacing w:after="0" w:line="257" w:lineRule="auto"/>
            </w:pPr>
            <w:r>
              <w:rPr>
                <w:sz w:val="18"/>
              </w:rPr>
              <w:t>ADR01</w:t>
            </w:r>
          </w:p>
        </w:tc>
        <w:tc>
          <w:tcPr>
            <w:tcW w:type="dxa" w:w="2592"/>
            <w:vAlign w:val="center"/>
            <w:tcMar>
              <w:top w:w="90" w:type="dxa"/>
              <w:bottom w:w="90" w:type="dxa"/>
              <w:left w:w="90" w:type="dxa"/>
              <w:right w:w="90" w:type="dxa"/>
            </w:tcMar>
            <w:shd w:fill="FFFFFF"/>
          </w:tcPr>
          <w:p>
            <w:pPr>
              <w:spacing w:after="0" w:line="257" w:lineRule="auto"/>
            </w:pPr>
            <w:r>
              <w:rPr>
                <w:sz w:val="18"/>
              </w:rPr>
              <w:t>SQL first with a declared grammar</w:t>
            </w:r>
          </w:p>
        </w:tc>
        <w:tc>
          <w:tcPr>
            <w:tcW w:type="dxa" w:w="2160"/>
            <w:vAlign w:val="center"/>
            <w:tcMar>
              <w:top w:w="90" w:type="dxa"/>
              <w:bottom w:w="90" w:type="dxa"/>
              <w:left w:w="90" w:type="dxa"/>
              <w:right w:w="90" w:type="dxa"/>
            </w:tcMar>
            <w:shd w:fill="FFFFFF"/>
          </w:tcPr>
          <w:p>
            <w:pPr>
              <w:spacing w:after="0" w:line="257" w:lineRule="auto"/>
            </w:pPr>
            <w:r>
              <w:rPr>
                <w:sz w:val="18"/>
              </w:rPr>
              <w:t>Makes evidence and limits testable</w:t>
            </w:r>
          </w:p>
        </w:tc>
        <w:tc>
          <w:tcPr>
            <w:tcW w:type="dxa" w:w="3168"/>
            <w:vAlign w:val="center"/>
            <w:tcMar>
              <w:top w:w="90" w:type="dxa"/>
              <w:bottom w:w="90" w:type="dxa"/>
              <w:left w:w="90" w:type="dxa"/>
              <w:right w:w="90" w:type="dxa"/>
            </w:tcMar>
            <w:shd w:fill="FFFFFF"/>
          </w:tcPr>
          <w:p>
            <w:pPr>
              <w:spacing w:after="0" w:line="257" w:lineRule="auto"/>
            </w:pPr>
            <w:r>
              <w:rPr>
                <w:sz w:val="18"/>
              </w:rPr>
              <w:t>Core reconciliation passes its evaluation</w:t>
            </w:r>
          </w:p>
        </w:tc>
      </w:tr>
      <w:tr>
        <w:trPr>
          <w:cantSplit/>
        </w:trPr>
        <w:tc>
          <w:tcPr>
            <w:tcW w:type="dxa" w:w="2304"/>
            <w:vAlign w:val="center"/>
            <w:tcMar>
              <w:top w:w="90" w:type="dxa"/>
              <w:bottom w:w="90" w:type="dxa"/>
              <w:left w:w="90" w:type="dxa"/>
              <w:right w:w="90" w:type="dxa"/>
            </w:tcMar>
            <w:shd w:fill="F6F8FA"/>
          </w:tcPr>
          <w:p>
            <w:pPr>
              <w:spacing w:after="0" w:line="257" w:lineRule="auto"/>
            </w:pPr>
            <w:r>
              <w:rPr>
                <w:sz w:val="18"/>
              </w:rPr>
              <w:t>ADR02</w:t>
            </w:r>
          </w:p>
        </w:tc>
        <w:tc>
          <w:tcPr>
            <w:tcW w:type="dxa" w:w="2592"/>
            <w:vAlign w:val="center"/>
            <w:tcMar>
              <w:top w:w="90" w:type="dxa"/>
              <w:bottom w:w="90" w:type="dxa"/>
              <w:left w:w="90" w:type="dxa"/>
              <w:right w:w="90" w:type="dxa"/>
            </w:tcMar>
            <w:shd w:fill="F6F8FA"/>
          </w:tcPr>
          <w:p>
            <w:pPr>
              <w:spacing w:after="0" w:line="257" w:lineRule="auto"/>
            </w:pPr>
            <w:r>
              <w:rPr>
                <w:sz w:val="18"/>
              </w:rPr>
              <w:t>One common immutable snapshot</w:t>
            </w:r>
          </w:p>
        </w:tc>
        <w:tc>
          <w:tcPr>
            <w:tcW w:type="dxa" w:w="2160"/>
            <w:vAlign w:val="center"/>
            <w:tcMar>
              <w:top w:w="90" w:type="dxa"/>
              <w:bottom w:w="90" w:type="dxa"/>
              <w:left w:w="90" w:type="dxa"/>
              <w:right w:w="90" w:type="dxa"/>
            </w:tcMar>
            <w:shd w:fill="F6F8FA"/>
          </w:tcPr>
          <w:p>
            <w:pPr>
              <w:spacing w:after="0" w:line="257" w:lineRule="auto"/>
            </w:pPr>
            <w:r>
              <w:rPr>
                <w:sz w:val="18"/>
              </w:rPr>
              <w:t>Separates logic impact from data changes</w:t>
            </w:r>
          </w:p>
        </w:tc>
        <w:tc>
          <w:tcPr>
            <w:tcW w:type="dxa" w:w="3168"/>
            <w:vAlign w:val="center"/>
            <w:tcMar>
              <w:top w:w="90" w:type="dxa"/>
              <w:bottom w:w="90" w:type="dxa"/>
              <w:left w:w="90" w:type="dxa"/>
              <w:right w:w="90" w:type="dxa"/>
            </w:tcMar>
            <w:shd w:fill="F6F8FA"/>
          </w:tcPr>
          <w:p>
            <w:pPr>
              <w:spacing w:after="0" w:line="257" w:lineRule="auto"/>
            </w:pPr>
            <w:r>
              <w:rPr>
                <w:sz w:val="18"/>
              </w:rPr>
              <w:t>A validated cross-source mapping case is available</w:t>
            </w:r>
          </w:p>
        </w:tc>
      </w:tr>
      <w:tr>
        <w:trPr>
          <w:cantSplit/>
        </w:trPr>
        <w:tc>
          <w:tcPr>
            <w:tcW w:type="dxa" w:w="2304"/>
            <w:vAlign w:val="center"/>
            <w:tcMar>
              <w:top w:w="90" w:type="dxa"/>
              <w:bottom w:w="90" w:type="dxa"/>
              <w:left w:w="90" w:type="dxa"/>
              <w:right w:w="90" w:type="dxa"/>
            </w:tcMar>
            <w:shd w:fill="FFFFFF"/>
          </w:tcPr>
          <w:p>
            <w:pPr>
              <w:spacing w:after="0" w:line="257" w:lineRule="auto"/>
            </w:pPr>
            <w:r>
              <w:rPr>
                <w:sz w:val="18"/>
              </w:rPr>
              <w:t>ADR03</w:t>
            </w:r>
          </w:p>
        </w:tc>
        <w:tc>
          <w:tcPr>
            <w:tcW w:type="dxa" w:w="2592"/>
            <w:vAlign w:val="center"/>
            <w:tcMar>
              <w:top w:w="90" w:type="dxa"/>
              <w:bottom w:w="90" w:type="dxa"/>
              <w:left w:w="90" w:type="dxa"/>
              <w:right w:w="90" w:type="dxa"/>
            </w:tcMar>
            <w:shd w:fill="FFFFFF"/>
          </w:tcPr>
          <w:p>
            <w:pPr>
              <w:spacing w:after="0" w:line="257" w:lineRule="auto"/>
            </w:pPr>
            <w:r>
              <w:rPr>
                <w:sz w:val="18"/>
              </w:rPr>
              <w:t>DuckDB for analytics and PostgreSQL for records</w:t>
            </w:r>
          </w:p>
        </w:tc>
        <w:tc>
          <w:tcPr>
            <w:tcW w:type="dxa" w:w="2160"/>
            <w:vAlign w:val="center"/>
            <w:tcMar>
              <w:top w:w="90" w:type="dxa"/>
              <w:bottom w:w="90" w:type="dxa"/>
              <w:left w:w="90" w:type="dxa"/>
              <w:right w:w="90" w:type="dxa"/>
            </w:tcMar>
            <w:shd w:fill="FFFFFF"/>
          </w:tcPr>
          <w:p>
            <w:pPr>
              <w:spacing w:after="0" w:line="257" w:lineRule="auto"/>
            </w:pPr>
            <w:r>
              <w:rPr>
                <w:sz w:val="18"/>
              </w:rPr>
              <w:t>Separates calculation from application transactions</w:t>
            </w:r>
          </w:p>
        </w:tc>
        <w:tc>
          <w:tcPr>
            <w:tcW w:type="dxa" w:w="3168"/>
            <w:vAlign w:val="center"/>
            <w:tcMar>
              <w:top w:w="90" w:type="dxa"/>
              <w:bottom w:w="90" w:type="dxa"/>
              <w:left w:w="90" w:type="dxa"/>
              <w:right w:w="90" w:type="dxa"/>
            </w:tcMar>
            <w:shd w:fill="FFFFFF"/>
          </w:tcPr>
          <w:p>
            <w:pPr>
              <w:spacing w:after="0" w:line="257" w:lineRule="auto"/>
            </w:pPr>
            <w:r>
              <w:rPr>
                <w:sz w:val="18"/>
              </w:rPr>
              <w:t>Measured operational overhead outweighs the benefit</w:t>
            </w:r>
          </w:p>
        </w:tc>
      </w:tr>
      <w:tr>
        <w:trPr>
          <w:cantSplit/>
        </w:trPr>
        <w:tc>
          <w:tcPr>
            <w:tcW w:type="dxa" w:w="2304"/>
            <w:vAlign w:val="center"/>
            <w:tcMar>
              <w:top w:w="90" w:type="dxa"/>
              <w:bottom w:w="90" w:type="dxa"/>
              <w:left w:w="90" w:type="dxa"/>
              <w:right w:w="90" w:type="dxa"/>
            </w:tcMar>
            <w:shd w:fill="F6F8FA"/>
          </w:tcPr>
          <w:p>
            <w:pPr>
              <w:spacing w:after="0" w:line="257" w:lineRule="auto"/>
            </w:pPr>
            <w:r>
              <w:rPr>
                <w:sz w:val="18"/>
              </w:rPr>
              <w:t>ADR04</w:t>
            </w:r>
          </w:p>
        </w:tc>
        <w:tc>
          <w:tcPr>
            <w:tcW w:type="dxa" w:w="2592"/>
            <w:vAlign w:val="center"/>
            <w:tcMar>
              <w:top w:w="90" w:type="dxa"/>
              <w:bottom w:w="90" w:type="dxa"/>
              <w:left w:w="90" w:type="dxa"/>
              <w:right w:w="90" w:type="dxa"/>
            </w:tcMar>
            <w:shd w:fill="F6F8FA"/>
          </w:tcPr>
          <w:p>
            <w:pPr>
              <w:spacing w:after="0" w:line="257" w:lineRule="auto"/>
            </w:pPr>
            <w:r>
              <w:rPr>
                <w:sz w:val="18"/>
              </w:rPr>
              <w:t>Typed IR regenerated into SQL</w:t>
            </w:r>
          </w:p>
        </w:tc>
        <w:tc>
          <w:tcPr>
            <w:tcW w:type="dxa" w:w="2160"/>
            <w:vAlign w:val="center"/>
            <w:tcMar>
              <w:top w:w="90" w:type="dxa"/>
              <w:bottom w:w="90" w:type="dxa"/>
              <w:left w:w="90" w:type="dxa"/>
              <w:right w:w="90" w:type="dxa"/>
            </w:tcMar>
            <w:shd w:fill="F6F8FA"/>
          </w:tcPr>
          <w:p>
            <w:pPr>
              <w:spacing w:after="0" w:line="257" w:lineRule="auto"/>
            </w:pPr>
            <w:r>
              <w:rPr>
                <w:sz w:val="18"/>
              </w:rPr>
              <w:t>Bounded execution and structured differences</w:t>
            </w:r>
          </w:p>
        </w:tc>
        <w:tc>
          <w:tcPr>
            <w:tcW w:type="dxa" w:w="3168"/>
            <w:vAlign w:val="center"/>
            <w:tcMar>
              <w:top w:w="90" w:type="dxa"/>
              <w:bottom w:w="90" w:type="dxa"/>
              <w:left w:w="90" w:type="dxa"/>
              <w:right w:w="90" w:type="dxa"/>
            </w:tcMar>
            <w:shd w:fill="F6F8FA"/>
          </w:tcPr>
          <w:p>
            <w:pPr>
              <w:spacing w:after="0" w:line="257" w:lineRule="auto"/>
            </w:pPr>
            <w:r>
              <w:rPr>
                <w:sz w:val="18"/>
              </w:rPr>
              <w:t>A supported construct cannot be expressed faithfully</w:t>
            </w:r>
          </w:p>
        </w:tc>
      </w:tr>
      <w:tr>
        <w:trPr>
          <w:cantSplit/>
        </w:trPr>
        <w:tc>
          <w:tcPr>
            <w:tcW w:type="dxa" w:w="2304"/>
            <w:vAlign w:val="center"/>
            <w:tcMar>
              <w:top w:w="90" w:type="dxa"/>
              <w:bottom w:w="90" w:type="dxa"/>
              <w:left w:w="90" w:type="dxa"/>
              <w:right w:w="90" w:type="dxa"/>
            </w:tcMar>
            <w:shd w:fill="FFFFFF"/>
          </w:tcPr>
          <w:p>
            <w:pPr>
              <w:spacing w:after="0" w:line="257" w:lineRule="auto"/>
            </w:pPr>
            <w:r>
              <w:rPr>
                <w:sz w:val="18"/>
              </w:rPr>
              <w:t>ADR05</w:t>
            </w:r>
          </w:p>
        </w:tc>
        <w:tc>
          <w:tcPr>
            <w:tcW w:type="dxa" w:w="2592"/>
            <w:vAlign w:val="center"/>
            <w:tcMar>
              <w:top w:w="90" w:type="dxa"/>
              <w:bottom w:w="90" w:type="dxa"/>
              <w:left w:w="90" w:type="dxa"/>
              <w:right w:w="90" w:type="dxa"/>
            </w:tcMar>
            <w:shd w:fill="FFFFFF"/>
          </w:tcPr>
          <w:p>
            <w:pPr>
              <w:spacing w:after="0" w:line="257" w:lineRule="auto"/>
            </w:pPr>
            <w:r>
              <w:rPr>
                <w:sz w:val="18"/>
              </w:rPr>
              <w:t>Ordered bridge before Shapley</w:t>
            </w:r>
          </w:p>
        </w:tc>
        <w:tc>
          <w:tcPr>
            <w:tcW w:type="dxa" w:w="2160"/>
            <w:vAlign w:val="center"/>
            <w:tcMar>
              <w:top w:w="90" w:type="dxa"/>
              <w:bottom w:w="90" w:type="dxa"/>
              <w:left w:w="90" w:type="dxa"/>
              <w:right w:w="90" w:type="dxa"/>
            </w:tcMar>
            <w:shd w:fill="FFFFFF"/>
          </w:tcPr>
          <w:p>
            <w:pPr>
              <w:spacing w:after="0" w:line="257" w:lineRule="auto"/>
            </w:pPr>
            <w:r>
              <w:rPr>
                <w:sz w:val="18"/>
              </w:rPr>
              <w:t>Small, inspectable and reproducible</w:t>
            </w:r>
          </w:p>
        </w:tc>
        <w:tc>
          <w:tcPr>
            <w:tcW w:type="dxa" w:w="3168"/>
            <w:vAlign w:val="center"/>
            <w:tcMar>
              <w:top w:w="90" w:type="dxa"/>
              <w:bottom w:w="90" w:type="dxa"/>
              <w:left w:w="90" w:type="dxa"/>
              <w:right w:w="90" w:type="dxa"/>
            </w:tcMar>
            <w:shd w:fill="FFFFFF"/>
          </w:tcPr>
          <w:p>
            <w:pPr>
              <w:spacing w:after="0" w:line="257" w:lineRule="auto"/>
            </w:pPr>
            <w:r>
              <w:rPr>
                <w:sz w:val="18"/>
              </w:rPr>
              <w:t>Interactions make order sensitivity a practical user problem</w:t>
            </w:r>
          </w:p>
        </w:tc>
      </w:tr>
      <w:tr>
        <w:trPr>
          <w:cantSplit/>
        </w:trPr>
        <w:tc>
          <w:tcPr>
            <w:tcW w:type="dxa" w:w="2304"/>
            <w:vAlign w:val="center"/>
            <w:tcMar>
              <w:top w:w="90" w:type="dxa"/>
              <w:bottom w:w="90" w:type="dxa"/>
              <w:left w:w="90" w:type="dxa"/>
              <w:right w:w="90" w:type="dxa"/>
            </w:tcMar>
            <w:shd w:fill="F6F8FA"/>
          </w:tcPr>
          <w:p>
            <w:pPr>
              <w:spacing w:after="0" w:line="257" w:lineRule="auto"/>
            </w:pPr>
            <w:r>
              <w:rPr>
                <w:sz w:val="18"/>
              </w:rPr>
              <w:t>ADR06</w:t>
            </w:r>
          </w:p>
        </w:tc>
        <w:tc>
          <w:tcPr>
            <w:tcW w:type="dxa" w:w="2592"/>
            <w:vAlign w:val="center"/>
            <w:tcMar>
              <w:top w:w="90" w:type="dxa"/>
              <w:bottom w:w="90" w:type="dxa"/>
              <w:left w:w="90" w:type="dxa"/>
              <w:right w:w="90" w:type="dxa"/>
            </w:tcMar>
            <w:shd w:fill="F6F8FA"/>
          </w:tcPr>
          <w:p>
            <w:pPr>
              <w:spacing w:after="0" w:line="257" w:lineRule="auto"/>
            </w:pPr>
            <w:r>
              <w:rPr>
                <w:sz w:val="18"/>
              </w:rPr>
              <w:t>Human review of metric relationships</w:t>
            </w:r>
          </w:p>
        </w:tc>
        <w:tc>
          <w:tcPr>
            <w:tcW w:type="dxa" w:w="2160"/>
            <w:vAlign w:val="center"/>
            <w:tcMar>
              <w:top w:w="90" w:type="dxa"/>
              <w:bottom w:w="90" w:type="dxa"/>
              <w:left w:w="90" w:type="dxa"/>
              <w:right w:w="90" w:type="dxa"/>
            </w:tcMar>
            <w:shd w:fill="F6F8FA"/>
          </w:tcPr>
          <w:p>
            <w:pPr>
              <w:spacing w:after="0" w:line="257" w:lineRule="auto"/>
            </w:pPr>
            <w:r>
              <w:rPr>
                <w:sz w:val="18"/>
              </w:rPr>
              <w:t>Similar names can describe different valid concepts</w:t>
            </w:r>
          </w:p>
        </w:tc>
        <w:tc>
          <w:tcPr>
            <w:tcW w:type="dxa" w:w="3168"/>
            <w:vAlign w:val="center"/>
            <w:tcMar>
              <w:top w:w="90" w:type="dxa"/>
              <w:bottom w:w="90" w:type="dxa"/>
              <w:left w:w="90" w:type="dxa"/>
              <w:right w:w="90" w:type="dxa"/>
            </w:tcMar>
            <w:shd w:fill="F6F8FA"/>
          </w:tcPr>
          <w:p>
            <w:pPr>
              <w:spacing w:after="0" w:line="257" w:lineRule="auto"/>
            </w:pPr>
            <w:r>
              <w:rPr>
                <w:sz w:val="18"/>
              </w:rPr>
              <w:t>Strong evidence supports a narrowly bounded automation</w:t>
            </w:r>
          </w:p>
        </w:tc>
      </w:tr>
      <w:tr>
        <w:trPr>
          <w:cantSplit/>
        </w:trPr>
        <w:tc>
          <w:tcPr>
            <w:tcW w:type="dxa" w:w="2304"/>
            <w:vAlign w:val="center"/>
            <w:tcMar>
              <w:top w:w="90" w:type="dxa"/>
              <w:bottom w:w="90" w:type="dxa"/>
              <w:left w:w="90" w:type="dxa"/>
              <w:right w:w="90" w:type="dxa"/>
            </w:tcMar>
            <w:shd w:fill="FFFFFF"/>
          </w:tcPr>
          <w:p>
            <w:pPr>
              <w:spacing w:after="0" w:line="257" w:lineRule="auto"/>
            </w:pPr>
            <w:r>
              <w:rPr>
                <w:sz w:val="18"/>
              </w:rPr>
              <w:t>ADR07</w:t>
            </w:r>
          </w:p>
        </w:tc>
        <w:tc>
          <w:tcPr>
            <w:tcW w:type="dxa" w:w="2592"/>
            <w:vAlign w:val="center"/>
            <w:tcMar>
              <w:top w:w="90" w:type="dxa"/>
              <w:bottom w:w="90" w:type="dxa"/>
              <w:left w:w="90" w:type="dxa"/>
              <w:right w:w="90" w:type="dxa"/>
            </w:tcMar>
            <w:shd w:fill="FFFFFF"/>
          </w:tcPr>
          <w:p>
            <w:pPr>
              <w:spacing w:after="0" w:line="257" w:lineRule="auto"/>
            </w:pPr>
            <w:r>
              <w:rPr>
                <w:sz w:val="18"/>
              </w:rPr>
              <w:t>Deterministic explanation templates</w:t>
            </w:r>
          </w:p>
        </w:tc>
        <w:tc>
          <w:tcPr>
            <w:tcW w:type="dxa" w:w="2160"/>
            <w:vAlign w:val="center"/>
            <w:tcMar>
              <w:top w:w="90" w:type="dxa"/>
              <w:bottom w:w="90" w:type="dxa"/>
              <w:left w:w="90" w:type="dxa"/>
              <w:right w:w="90" w:type="dxa"/>
            </w:tcMar>
            <w:shd w:fill="FFFFFF"/>
          </w:tcPr>
          <w:p>
            <w:pPr>
              <w:spacing w:after="0" w:line="257" w:lineRule="auto"/>
            </w:pPr>
            <w:r>
              <w:rPr>
                <w:sz w:val="18"/>
              </w:rPr>
              <w:t>Prevents fabricated causal and numeric statements</w:t>
            </w:r>
          </w:p>
        </w:tc>
        <w:tc>
          <w:tcPr>
            <w:tcW w:type="dxa" w:w="3168"/>
            <w:vAlign w:val="center"/>
            <w:tcMar>
              <w:top w:w="90" w:type="dxa"/>
              <w:bottom w:w="90" w:type="dxa"/>
              <w:left w:w="90" w:type="dxa"/>
              <w:right w:w="90" w:type="dxa"/>
            </w:tcMar>
            <w:shd w:fill="FFFFFF"/>
          </w:tcPr>
          <w:p>
            <w:pPr>
              <w:spacing w:after="0" w:line="257" w:lineRule="auto"/>
            </w:pPr>
            <w:r>
              <w:rPr>
                <w:sz w:val="18"/>
              </w:rPr>
              <w:t>A constrained summarizer adds measured usefulness</w:t>
            </w:r>
          </w:p>
        </w:tc>
      </w:tr>
      <w:tr>
        <w:trPr>
          <w:cantSplit/>
        </w:trPr>
        <w:tc>
          <w:tcPr>
            <w:tcW w:type="dxa" w:w="2304"/>
            <w:vAlign w:val="center"/>
            <w:tcMar>
              <w:top w:w="90" w:type="dxa"/>
              <w:bottom w:w="90" w:type="dxa"/>
              <w:left w:w="90" w:type="dxa"/>
              <w:right w:w="90" w:type="dxa"/>
            </w:tcMar>
            <w:shd w:fill="F6F8FA"/>
          </w:tcPr>
          <w:p>
            <w:pPr>
              <w:spacing w:after="0" w:line="257" w:lineRule="auto"/>
            </w:pPr>
            <w:r>
              <w:rPr>
                <w:sz w:val="18"/>
              </w:rPr>
              <w:t>ADR08</w:t>
            </w:r>
          </w:p>
        </w:tc>
        <w:tc>
          <w:tcPr>
            <w:tcW w:type="dxa" w:w="2592"/>
            <w:vAlign w:val="center"/>
            <w:tcMar>
              <w:top w:w="90" w:type="dxa"/>
              <w:bottom w:w="90" w:type="dxa"/>
              <w:left w:w="90" w:type="dxa"/>
              <w:right w:w="90" w:type="dxa"/>
            </w:tcMar>
            <w:shd w:fill="F6F8FA"/>
          </w:tcPr>
          <w:p>
            <w:pPr>
              <w:spacing w:after="0" w:line="257" w:lineRule="auto"/>
            </w:pPr>
            <w:r>
              <w:rPr>
                <w:sz w:val="18"/>
              </w:rPr>
              <w:t>One worker and PostgreSQL job records</w:t>
            </w:r>
          </w:p>
        </w:tc>
        <w:tc>
          <w:tcPr>
            <w:tcW w:type="dxa" w:w="2160"/>
            <w:vAlign w:val="center"/>
            <w:tcMar>
              <w:top w:w="90" w:type="dxa"/>
              <w:bottom w:w="90" w:type="dxa"/>
              <w:left w:w="90" w:type="dxa"/>
              <w:right w:w="90" w:type="dxa"/>
            </w:tcMar>
            <w:shd w:fill="F6F8FA"/>
          </w:tcPr>
          <w:p>
            <w:pPr>
              <w:spacing w:after="0" w:line="257" w:lineRule="auto"/>
            </w:pPr>
            <w:r>
              <w:rPr>
                <w:sz w:val="18"/>
              </w:rPr>
              <w:t>Adequate for portfolio workload</w:t>
            </w:r>
          </w:p>
        </w:tc>
        <w:tc>
          <w:tcPr>
            <w:tcW w:type="dxa" w:w="3168"/>
            <w:vAlign w:val="center"/>
            <w:tcMar>
              <w:top w:w="90" w:type="dxa"/>
              <w:bottom w:w="90" w:type="dxa"/>
              <w:left w:w="90" w:type="dxa"/>
              <w:right w:w="90" w:type="dxa"/>
            </w:tcMar>
            <w:shd w:fill="F6F8FA"/>
          </w:tcPr>
          <w:p>
            <w:pPr>
              <w:spacing w:after="0" w:line="257" w:lineRule="auto"/>
            </w:pPr>
            <w:r>
              <w:rPr>
                <w:sz w:val="18"/>
              </w:rPr>
              <w:t>Queue measurements justify more concurrency</w:t>
            </w:r>
          </w:p>
        </w:tc>
      </w:tr>
      <w:tr>
        <w:trPr>
          <w:cantSplit/>
        </w:trPr>
        <w:tc>
          <w:tcPr>
            <w:tcW w:type="dxa" w:w="2304"/>
            <w:vAlign w:val="center"/>
            <w:tcMar>
              <w:top w:w="90" w:type="dxa"/>
              <w:bottom w:w="90" w:type="dxa"/>
              <w:left w:w="90" w:type="dxa"/>
              <w:right w:w="90" w:type="dxa"/>
            </w:tcMar>
            <w:shd w:fill="FFFFFF"/>
          </w:tcPr>
          <w:p>
            <w:pPr>
              <w:spacing w:after="0" w:line="257" w:lineRule="auto"/>
            </w:pPr>
            <w:r>
              <w:rPr>
                <w:sz w:val="18"/>
              </w:rPr>
              <w:t>ADR09</w:t>
            </w:r>
          </w:p>
        </w:tc>
        <w:tc>
          <w:tcPr>
            <w:tcW w:type="dxa" w:w="2592"/>
            <w:vAlign w:val="center"/>
            <w:tcMar>
              <w:top w:w="90" w:type="dxa"/>
              <w:bottom w:w="90" w:type="dxa"/>
              <w:left w:w="90" w:type="dxa"/>
              <w:right w:w="90" w:type="dxa"/>
            </w:tcMar>
            <w:shd w:fill="FFFFFF"/>
          </w:tcPr>
          <w:p>
            <w:pPr>
              <w:spacing w:after="0" w:line="257" w:lineRule="auto"/>
            </w:pPr>
            <w:r>
              <w:rPr>
                <w:sz w:val="18"/>
              </w:rPr>
              <w:t>Local deployment first</w:t>
            </w:r>
          </w:p>
        </w:tc>
        <w:tc>
          <w:tcPr>
            <w:tcW w:type="dxa" w:w="2160"/>
            <w:vAlign w:val="center"/>
            <w:tcMar>
              <w:top w:w="90" w:type="dxa"/>
              <w:bottom w:w="90" w:type="dxa"/>
              <w:left w:w="90" w:type="dxa"/>
              <w:right w:w="90" w:type="dxa"/>
            </w:tcMar>
            <w:shd w:fill="FFFFFF"/>
          </w:tcPr>
          <w:p>
            <w:pPr>
              <w:spacing w:after="0" w:line="257" w:lineRule="auto"/>
            </w:pPr>
            <w:r>
              <w:rPr>
                <w:sz w:val="18"/>
              </w:rPr>
              <w:t>Keeps data access and operational scope manageable</w:t>
            </w:r>
          </w:p>
        </w:tc>
        <w:tc>
          <w:tcPr>
            <w:tcW w:type="dxa" w:w="3168"/>
            <w:vAlign w:val="center"/>
            <w:tcMar>
              <w:top w:w="90" w:type="dxa"/>
              <w:bottom w:w="90" w:type="dxa"/>
              <w:left w:w="90" w:type="dxa"/>
              <w:right w:w="90" w:type="dxa"/>
            </w:tcMar>
            <w:shd w:fill="FFFFFF"/>
          </w:tcPr>
          <w:p>
            <w:pPr>
              <w:spacing w:after="0" w:line="257" w:lineRule="auto"/>
            </w:pPr>
            <w:r>
              <w:rPr>
                <w:sz w:val="18"/>
              </w:rPr>
              <w:t>Real pilot users require remote access</w:t>
            </w:r>
          </w:p>
        </w:tc>
      </w:tr>
      <w:tr>
        <w:trPr>
          <w:cantSplit/>
        </w:trPr>
        <w:tc>
          <w:tcPr>
            <w:tcW w:type="dxa" w:w="2304"/>
            <w:vAlign w:val="center"/>
            <w:tcMar>
              <w:top w:w="90" w:type="dxa"/>
              <w:bottom w:w="90" w:type="dxa"/>
              <w:left w:w="90" w:type="dxa"/>
              <w:right w:w="90" w:type="dxa"/>
            </w:tcMar>
            <w:shd w:fill="F6F8FA"/>
          </w:tcPr>
          <w:p>
            <w:pPr>
              <w:spacing w:after="0" w:line="257" w:lineRule="auto"/>
            </w:pPr>
            <w:r>
              <w:rPr>
                <w:sz w:val="18"/>
              </w:rPr>
              <w:t>ADR10</w:t>
            </w:r>
          </w:p>
        </w:tc>
        <w:tc>
          <w:tcPr>
            <w:tcW w:type="dxa" w:w="2592"/>
            <w:vAlign w:val="center"/>
            <w:tcMar>
              <w:top w:w="90" w:type="dxa"/>
              <w:bottom w:w="90" w:type="dxa"/>
              <w:left w:w="90" w:type="dxa"/>
              <w:right w:w="90" w:type="dxa"/>
            </w:tcMar>
            <w:shd w:fill="F6F8FA"/>
          </w:tcPr>
          <w:p>
            <w:pPr>
              <w:spacing w:after="0" w:line="257" w:lineRule="auto"/>
            </w:pPr>
            <w:r>
              <w:rPr>
                <w:sz w:val="18"/>
              </w:rPr>
              <w:t>No automatic source correction</w:t>
            </w:r>
          </w:p>
        </w:tc>
        <w:tc>
          <w:tcPr>
            <w:tcW w:type="dxa" w:w="2160"/>
            <w:vAlign w:val="center"/>
            <w:tcMar>
              <w:top w:w="90" w:type="dxa"/>
              <w:bottom w:w="90" w:type="dxa"/>
              <w:left w:w="90" w:type="dxa"/>
              <w:right w:w="90" w:type="dxa"/>
            </w:tcMar>
            <w:shd w:fill="F6F8FA"/>
          </w:tcPr>
          <w:p>
            <w:pPr>
              <w:spacing w:after="0" w:line="257" w:lineRule="auto"/>
            </w:pPr>
            <w:r>
              <w:rPr>
                <w:sz w:val="18"/>
              </w:rPr>
              <w:t>Owners must decide intended business meaning</w:t>
            </w:r>
          </w:p>
        </w:tc>
        <w:tc>
          <w:tcPr>
            <w:tcW w:type="dxa" w:w="3168"/>
            <w:vAlign w:val="center"/>
            <w:tcMar>
              <w:top w:w="90" w:type="dxa"/>
              <w:bottom w:w="90" w:type="dxa"/>
              <w:left w:w="90" w:type="dxa"/>
              <w:right w:w="90" w:type="dxa"/>
            </w:tcMar>
            <w:shd w:fill="F6F8FA"/>
          </w:tcPr>
          <w:p>
            <w:pPr>
              <w:spacing w:after="0" w:line="257" w:lineRule="auto"/>
            </w:pPr>
            <w:r>
              <w:rPr>
                <w:sz w:val="18"/>
              </w:rPr>
              <w:t>A separately approved reviewed-change workflow exists</w:t>
            </w:r>
          </w:p>
        </w:tc>
      </w:tr>
    </w:tbl>
    <w:p>
      <w:pPr>
        <w:spacing w:after="20"/>
      </w:pPr>
    </w:p>
    <w:p>
      <w:pPr>
        <w:pStyle w:val="Heading2"/>
      </w:pPr>
      <w:r>
        <w:t>Risk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384"/>
        <w:gridCol w:w="4320"/>
      </w:tblGrid>
      <w:tr>
        <w:trPr>
          <w:cantSplit/>
          <w:tblHeader/>
        </w:trPr>
        <w:tc>
          <w:tcPr>
            <w:tcW w:type="dxa" w:w="2520"/>
            <w:vAlign w:val="center"/>
            <w:tcMar>
              <w:top w:w="90" w:type="dxa"/>
              <w:bottom w:w="90" w:type="dxa"/>
              <w:left w:w="90" w:type="dxa"/>
              <w:right w:w="90" w:type="dxa"/>
            </w:tcMar>
            <w:shd w:fill="DBE5ED"/>
          </w:tcPr>
          <w:p>
            <w:pPr>
              <w:spacing w:after="0" w:line="257" w:lineRule="auto"/>
            </w:pPr>
            <w:r>
              <w:rPr>
                <w:b/>
                <w:color w:val="000000"/>
                <w:sz w:val="18"/>
              </w:rPr>
              <w:t>Risk</w:t>
            </w:r>
          </w:p>
        </w:tc>
        <w:tc>
          <w:tcPr>
            <w:tcW w:type="dxa" w:w="3384"/>
            <w:vAlign w:val="center"/>
            <w:tcMar>
              <w:top w:w="90" w:type="dxa"/>
              <w:bottom w:w="90" w:type="dxa"/>
              <w:left w:w="90" w:type="dxa"/>
              <w:right w:w="90" w:type="dxa"/>
            </w:tcMar>
            <w:shd w:fill="DBE5ED"/>
          </w:tcPr>
          <w:p>
            <w:pPr>
              <w:spacing w:after="0" w:line="257" w:lineRule="auto"/>
            </w:pPr>
            <w:r>
              <w:rPr>
                <w:b/>
                <w:color w:val="000000"/>
                <w:sz w:val="18"/>
              </w:rPr>
              <w:t>Why it matters</w:t>
            </w:r>
          </w:p>
        </w:tc>
        <w:tc>
          <w:tcPr>
            <w:tcW w:type="dxa" w:w="4320"/>
            <w:vAlign w:val="center"/>
            <w:tcMar>
              <w:top w:w="90" w:type="dxa"/>
              <w:bottom w:w="90" w:type="dxa"/>
              <w:left w:w="90" w:type="dxa"/>
              <w:right w:w="90" w:type="dxa"/>
            </w:tcMar>
            <w:shd w:fill="DBE5ED"/>
          </w:tcPr>
          <w:p>
            <w:pPr>
              <w:spacing w:after="0" w:line="257" w:lineRule="auto"/>
            </w:pPr>
            <w:r>
              <w:rPr>
                <w:b/>
                <w:color w:val="000000"/>
                <w:sz w:val="18"/>
              </w:rPr>
              <w:t>Mitigation or decision</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Scope grows to every BI language</w:t>
            </w:r>
          </w:p>
        </w:tc>
        <w:tc>
          <w:tcPr>
            <w:tcW w:type="dxa" w:w="3384"/>
            <w:vAlign w:val="center"/>
            <w:tcMar>
              <w:top w:w="90" w:type="dxa"/>
              <w:bottom w:w="90" w:type="dxa"/>
              <w:left w:w="90" w:type="dxa"/>
              <w:right w:w="90" w:type="dxa"/>
            </w:tcMar>
            <w:shd w:fill="FFFFFF"/>
          </w:tcPr>
          <w:p>
            <w:pPr>
              <w:spacing w:after="0" w:line="257" w:lineRule="auto"/>
            </w:pPr>
            <w:r>
              <w:rPr>
                <w:sz w:val="18"/>
              </w:rPr>
              <w:t>The core engine never reaches a credible result</w:t>
            </w:r>
          </w:p>
        </w:tc>
        <w:tc>
          <w:tcPr>
            <w:tcW w:type="dxa" w:w="4320"/>
            <w:vAlign w:val="center"/>
            <w:tcMar>
              <w:top w:w="90" w:type="dxa"/>
              <w:bottom w:w="90" w:type="dxa"/>
              <w:left w:w="90" w:type="dxa"/>
              <w:right w:w="90" w:type="dxa"/>
            </w:tcMar>
            <w:shd w:fill="FFFFFF"/>
          </w:tcPr>
          <w:p>
            <w:pPr>
              <w:spacing w:after="0" w:line="257" w:lineRule="auto"/>
            </w:pPr>
            <w:r>
              <w:rPr>
                <w:sz w:val="18"/>
              </w:rPr>
              <w:t>Publish support levels and phase adapter work</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Valid variants become false alerts</w:t>
            </w:r>
          </w:p>
        </w:tc>
        <w:tc>
          <w:tcPr>
            <w:tcW w:type="dxa" w:w="3384"/>
            <w:vAlign w:val="center"/>
            <w:tcMar>
              <w:top w:w="90" w:type="dxa"/>
              <w:bottom w:w="90" w:type="dxa"/>
              <w:left w:w="90" w:type="dxa"/>
              <w:right w:w="90" w:type="dxa"/>
            </w:tcMar>
            <w:shd w:fill="F6F8FA"/>
          </w:tcPr>
          <w:p>
            <w:pPr>
              <w:spacing w:after="0" w:line="257" w:lineRule="auto"/>
            </w:pPr>
            <w:r>
              <w:rPr>
                <w:sz w:val="18"/>
              </w:rPr>
              <w:t>Users lose confidence quickly</w:t>
            </w:r>
          </w:p>
        </w:tc>
        <w:tc>
          <w:tcPr>
            <w:tcW w:type="dxa" w:w="4320"/>
            <w:vAlign w:val="center"/>
            <w:tcMar>
              <w:top w:w="90" w:type="dxa"/>
              <w:bottom w:w="90" w:type="dxa"/>
              <w:left w:w="90" w:type="dxa"/>
              <w:right w:w="90" w:type="dxa"/>
            </w:tcMar>
            <w:shd w:fill="F6F8FA"/>
          </w:tcPr>
          <w:p>
            <w:pPr>
              <w:spacing w:after="0" w:line="257" w:lineRule="auto"/>
            </w:pPr>
            <w:r>
              <w:rPr>
                <w:sz w:val="18"/>
              </w:rPr>
              <w:t>Review intent before calling a definition a conflict</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Hidden report filters are unavailable</w:t>
            </w:r>
          </w:p>
        </w:tc>
        <w:tc>
          <w:tcPr>
            <w:tcW w:type="dxa" w:w="3384"/>
            <w:vAlign w:val="center"/>
            <w:tcMar>
              <w:top w:w="90" w:type="dxa"/>
              <w:bottom w:w="90" w:type="dxa"/>
              <w:left w:w="90" w:type="dxa"/>
              <w:right w:w="90" w:type="dxa"/>
            </w:tcMar>
            <w:shd w:fill="FFFFFF"/>
          </w:tcPr>
          <w:p>
            <w:pPr>
              <w:spacing w:after="0" w:line="257" w:lineRule="auto"/>
            </w:pPr>
            <w:r>
              <w:rPr>
                <w:sz w:val="18"/>
              </w:rPr>
              <w:t>Same formula can produce different visible values</w:t>
            </w:r>
          </w:p>
        </w:tc>
        <w:tc>
          <w:tcPr>
            <w:tcW w:type="dxa" w:w="4320"/>
            <w:vAlign w:val="center"/>
            <w:tcMar>
              <w:top w:w="90" w:type="dxa"/>
              <w:bottom w:w="90" w:type="dxa"/>
              <w:left w:w="90" w:type="dxa"/>
              <w:right w:w="90" w:type="dxa"/>
            </w:tcMar>
            <w:shd w:fill="FFFFFF"/>
          </w:tcPr>
          <w:p>
            <w:pPr>
              <w:spacing w:after="0" w:line="257" w:lineRule="auto"/>
            </w:pPr>
            <w:r>
              <w:rPr>
                <w:sz w:val="18"/>
              </w:rPr>
              <w:t>Mark context incomplete; require native BI context later</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Query transformation changes meaning</w:t>
            </w:r>
          </w:p>
        </w:tc>
        <w:tc>
          <w:tcPr>
            <w:tcW w:type="dxa" w:w="3384"/>
            <w:vAlign w:val="center"/>
            <w:tcMar>
              <w:top w:w="90" w:type="dxa"/>
              <w:bottom w:w="90" w:type="dxa"/>
              <w:left w:w="90" w:type="dxa"/>
              <w:right w:w="90" w:type="dxa"/>
            </w:tcMar>
            <w:shd w:fill="F6F8FA"/>
          </w:tcPr>
          <w:p>
            <w:pPr>
              <w:spacing w:after="0" w:line="257" w:lineRule="auto"/>
            </w:pPr>
            <w:r>
              <w:rPr>
                <w:sz w:val="18"/>
              </w:rPr>
              <w:t>Explanation can be numerically neat but wrong</w:t>
            </w:r>
          </w:p>
        </w:tc>
        <w:tc>
          <w:tcPr>
            <w:tcW w:type="dxa" w:w="4320"/>
            <w:vAlign w:val="center"/>
            <w:tcMar>
              <w:top w:w="90" w:type="dxa"/>
              <w:bottom w:w="90" w:type="dxa"/>
              <w:left w:w="90" w:type="dxa"/>
              <w:right w:w="90" w:type="dxa"/>
            </w:tcMar>
            <w:shd w:fill="F6F8FA"/>
          </w:tcPr>
          <w:p>
            <w:pPr>
              <w:spacing w:after="0" w:line="257" w:lineRule="auto"/>
            </w:pPr>
            <w:r>
              <w:rPr>
                <w:sz w:val="18"/>
              </w:rPr>
              <w:t>Typed subset, independent fixtures and no best-effort execution</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Interacting rules double count impact</w:t>
            </w:r>
          </w:p>
        </w:tc>
        <w:tc>
          <w:tcPr>
            <w:tcW w:type="dxa" w:w="3384"/>
            <w:vAlign w:val="center"/>
            <w:tcMar>
              <w:top w:w="90" w:type="dxa"/>
              <w:bottom w:w="90" w:type="dxa"/>
              <w:left w:w="90" w:type="dxa"/>
              <w:right w:w="90" w:type="dxa"/>
            </w:tcMar>
            <w:shd w:fill="FFFFFF"/>
          </w:tcPr>
          <w:p>
            <w:pPr>
              <w:spacing w:after="0" w:line="257" w:lineRule="auto"/>
            </w:pPr>
            <w:r>
              <w:rPr>
                <w:sz w:val="18"/>
              </w:rPr>
              <w:t>Percentages can be misleading</w:t>
            </w:r>
          </w:p>
        </w:tc>
        <w:tc>
          <w:tcPr>
            <w:tcW w:type="dxa" w:w="4320"/>
            <w:vAlign w:val="center"/>
            <w:tcMar>
              <w:top w:w="90" w:type="dxa"/>
              <w:bottom w:w="90" w:type="dxa"/>
              <w:left w:w="90" w:type="dxa"/>
              <w:right w:w="90" w:type="dxa"/>
            </w:tcMar>
            <w:shd w:fill="FFFFFF"/>
          </w:tcPr>
          <w:p>
            <w:pPr>
              <w:spacing w:after="0" w:line="257" w:lineRule="auto"/>
            </w:pPr>
            <w:r>
              <w:rPr>
                <w:sz w:val="18"/>
              </w:rPr>
              <w:t>Mutually exclusive row partitions and a named ordered bridge</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Mutable or incomplete snapshots</w:t>
            </w:r>
          </w:p>
        </w:tc>
        <w:tc>
          <w:tcPr>
            <w:tcW w:type="dxa" w:w="3384"/>
            <w:vAlign w:val="center"/>
            <w:tcMar>
              <w:top w:w="90" w:type="dxa"/>
              <w:bottom w:w="90" w:type="dxa"/>
              <w:left w:w="90" w:type="dxa"/>
              <w:right w:w="90" w:type="dxa"/>
            </w:tcMar>
            <w:shd w:fill="F6F8FA"/>
          </w:tcPr>
          <w:p>
            <w:pPr>
              <w:spacing w:after="0" w:line="257" w:lineRule="auto"/>
            </w:pPr>
            <w:r>
              <w:rPr>
                <w:sz w:val="18"/>
              </w:rPr>
              <w:t>Replays cannot isolate definition effects</w:t>
            </w:r>
          </w:p>
        </w:tc>
        <w:tc>
          <w:tcPr>
            <w:tcW w:type="dxa" w:w="4320"/>
            <w:vAlign w:val="center"/>
            <w:tcMar>
              <w:top w:w="90" w:type="dxa"/>
              <w:bottom w:w="90" w:type="dxa"/>
              <w:left w:w="90" w:type="dxa"/>
              <w:right w:w="90" w:type="dxa"/>
            </w:tcMar>
            <w:shd w:fill="F6F8FA"/>
          </w:tcPr>
          <w:p>
            <w:pPr>
              <w:spacing w:after="0" w:line="257" w:lineRule="auto"/>
            </w:pPr>
            <w:r>
              <w:rPr>
                <w:sz w:val="18"/>
              </w:rPr>
              <w:t>Freeze data, record cutoff and validate scope</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Untrusted SQL reaches the host</w:t>
            </w:r>
          </w:p>
        </w:tc>
        <w:tc>
          <w:tcPr>
            <w:tcW w:type="dxa" w:w="3384"/>
            <w:vAlign w:val="center"/>
            <w:tcMar>
              <w:top w:w="90" w:type="dxa"/>
              <w:bottom w:w="90" w:type="dxa"/>
              <w:left w:w="90" w:type="dxa"/>
              <w:right w:w="90" w:type="dxa"/>
            </w:tcMar>
            <w:shd w:fill="FFFFFF"/>
          </w:tcPr>
          <w:p>
            <w:pPr>
              <w:spacing w:after="0" w:line="257" w:lineRule="auto"/>
            </w:pPr>
            <w:r>
              <w:rPr>
                <w:sz w:val="18"/>
              </w:rPr>
              <w:t>File access or resource exhaustion</w:t>
            </w:r>
          </w:p>
        </w:tc>
        <w:tc>
          <w:tcPr>
            <w:tcW w:type="dxa" w:w="4320"/>
            <w:vAlign w:val="center"/>
            <w:tcMar>
              <w:top w:w="90" w:type="dxa"/>
              <w:bottom w:w="90" w:type="dxa"/>
              <w:left w:w="90" w:type="dxa"/>
              <w:right w:w="90" w:type="dxa"/>
            </w:tcMar>
            <w:shd w:fill="FFFFFF"/>
          </w:tcPr>
          <w:p>
            <w:pPr>
              <w:spacing w:after="0" w:line="257" w:lineRule="auto"/>
            </w:pPr>
            <w:r>
              <w:rPr>
                <w:sz w:val="18"/>
              </w:rPr>
              <w:t>Restricted IR plus isolated runner and hard limits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A polished demo hides unsupported cases</w:t>
            </w:r>
          </w:p>
        </w:tc>
        <w:tc>
          <w:tcPr>
            <w:tcW w:type="dxa" w:w="3384"/>
            <w:vAlign w:val="center"/>
            <w:tcMar>
              <w:top w:w="90" w:type="dxa"/>
              <w:bottom w:w="90" w:type="dxa"/>
              <w:left w:w="90" w:type="dxa"/>
              <w:right w:w="90" w:type="dxa"/>
            </w:tcMar>
            <w:shd w:fill="F6F8FA"/>
          </w:tcPr>
          <w:p>
            <w:pPr>
              <w:spacing w:after="0" w:line="257" w:lineRule="auto"/>
            </w:pPr>
            <w:r>
              <w:rPr>
                <w:sz w:val="18"/>
              </w:rPr>
              <w:t>Portfolio claims become hard to defend</w:t>
            </w:r>
          </w:p>
        </w:tc>
        <w:tc>
          <w:tcPr>
            <w:tcW w:type="dxa" w:w="4320"/>
            <w:vAlign w:val="center"/>
            <w:tcMar>
              <w:top w:w="90" w:type="dxa"/>
              <w:bottom w:w="90" w:type="dxa"/>
              <w:left w:w="90" w:type="dxa"/>
              <w:right w:w="90" w:type="dxa"/>
            </w:tcMar>
            <w:shd w:fill="F6F8FA"/>
          </w:tcPr>
          <w:p>
            <w:pPr>
              <w:spacing w:after="0" w:line="257" w:lineRule="auto"/>
            </w:pPr>
            <w:r>
              <w:rPr>
                <w:sz w:val="18"/>
              </w:rPr>
              <w:t>Demonstrate an unsupported and an equal-value case</w:t>
            </w:r>
          </w:p>
        </w:tc>
      </w:tr>
      <w:tr>
        <w:trPr>
          <w:cantSplit/>
        </w:trPr>
        <w:tc>
          <w:tcPr>
            <w:tcW w:type="dxa" w:w="2520"/>
            <w:vAlign w:val="center"/>
            <w:tcMar>
              <w:top w:w="90" w:type="dxa"/>
              <w:bottom w:w="90" w:type="dxa"/>
              <w:left w:w="90" w:type="dxa"/>
              <w:right w:w="90" w:type="dxa"/>
            </w:tcMar>
            <w:shd w:fill="FFFFFF"/>
          </w:tcPr>
          <w:p>
            <w:pPr>
              <w:spacing w:after="0" w:line="257" w:lineRule="auto"/>
            </w:pPr>
            <w:r>
              <w:rPr>
                <w:sz w:val="18"/>
              </w:rPr>
              <w:t>Market gap is overstated</w:t>
            </w:r>
          </w:p>
        </w:tc>
        <w:tc>
          <w:tcPr>
            <w:tcW w:type="dxa" w:w="3384"/>
            <w:vAlign w:val="center"/>
            <w:tcMar>
              <w:top w:w="90" w:type="dxa"/>
              <w:bottom w:w="90" w:type="dxa"/>
              <w:left w:w="90" w:type="dxa"/>
              <w:right w:w="90" w:type="dxa"/>
            </w:tcMar>
            <w:shd w:fill="FFFFFF"/>
          </w:tcPr>
          <w:p>
            <w:pPr>
              <w:spacing w:after="0" w:line="257" w:lineRule="auto"/>
            </w:pPr>
            <w:r>
              <w:rPr>
                <w:sz w:val="18"/>
              </w:rPr>
              <w:t>Product differentiation lacks evidence</w:t>
            </w:r>
          </w:p>
        </w:tc>
        <w:tc>
          <w:tcPr>
            <w:tcW w:type="dxa" w:w="4320"/>
            <w:vAlign w:val="center"/>
            <w:tcMar>
              <w:top w:w="90" w:type="dxa"/>
              <w:bottom w:w="90" w:type="dxa"/>
              <w:left w:w="90" w:type="dxa"/>
              <w:right w:w="90" w:type="dxa"/>
            </w:tcMar>
            <w:shd w:fill="FFFFFF"/>
          </w:tcPr>
          <w:p>
            <w:pPr>
              <w:spacing w:after="0" w:line="257" w:lineRule="auto"/>
            </w:pPr>
            <w:r>
              <w:rPr>
                <w:sz w:val="18"/>
              </w:rPr>
              <w:t>Interview users and describe tested workflow, not uniqueness</w:t>
            </w:r>
          </w:p>
        </w:tc>
      </w:tr>
      <w:tr>
        <w:trPr>
          <w:cantSplit/>
        </w:trPr>
        <w:tc>
          <w:tcPr>
            <w:tcW w:type="dxa" w:w="2520"/>
            <w:vAlign w:val="center"/>
            <w:tcMar>
              <w:top w:w="90" w:type="dxa"/>
              <w:bottom w:w="90" w:type="dxa"/>
              <w:left w:w="90" w:type="dxa"/>
              <w:right w:w="90" w:type="dxa"/>
            </w:tcMar>
            <w:shd w:fill="F6F8FA"/>
          </w:tcPr>
          <w:p>
            <w:pPr>
              <w:spacing w:after="0" w:line="257" w:lineRule="auto"/>
            </w:pPr>
            <w:r>
              <w:rPr>
                <w:sz w:val="18"/>
              </w:rPr>
              <w:t>Schedule depends on unfamiliar React or infrastructure</w:t>
            </w:r>
          </w:p>
        </w:tc>
        <w:tc>
          <w:tcPr>
            <w:tcW w:type="dxa" w:w="3384"/>
            <w:vAlign w:val="center"/>
            <w:tcMar>
              <w:top w:w="90" w:type="dxa"/>
              <w:bottom w:w="90" w:type="dxa"/>
              <w:left w:w="90" w:type="dxa"/>
              <w:right w:w="90" w:type="dxa"/>
            </w:tcMar>
            <w:shd w:fill="F6F8FA"/>
          </w:tcPr>
          <w:p>
            <w:pPr>
              <w:spacing w:after="0" w:line="257" w:lineRule="auto"/>
            </w:pPr>
            <w:r>
              <w:rPr>
                <w:sz w:val="18"/>
              </w:rPr>
              <w:t>A solo build can expand substantially</w:t>
            </w:r>
          </w:p>
        </w:tc>
        <w:tc>
          <w:tcPr>
            <w:tcW w:type="dxa" w:w="4320"/>
            <w:vAlign w:val="center"/>
            <w:tcMar>
              <w:top w:w="90" w:type="dxa"/>
              <w:bottom w:w="90" w:type="dxa"/>
              <w:left w:w="90" w:type="dxa"/>
              <w:right w:w="90" w:type="dxa"/>
            </w:tcMar>
            <w:shd w:fill="F6F8FA"/>
          </w:tcPr>
          <w:p>
            <w:pPr>
              <w:spacing w:after="0" w:line="257" w:lineRule="auto"/>
            </w:pPr>
            <w:r>
              <w:rPr>
                <w:sz w:val="18"/>
              </w:rPr>
              <w:t>Budget learning contingency and prioritize the numeric core</w:t>
            </w:r>
          </w:p>
        </w:tc>
      </w:tr>
    </w:tbl>
    <w:p>
      <w:pPr>
        <w:spacing w:after="20"/>
      </w:pPr>
    </w:p>
    <w:p>
      <w:pPr>
        <w:pStyle w:val="Heading2"/>
      </w:pPr>
      <w:r>
        <w:t>Defaults selected for this plan</w:t>
      </w:r>
    </w:p>
    <w:p>
      <w:r>
        <w:t>No user clarification is required to start the bounded prototype. The default domain is online retail, the first language is DuckDB SQL, the first currency is INR, the demonstration timezone is Asia/Kolkata, and the first deployment is local. The main calculation is additive sales reconciliation, followed by order and customer counts. Source data is synthetic.</w:t>
      </w:r>
    </w:p>
    <w:p>
      <w:r>
        <w:t>These are reversible product choices. Revisit them if an actual user's sanitized example demands a different domain or source. Preserve the core goal of evidence-backed reconciliation rather than adding fashionable tools to the stack.</w:t>
      </w:r>
    </w:p>
    <w:p>
      <w:pPr>
        <w:pStyle w:val="Heading2"/>
      </w:pPr>
      <w:r>
        <w:t>Questions to resolve through evidence</w:t>
      </w:r>
    </w:p>
    <w:p>
      <w:r>
        <w:t>Ask potential users whether their disputed KPI should agree across reports or serves intentionally different purposes. Determine whether they can obtain source definitions and a comparable extract, whether hidden filters are common, and whether they primarily need a one-off reconciliation or ongoing monitoring. Ask what evidence they would need before changing a metric definition.</w:t>
      </w:r>
    </w:p>
    <w:p>
      <w:r>
        <w:t>During the spike, resolve the acceptable SQL grammar, runner isolation on the target laptop, precision and empty-result handling, and the measurable latency of the standard fixture. Before a real pilot, resolve authentication, access boundaries, retention, data handling and the person responsible for approving a baseline.</w:t>
      </w:r>
    </w:p>
    <w:p>
      <w:pPr>
        <w:pStyle w:val="Heading2"/>
      </w:pPr>
      <w:r>
        <w:t>Repository plan</w:t>
      </w:r>
    </w:p>
    <w:p>
      <w:r>
        <w:t xml:space="preserve">Use a single repository containing </w:t>
      </w:r>
      <w:r>
        <w:rPr>
          <w:rFonts w:ascii="DejaVu Sans Mono" w:hAnsi="DejaVu Sans Mono"/>
          <w:sz w:val="18"/>
        </w:rPr>
        <w:t>apps/web</w:t>
      </w:r>
      <w:r>
        <w:t xml:space="preserve"> for the frontend, </w:t>
      </w:r>
      <w:r>
        <w:rPr>
          <w:rFonts w:ascii="DejaVu Sans Mono" w:hAnsi="DejaVu Sans Mono"/>
          <w:sz w:val="18"/>
        </w:rPr>
        <w:t>services/api</w:t>
      </w:r>
      <w:r>
        <w:t xml:space="preserve"> for the HTTP interface, </w:t>
      </w:r>
      <w:r>
        <w:rPr>
          <w:rFonts w:ascii="DejaVu Sans Mono" w:hAnsi="DejaVu Sans Mono"/>
          <w:sz w:val="18"/>
        </w:rPr>
        <w:t>services/supervisor</w:t>
      </w:r>
      <w:r>
        <w:t xml:space="preserve"> for trusted job orchestration, </w:t>
      </w:r>
      <w:r>
        <w:rPr>
          <w:rFonts w:ascii="DejaVu Sans Mono" w:hAnsi="DejaVu Sans Mono"/>
          <w:sz w:val="18"/>
        </w:rPr>
        <w:t>packages/metricguard_core</w:t>
      </w:r>
      <w:r>
        <w:t xml:space="preserve"> for parsing and reconciliation, </w:t>
      </w:r>
      <w:r>
        <w:rPr>
          <w:rFonts w:ascii="DejaVu Sans Mono" w:hAnsi="DejaVu Sans Mono"/>
          <w:sz w:val="18"/>
        </w:rPr>
        <w:t>schemas</w:t>
      </w:r>
      <w:r>
        <w:t xml:space="preserve"> for contracts, </w:t>
      </w:r>
      <w:r>
        <w:rPr>
          <w:rFonts w:ascii="DejaVu Sans Mono" w:hAnsi="DejaVu Sans Mono"/>
          <w:sz w:val="18"/>
        </w:rPr>
        <w:t>tests</w:t>
      </w:r>
      <w:r>
        <w:t xml:space="preserve"> for golden and negative fixtures, </w:t>
      </w:r>
      <w:r>
        <w:rPr>
          <w:rFonts w:ascii="DejaVu Sans Mono" w:hAnsi="DejaVu Sans Mono"/>
          <w:sz w:val="18"/>
        </w:rPr>
        <w:t>demo</w:t>
      </w:r>
      <w:r>
        <w:t xml:space="preserve"> for synthetic data, </w:t>
      </w:r>
      <w:r>
        <w:rPr>
          <w:rFonts w:ascii="DejaVu Sans Mono" w:hAnsi="DejaVu Sans Mono"/>
          <w:sz w:val="18"/>
        </w:rPr>
        <w:t>docs</w:t>
      </w:r>
      <w:r>
        <w:t xml:space="preserve"> for this plan, and </w:t>
      </w:r>
      <w:r>
        <w:rPr>
          <w:rFonts w:ascii="DejaVu Sans Mono" w:hAnsi="DejaVu Sans Mono"/>
          <w:sz w:val="18"/>
        </w:rPr>
        <w:t>infra</w:t>
      </w:r>
      <w:r>
        <w:t xml:space="preserve"> for local packaging.</w:t>
      </w:r>
    </w:p>
    <w:p>
      <w:r>
        <w:t>Keep the analytical core importable independently of FastAPI and React. The first tests should exercise it without a browser or application database. This is a directory plan, not a request to create the implementation during the planning stage.</w:t>
      </w:r>
    </w:p>
    <w:p>
      <w:pPr>
        <w:pStyle w:val="Heading2"/>
      </w:pPr>
      <w:r>
        <w:t>Initial coding brief</w:t>
      </w:r>
    </w:p>
    <w:p>
      <w:r>
        <w:t>When implementation begins, use the following brief as the first bounded task. The instructions describe intended future work, not actions already performed.</w:t>
      </w:r>
    </w:p>
    <w:p>
      <w:pPr>
        <w:ind w:left="288" w:right="216"/>
      </w:pPr>
      <w:r>
        <w:t>Build MetricGuard milestone M0 and the smallest part of M1 needed to validate it. Read the product scope, SQL grammar, reconciliation method and test fixture in this pack. Implement only the declared SQL subset for one frozen order dataset. Preserve original SQL, validate the full syntax tree, produce a typed IR, and calculate the three golden endpoint totals using a restricted runner. Independently verify expected values and add negative tests for unsupported syntax, NULL status, empty SUM and file access. Document the exact supported constructs and any blockers. Do not add Power BI, Excel, a warehouse connector, an LLM, automatic source edits or a full dashboard in this milestone. Finish with a reproducible golden calculation, a tested support matrix and the updated decision log.</w:t>
      </w:r>
    </w:p>
    <w:p>
      <w:r>
        <w:t>The next task should implement row evidence and the ordered bridge only after those gates pass. Then add durable records and a minimal comparison screen. This order lets the application grow around a verified result.</w:t>
      </w:r>
    </w:p>
    <w:p>
      <w:pPr>
        <w:pStyle w:val="Heading2"/>
      </w:pPr>
      <w:r>
        <w:t>Portfolio evidence and accurate claims</w:t>
      </w:r>
    </w:p>
    <w:p>
      <w:r>
        <w:t>After the implementation is complete and verified, a defensible project description could say: "Built a SQL KPI reconciliation tool that compares versioned definitions on frozen datasets, explains additive differences with row evidence, and detects changes in metric logic." Add only the integrations and measured results actually achieved.</w:t>
      </w:r>
    </w:p>
    <w:p>
      <w:r>
        <w:t>Use the synthetic demo as a reproducibility claim, not an assertion of real cost savings. Do not put customer counts, accuracy percentages, enterprise adoption or reduced investigation time on the resume until the corresponding evidence exists. Before implementation, describe MetricGuard as a proposed project.</w:t>
      </w:r>
    </w:p>
    <w:p>
      <w:r>
        <w:t>The project complements an analytical portfolio by demonstrating that you can question the meaning of a KPI, design a fair comparison, calculate its impact and communicate limitations. Its distinct value should come from that work rather than from calling every component an AI agent.</w:t>
      </w:r>
    </w:p>
    <w:p>
      <w:pPr>
        <w:pStyle w:val="Heading1"/>
      </w:pPr>
      <w:r>
        <w:t>11 Sources and glossary</w:t>
      </w:r>
    </w:p>
    <w:p>
      <w:pPr>
        <w:pStyle w:val="Heading2"/>
      </w:pPr>
      <w:r>
        <w:t>Research notes</w:t>
      </w:r>
    </w:p>
    <w:p>
      <w:r>
        <w:t>Sources below were reviewed on 22 September 2026. They establish the capabilities and limitations used in the design. They do not validate MetricGuard's commercial demand, uniqueness, accuracy, performance or delivery estimates. All product requirements and engineering defaults in this pack are proposed decisions.</w:t>
      </w:r>
    </w:p>
    <w:p>
      <w:r>
        <w:rPr>
          <w:b/>
        </w:rPr>
        <w:t>S1 dbt Semantic Layer FAQs.</w:t>
      </w:r>
      <w:r>
        <w:t xml:space="preserve"> The relevant documented behavior is centralized metric definition and querying with MetricFlow. This supports treating a semantic layer as an adjacent solution rather than claiming the metric-governance problem is untouched.</w:t>
      </w:r>
    </w:p>
    <w:p>
      <w:pPr>
        <w:spacing w:after="160"/>
      </w:pPr>
      <w:hyperlink r:id="rId12">
        <w:r>
          <w:rPr>
            <w:color w:val="244F70"/>
          </w:rPr>
          <w:t>https://docs.getdbt.com/docs/use-dbt-semantic-layer/sl-faqs</w:t>
        </w:r>
      </w:hyperlink>
    </w:p>
    <w:p>
      <w:r>
        <w:rPr>
          <w:b/>
        </w:rPr>
        <w:t>S2 Soda documentation.</w:t>
      </w:r>
      <w:r>
        <w:t xml:space="preserve"> Observability monitors data and metric behavior, while contracts capture declared expectations. These are relevant adjacent capabilities; this review does not establish the absence of a particular reconciliation feature.</w:t>
      </w:r>
    </w:p>
    <w:p>
      <w:pPr>
        <w:spacing w:after="160"/>
      </w:pPr>
      <w:hyperlink r:id="rId13">
        <w:r>
          <w:rPr>
            <w:color w:val="244F70"/>
          </w:rPr>
          <w:t>https://docs.soda.io/data-observability</w:t>
        </w:r>
      </w:hyperlink>
    </w:p>
    <w:p>
      <w:pPr>
        <w:spacing w:after="160"/>
      </w:pPr>
      <w:hyperlink r:id="rId14">
        <w:r>
          <w:rPr>
            <w:color w:val="244F70"/>
          </w:rPr>
          <w:t>https://soda.io/product/data-contracts</w:t>
        </w:r>
      </w:hyperlink>
    </w:p>
    <w:p>
      <w:r>
        <w:rPr>
          <w:b/>
        </w:rPr>
        <w:t>S3 Datafold Monitors as Code.</w:t>
      </w:r>
      <w:r>
        <w:t xml:space="preserve"> Data diff monitors compare datasets, and metric monitors observe standard or custom metrics. Dataset diffing therefore belongs in the competitive context.</w:t>
      </w:r>
    </w:p>
    <w:p>
      <w:pPr>
        <w:spacing w:after="160"/>
      </w:pPr>
      <w:hyperlink r:id="rId15">
        <w:r>
          <w:rPr>
            <w:color w:val="244F70"/>
          </w:rPr>
          <w:t>https://docs.datafold.com/data-monitoring/monitors-as-code</w:t>
        </w:r>
      </w:hyperlink>
    </w:p>
    <w:p>
      <w:r>
        <w:rPr>
          <w:b/>
        </w:rPr>
        <w:t>S4 SQLGlot documentation and semantic diff.</w:t>
      </w:r>
      <w:r>
        <w:t xml:space="preserve"> SQLGlot exposes parsing, expression inspection and AST differences. Its documentation describes best-effort transpilation and a strict unsupported mode. MetricGuard's business-level comparability and validated IR are additional application logic.</w:t>
      </w:r>
    </w:p>
    <w:p>
      <w:pPr>
        <w:spacing w:after="160"/>
      </w:pPr>
      <w:hyperlink r:id="rId16">
        <w:r>
          <w:rPr>
            <w:color w:val="244F70"/>
          </w:rPr>
          <w:t>https://sqlglot.com/sqlglot.html</w:t>
        </w:r>
      </w:hyperlink>
    </w:p>
    <w:p>
      <w:pPr>
        <w:spacing w:after="160"/>
      </w:pPr>
      <w:hyperlink r:id="rId17">
        <w:r>
          <w:rPr>
            <w:color w:val="244F70"/>
          </w:rPr>
          <w:t>https://sqlglot.com/sqlglot/diff.html</w:t>
        </w:r>
      </w:hyperlink>
    </w:p>
    <w:p>
      <w:r>
        <w:rPr>
          <w:b/>
        </w:rPr>
        <w:t>S5 Microsoft TMDL documentation.</w:t>
      </w:r>
      <w:r>
        <w:t xml:space="preserve"> TMDL and PBIP can expose semantic model metadata. This supports a future metadata importer and does not establish that a measure can be evaluated from its text alone.</w:t>
      </w:r>
    </w:p>
    <w:p>
      <w:pPr>
        <w:spacing w:after="160"/>
      </w:pPr>
      <w:hyperlink r:id="rId18">
        <w:r>
          <w:rPr>
            <w:color w:val="244F70"/>
          </w:rPr>
          <w:t>https://learn.microsoft.com/en-us/power-bi/transform-model/desktop-tmdl-view</w:t>
        </w:r>
      </w:hyperlink>
    </w:p>
    <w:p>
      <w:r>
        <w:rPr>
          <w:b/>
        </w:rPr>
        <w:t>S6 Microsoft DAX glossary.</w:t>
      </w:r>
      <w:r>
        <w:t xml:space="preserve"> Filter context includes filters directly applied to model columns and filters propagated through relationships. This is why the first release does not promise generic DAX-to-SQL equivalence.</w:t>
      </w:r>
    </w:p>
    <w:p>
      <w:pPr>
        <w:spacing w:after="160"/>
      </w:pPr>
      <w:hyperlink r:id="rId19">
        <w:r>
          <w:rPr>
            <w:color w:val="244F70"/>
          </w:rPr>
          <w:t>https://learn.microsoft.com/en-us/dax/dax-glossary</w:t>
        </w:r>
      </w:hyperlink>
    </w:p>
    <w:p>
      <w:r>
        <w:rPr>
          <w:b/>
        </w:rPr>
        <w:t>S7 dbt manifest reference.</w:t>
      </w:r>
      <w:r>
        <w:t xml:space="preserve"> The manifest describes project resources and dependency maps. Compiled query content is conditional rather than guaranteed for all nodes; artifact schema handling must be version-aware.</w:t>
      </w:r>
    </w:p>
    <w:p>
      <w:pPr>
        <w:spacing w:after="160"/>
      </w:pPr>
      <w:hyperlink r:id="rId20">
        <w:r>
          <w:rPr>
            <w:color w:val="244F70"/>
          </w:rPr>
          <w:t>https://docs.getdbt.com/reference/artifacts/manifest-json</w:t>
        </w:r>
      </w:hyperlink>
    </w:p>
    <w:p>
      <w:r>
        <w:rPr>
          <w:b/>
        </w:rPr>
        <w:t>S8 DuckDB security guidance.</w:t>
      </w:r>
      <w:r>
        <w:t xml:space="preserve"> Untrusted SQL requires proper isolation. Configuration limits provide additional restrictions but do not replace a sandbox.</w:t>
      </w:r>
    </w:p>
    <w:p>
      <w:pPr>
        <w:spacing w:after="160"/>
      </w:pPr>
      <w:hyperlink r:id="rId21">
        <w:r>
          <w:rPr>
            <w:color w:val="244F70"/>
          </w:rPr>
          <w:t>https://duckdb.org/docs/current/operations_manual/securing_duckdb/overview</w:t>
        </w:r>
      </w:hyperlink>
    </w:p>
    <w:p>
      <w:r>
        <w:t>The Dview article cited in the starting concept was also reviewed as a discussion of the problem. It is not used as proof of a unique market gap or as a technical execution specification.</w:t>
      </w:r>
    </w:p>
    <w:p>
      <w:pPr>
        <w:spacing w:after="160"/>
      </w:pPr>
      <w:hyperlink r:id="rId22">
        <w:r>
          <w:rPr>
            <w:color w:val="244F70"/>
          </w:rPr>
          <w:t>https://dview.io/blogs/semantic-drift-why-your-metrics-change-without-warning</w:t>
        </w:r>
      </w:hyperlink>
    </w:p>
    <w:p>
      <w:pPr>
        <w:pStyle w:val="Heading2"/>
      </w:pPr>
      <w:r>
        <w:t>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840"/>
      </w:tblGrid>
      <w:tr>
        <w:trPr>
          <w:cantSplit/>
          <w:tblHeader/>
        </w:trPr>
        <w:tc>
          <w:tcPr>
            <w:tcW w:type="dxa" w:w="3384"/>
            <w:vAlign w:val="center"/>
            <w:tcMar>
              <w:top w:w="90" w:type="dxa"/>
              <w:bottom w:w="90" w:type="dxa"/>
              <w:left w:w="90" w:type="dxa"/>
              <w:right w:w="90" w:type="dxa"/>
            </w:tcMar>
            <w:shd w:fill="DBE5ED"/>
          </w:tcPr>
          <w:p>
            <w:pPr>
              <w:spacing w:after="0" w:line="257" w:lineRule="auto"/>
            </w:pPr>
            <w:r>
              <w:rPr>
                <w:b/>
                <w:color w:val="000000"/>
                <w:sz w:val="18"/>
              </w:rPr>
              <w:t>Term</w:t>
            </w:r>
          </w:p>
        </w:tc>
        <w:tc>
          <w:tcPr>
            <w:tcW w:type="dxa" w:w="6840"/>
            <w:vAlign w:val="center"/>
            <w:tcMar>
              <w:top w:w="90" w:type="dxa"/>
              <w:bottom w:w="90" w:type="dxa"/>
              <w:left w:w="90" w:type="dxa"/>
              <w:right w:w="90" w:type="dxa"/>
            </w:tcMar>
            <w:shd w:fill="DBE5ED"/>
          </w:tcPr>
          <w:p>
            <w:pPr>
              <w:spacing w:after="0" w:line="257" w:lineRule="auto"/>
            </w:pPr>
            <w:r>
              <w:rPr>
                <w:b/>
                <w:color w:val="000000"/>
                <w:sz w:val="18"/>
              </w:rPr>
              <w:t>Meaning in this project</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KPI</w:t>
            </w:r>
          </w:p>
        </w:tc>
        <w:tc>
          <w:tcPr>
            <w:tcW w:type="dxa" w:w="6840"/>
            <w:vAlign w:val="center"/>
            <w:tcMar>
              <w:top w:w="90" w:type="dxa"/>
              <w:bottom w:w="90" w:type="dxa"/>
              <w:left w:w="90" w:type="dxa"/>
              <w:right w:w="90" w:type="dxa"/>
            </w:tcMar>
            <w:shd w:fill="FFFFFF"/>
          </w:tcPr>
          <w:p>
            <w:pPr>
              <w:spacing w:after="0" w:line="257" w:lineRule="auto"/>
            </w:pPr>
            <w:r>
              <w:rPr>
                <w:sz w:val="18"/>
              </w:rPr>
              <w:t>A business measure used to assess performance</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Reconciliation</w:t>
            </w:r>
          </w:p>
        </w:tc>
        <w:tc>
          <w:tcPr>
            <w:tcW w:type="dxa" w:w="6840"/>
            <w:vAlign w:val="center"/>
            <w:tcMar>
              <w:top w:w="90" w:type="dxa"/>
              <w:bottom w:w="90" w:type="dxa"/>
              <w:left w:w="90" w:type="dxa"/>
              <w:right w:w="90" w:type="dxa"/>
            </w:tcMar>
            <w:shd w:fill="F6F8FA"/>
          </w:tcPr>
          <w:p>
            <w:pPr>
              <w:spacing w:after="0" w:line="257" w:lineRule="auto"/>
            </w:pPr>
            <w:r>
              <w:rPr>
                <w:sz w:val="18"/>
              </w:rPr>
              <w:t>Explaining how two comparable calculations produce different results</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Metric family</w:t>
            </w:r>
          </w:p>
        </w:tc>
        <w:tc>
          <w:tcPr>
            <w:tcW w:type="dxa" w:w="6840"/>
            <w:vAlign w:val="center"/>
            <w:tcMar>
              <w:top w:w="90" w:type="dxa"/>
              <w:bottom w:w="90" w:type="dxa"/>
              <w:left w:w="90" w:type="dxa"/>
              <w:right w:w="90" w:type="dxa"/>
            </w:tcMar>
            <w:shd w:fill="FFFFFF"/>
          </w:tcPr>
          <w:p>
            <w:pPr>
              <w:spacing w:after="0" w:line="257" w:lineRule="auto"/>
            </w:pPr>
            <w:r>
              <w:rPr>
                <w:sz w:val="18"/>
              </w:rPr>
              <w:t>A reviewed grouping of related business measures</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Definition version</w:t>
            </w:r>
          </w:p>
        </w:tc>
        <w:tc>
          <w:tcPr>
            <w:tcW w:type="dxa" w:w="6840"/>
            <w:vAlign w:val="center"/>
            <w:tcMar>
              <w:top w:w="90" w:type="dxa"/>
              <w:bottom w:w="90" w:type="dxa"/>
              <w:left w:w="90" w:type="dxa"/>
              <w:right w:w="90" w:type="dxa"/>
            </w:tcMar>
            <w:shd w:fill="F6F8FA"/>
          </w:tcPr>
          <w:p>
            <w:pPr>
              <w:spacing w:after="0" w:line="257" w:lineRule="auto"/>
            </w:pPr>
            <w:r>
              <w:rPr>
                <w:sz w:val="18"/>
              </w:rPr>
              <w:t>An immutable snapshot of one metric implementation</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Semantic drift</w:t>
            </w:r>
          </w:p>
        </w:tc>
        <w:tc>
          <w:tcPr>
            <w:tcW w:type="dxa" w:w="6840"/>
            <w:vAlign w:val="center"/>
            <w:tcMar>
              <w:top w:w="90" w:type="dxa"/>
              <w:bottom w:w="90" w:type="dxa"/>
              <w:left w:w="90" w:type="dxa"/>
              <w:right w:w="90" w:type="dxa"/>
            </w:tcMar>
            <w:shd w:fill="FFFFFF"/>
          </w:tcPr>
          <w:p>
            <w:pPr>
              <w:spacing w:after="0" w:line="257" w:lineRule="auto"/>
            </w:pPr>
            <w:r>
              <w:rPr>
                <w:sz w:val="18"/>
              </w:rPr>
              <w:t>A change in intended or implemented metric meaning over time</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IR</w:t>
            </w:r>
          </w:p>
        </w:tc>
        <w:tc>
          <w:tcPr>
            <w:tcW w:type="dxa" w:w="6840"/>
            <w:vAlign w:val="center"/>
            <w:tcMar>
              <w:top w:w="90" w:type="dxa"/>
              <w:bottom w:w="90" w:type="dxa"/>
              <w:left w:w="90" w:type="dxa"/>
              <w:right w:w="90" w:type="dxa"/>
            </w:tcMar>
            <w:shd w:fill="F6F8FA"/>
          </w:tcPr>
          <w:p>
            <w:pPr>
              <w:spacing w:after="0" w:line="257" w:lineRule="auto"/>
            </w:pPr>
            <w:r>
              <w:rPr>
                <w:sz w:val="18"/>
              </w:rPr>
              <w:t>Typed intermediate representation of the supported calculation rules</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AST</w:t>
            </w:r>
          </w:p>
        </w:tc>
        <w:tc>
          <w:tcPr>
            <w:tcW w:type="dxa" w:w="6840"/>
            <w:vAlign w:val="center"/>
            <w:tcMar>
              <w:top w:w="90" w:type="dxa"/>
              <w:bottom w:w="90" w:type="dxa"/>
              <w:left w:w="90" w:type="dxa"/>
              <w:right w:w="90" w:type="dxa"/>
            </w:tcMar>
            <w:shd w:fill="FFFFFF"/>
          </w:tcPr>
          <w:p>
            <w:pPr>
              <w:spacing w:after="0" w:line="257" w:lineRule="auto"/>
            </w:pPr>
            <w:r>
              <w:rPr>
                <w:sz w:val="18"/>
              </w:rPr>
              <w:t>The syntax tree produced by a parser from SQL text</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Grain</w:t>
            </w:r>
          </w:p>
        </w:tc>
        <w:tc>
          <w:tcPr>
            <w:tcW w:type="dxa" w:w="6840"/>
            <w:vAlign w:val="center"/>
            <w:tcMar>
              <w:top w:w="90" w:type="dxa"/>
              <w:bottom w:w="90" w:type="dxa"/>
              <w:left w:w="90" w:type="dxa"/>
              <w:right w:w="90" w:type="dxa"/>
            </w:tcMar>
            <w:shd w:fill="F6F8FA"/>
          </w:tcPr>
          <w:p>
            <w:pPr>
              <w:spacing w:after="0" w:line="257" w:lineRule="auto"/>
            </w:pPr>
            <w:r>
              <w:rPr>
                <w:sz w:val="18"/>
              </w:rPr>
              <w:t>What one row represents, such as one order</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Snapshot</w:t>
            </w:r>
          </w:p>
        </w:tc>
        <w:tc>
          <w:tcPr>
            <w:tcW w:type="dxa" w:w="6840"/>
            <w:vAlign w:val="center"/>
            <w:tcMar>
              <w:top w:w="90" w:type="dxa"/>
              <w:bottom w:w="90" w:type="dxa"/>
              <w:left w:w="90" w:type="dxa"/>
              <w:right w:w="90" w:type="dxa"/>
            </w:tcMar>
            <w:shd w:fill="FFFFFF"/>
          </w:tcPr>
          <w:p>
            <w:pPr>
              <w:spacing w:after="0" w:line="257" w:lineRule="auto"/>
            </w:pPr>
            <w:r>
              <w:rPr>
                <w:sz w:val="18"/>
              </w:rPr>
              <w:t>Frozen analytical data with recorded identity and context</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Comparability</w:t>
            </w:r>
          </w:p>
        </w:tc>
        <w:tc>
          <w:tcPr>
            <w:tcW w:type="dxa" w:w="6840"/>
            <w:vAlign w:val="center"/>
            <w:tcMar>
              <w:top w:w="90" w:type="dxa"/>
              <w:bottom w:w="90" w:type="dxa"/>
              <w:left w:w="90" w:type="dxa"/>
              <w:right w:w="90" w:type="dxa"/>
            </w:tcMar>
            <w:shd w:fill="F6F8FA"/>
          </w:tcPr>
          <w:p>
            <w:pPr>
              <w:spacing w:after="0" w:line="257" w:lineRule="auto"/>
            </w:pPr>
            <w:r>
              <w:rPr>
                <w:sz w:val="18"/>
              </w:rPr>
              <w:t>Whether the data and context support a fair comparison</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Ordered bridge</w:t>
            </w:r>
          </w:p>
        </w:tc>
        <w:tc>
          <w:tcPr>
            <w:tcW w:type="dxa" w:w="6840"/>
            <w:vAlign w:val="center"/>
            <w:tcMar>
              <w:top w:w="90" w:type="dxa"/>
              <w:bottom w:w="90" w:type="dxa"/>
              <w:left w:w="90" w:type="dxa"/>
              <w:right w:w="90" w:type="dxa"/>
            </w:tcMar>
            <w:shd w:fill="FFFFFF"/>
          </w:tcPr>
          <w:p>
            <w:pPr>
              <w:spacing w:after="0" w:line="257" w:lineRule="auto"/>
            </w:pPr>
            <w:r>
              <w:rPr>
                <w:sz w:val="18"/>
              </w:rPr>
              <w:t>A sequence of rule changes whose signed effects connect the endpoints</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Residual</w:t>
            </w:r>
          </w:p>
        </w:tc>
        <w:tc>
          <w:tcPr>
            <w:tcW w:type="dxa" w:w="6840"/>
            <w:vAlign w:val="center"/>
            <w:tcMar>
              <w:top w:w="90" w:type="dxa"/>
              <w:bottom w:w="90" w:type="dxa"/>
              <w:left w:w="90" w:type="dxa"/>
              <w:right w:w="90" w:type="dxa"/>
            </w:tcMar>
            <w:shd w:fill="F6F8FA"/>
          </w:tcPr>
          <w:p>
            <w:pPr>
              <w:spacing w:after="0" w:line="257" w:lineRule="auto"/>
            </w:pPr>
            <w:r>
              <w:rPr>
                <w:sz w:val="18"/>
              </w:rPr>
              <w:t>The part of the observed gap not accounted for by the reported bridge</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Shapley allocation</w:t>
            </w:r>
          </w:p>
        </w:tc>
        <w:tc>
          <w:tcPr>
            <w:tcW w:type="dxa" w:w="6840"/>
            <w:vAlign w:val="center"/>
            <w:tcMar>
              <w:top w:w="90" w:type="dxa"/>
              <w:bottom w:w="90" w:type="dxa"/>
              <w:left w:w="90" w:type="dxa"/>
              <w:right w:w="90" w:type="dxa"/>
            </w:tcMar>
            <w:shd w:fill="FFFFFF"/>
          </w:tcPr>
          <w:p>
            <w:pPr>
              <w:spacing w:after="0" w:line="257" w:lineRule="auto"/>
            </w:pPr>
            <w:r>
              <w:rPr>
                <w:sz w:val="18"/>
              </w:rPr>
              <w:t>An attribution convention that averages marginal effects across rule orders</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Lineage</w:t>
            </w:r>
          </w:p>
        </w:tc>
        <w:tc>
          <w:tcPr>
            <w:tcW w:type="dxa" w:w="6840"/>
            <w:vAlign w:val="center"/>
            <w:tcMar>
              <w:top w:w="90" w:type="dxa"/>
              <w:bottom w:w="90" w:type="dxa"/>
              <w:left w:w="90" w:type="dxa"/>
              <w:right w:w="90" w:type="dxa"/>
            </w:tcMar>
            <w:shd w:fill="F6F8FA"/>
          </w:tcPr>
          <w:p>
            <w:pPr>
              <w:spacing w:after="0" w:line="257" w:lineRule="auto"/>
            </w:pPr>
            <w:r>
              <w:rPr>
                <w:sz w:val="18"/>
              </w:rPr>
              <w:t>Recorded dependencies between data, definitions and reports</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Canonical baseline</w:t>
            </w:r>
          </w:p>
        </w:tc>
        <w:tc>
          <w:tcPr>
            <w:tcW w:type="dxa" w:w="6840"/>
            <w:vAlign w:val="center"/>
            <w:tcMar>
              <w:top w:w="90" w:type="dxa"/>
              <w:bottom w:w="90" w:type="dxa"/>
              <w:left w:w="90" w:type="dxa"/>
              <w:right w:w="90" w:type="dxa"/>
            </w:tcMar>
            <w:shd w:fill="FFFFFF"/>
          </w:tcPr>
          <w:p>
            <w:pPr>
              <w:spacing w:after="0" w:line="257" w:lineRule="auto"/>
            </w:pPr>
            <w:r>
              <w:rPr>
                <w:sz w:val="18"/>
              </w:rPr>
              <w:t>An approved definition for a declared purpose and scope</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Idempotency</w:t>
            </w:r>
          </w:p>
        </w:tc>
        <w:tc>
          <w:tcPr>
            <w:tcW w:type="dxa" w:w="6840"/>
            <w:vAlign w:val="center"/>
            <w:tcMar>
              <w:top w:w="90" w:type="dxa"/>
              <w:bottom w:w="90" w:type="dxa"/>
              <w:left w:w="90" w:type="dxa"/>
              <w:right w:w="90" w:type="dxa"/>
            </w:tcMar>
            <w:shd w:fill="F6F8FA"/>
          </w:tcPr>
          <w:p>
            <w:pPr>
              <w:spacing w:after="0" w:line="257" w:lineRule="auto"/>
            </w:pPr>
            <w:r>
              <w:rPr>
                <w:sz w:val="18"/>
              </w:rPr>
              <w:t>Repeating an equivalent request does not create duplicate work</w:t>
            </w:r>
          </w:p>
        </w:tc>
      </w:tr>
      <w:tr>
        <w:trPr>
          <w:cantSplit/>
        </w:trPr>
        <w:tc>
          <w:tcPr>
            <w:tcW w:type="dxa" w:w="3384"/>
            <w:vAlign w:val="center"/>
            <w:tcMar>
              <w:top w:w="90" w:type="dxa"/>
              <w:bottom w:w="90" w:type="dxa"/>
              <w:left w:w="90" w:type="dxa"/>
              <w:right w:w="90" w:type="dxa"/>
            </w:tcMar>
            <w:shd w:fill="FFFFFF"/>
          </w:tcPr>
          <w:p>
            <w:pPr>
              <w:spacing w:after="0" w:line="257" w:lineRule="auto"/>
            </w:pPr>
            <w:r>
              <w:rPr>
                <w:sz w:val="18"/>
              </w:rPr>
              <w:t>Golden fixture</w:t>
            </w:r>
          </w:p>
        </w:tc>
        <w:tc>
          <w:tcPr>
            <w:tcW w:type="dxa" w:w="6840"/>
            <w:vAlign w:val="center"/>
            <w:tcMar>
              <w:top w:w="90" w:type="dxa"/>
              <w:bottom w:w="90" w:type="dxa"/>
              <w:left w:w="90" w:type="dxa"/>
              <w:right w:w="90" w:type="dxa"/>
            </w:tcMar>
            <w:shd w:fill="FFFFFF"/>
          </w:tcPr>
          <w:p>
            <w:pPr>
              <w:spacing w:after="0" w:line="257" w:lineRule="auto"/>
            </w:pPr>
            <w:r>
              <w:rPr>
                <w:sz w:val="18"/>
              </w:rPr>
              <w:t>A small fixed example with independently established expected results</w:t>
            </w:r>
          </w:p>
        </w:tc>
      </w:tr>
      <w:tr>
        <w:trPr>
          <w:cantSplit/>
        </w:trPr>
        <w:tc>
          <w:tcPr>
            <w:tcW w:type="dxa" w:w="3384"/>
            <w:vAlign w:val="center"/>
            <w:tcMar>
              <w:top w:w="90" w:type="dxa"/>
              <w:bottom w:w="90" w:type="dxa"/>
              <w:left w:w="90" w:type="dxa"/>
              <w:right w:w="90" w:type="dxa"/>
            </w:tcMar>
            <w:shd w:fill="F6F8FA"/>
          </w:tcPr>
          <w:p>
            <w:pPr>
              <w:spacing w:after="0" w:line="257" w:lineRule="auto"/>
            </w:pPr>
            <w:r>
              <w:rPr>
                <w:sz w:val="18"/>
              </w:rPr>
              <w:t>Abstention</w:t>
            </w:r>
          </w:p>
        </w:tc>
        <w:tc>
          <w:tcPr>
            <w:tcW w:type="dxa" w:w="6840"/>
            <w:vAlign w:val="center"/>
            <w:tcMar>
              <w:top w:w="90" w:type="dxa"/>
              <w:bottom w:w="90" w:type="dxa"/>
              <w:left w:w="90" w:type="dxa"/>
              <w:right w:w="90" w:type="dxa"/>
            </w:tcMar>
            <w:shd w:fill="F6F8FA"/>
          </w:tcPr>
          <w:p>
            <w:pPr>
              <w:spacing w:after="0" w:line="257" w:lineRule="auto"/>
            </w:pPr>
            <w:r>
              <w:rPr>
                <w:sz w:val="18"/>
              </w:rPr>
              <w:t>An explicit statement that the system cannot support a conclusion</w:t>
            </w:r>
          </w:p>
        </w:tc>
      </w:tr>
    </w:tbl>
    <w:p>
      <w:pPr>
        <w:spacing w:after="20"/>
      </w:pPr>
    </w:p>
    <w:p>
      <w:pPr>
        <w:pStyle w:val="Heading2"/>
      </w:pPr>
      <w:r>
        <w:t>Preimplementation completion criteria</w:t>
      </w:r>
    </w:p>
    <w:p>
      <w:r>
        <w:t>This pack covers the problem, target users, competitive context, scope, acceptance criteria, journeys, screens, SQL policy, metric contracts, calculation method, architecture, storage, APIs, security, demo data, testing, delivery sequence, risks and coding handoff. Implementation can begin with the bounded feasibility milestone. Real customer validation and measured engineering performance remain open work, not prerequisites that require inventing answers.</w:t>
      </w:r>
    </w:p>
    <w:p>
      <w:pPr>
        <w:pStyle w:val="Heading1"/>
      </w:pPr>
      <w:r>
        <w:t>Appendix Explicit SQL examples</w:t>
      </w:r>
    </w:p>
    <w:p>
      <w:r>
        <w:t>These specification fixtures use the synthetic orders table and an explicit August 2026 reporting period. They are not a general-purpose execution interface.</w:t>
      </w:r>
    </w:p>
    <w:p>
      <w:pPr>
        <w:pStyle w:val="Heading2"/>
      </w:pPr>
      <w:r>
        <w:t>Dashboard A</w:t>
      </w:r>
    </w:p>
    <w:p>
      <w:pPr>
        <w:spacing w:after="0" w:line="247" w:lineRule="auto"/>
      </w:pPr>
      <w:r>
        <w:rPr>
          <w:rFonts w:ascii="DejaVu Sans Mono" w:hAnsi="DejaVu Sans Mono"/>
          <w:sz w:val="18"/>
        </w:rPr>
        <w:t>SELECT SUM(order_amount) AS revenue</w:t>
      </w:r>
    </w:p>
    <w:p>
      <w:pPr>
        <w:spacing w:after="0" w:line="247" w:lineRule="auto"/>
      </w:pPr>
      <w:r>
        <w:rPr>
          <w:rFonts w:ascii="DejaVu Sans Mono" w:hAnsi="DejaVu Sans Mono"/>
          <w:sz w:val="18"/>
        </w:rPr>
        <w:t>FROM orders</w:t>
      </w:r>
    </w:p>
    <w:p>
      <w:pPr>
        <w:spacing w:after="0" w:line="247" w:lineRule="auto"/>
      </w:pPr>
      <w:r>
        <w:rPr>
          <w:rFonts w:ascii="DejaVu Sans Mono" w:hAnsi="DejaVu Sans Mono"/>
          <w:sz w:val="18"/>
        </w:rPr>
        <w:t>WHERE status = 'Completed'</w:t>
      </w:r>
    </w:p>
    <w:p>
      <w:pPr>
        <w:spacing w:after="0" w:line="247" w:lineRule="auto"/>
      </w:pPr>
      <w:r>
        <w:rPr>
          <w:rFonts w:ascii="DejaVu Sans Mono" w:hAnsi="DejaVu Sans Mono"/>
          <w:sz w:val="18"/>
        </w:rPr>
        <w:t xml:space="preserve">  AND order_date &gt;= DATE '2026-08-01'</w:t>
      </w:r>
    </w:p>
    <w:p>
      <w:pPr>
        <w:spacing w:after="0" w:line="247" w:lineRule="auto"/>
      </w:pPr>
      <w:r>
        <w:rPr>
          <w:rFonts w:ascii="DejaVu Sans Mono" w:hAnsi="DejaVu Sans Mono"/>
          <w:sz w:val="18"/>
        </w:rPr>
        <w:t xml:space="preserve">  AND order_date &lt; DATE '2026-09-01';</w:t>
      </w:r>
    </w:p>
    <w:p>
      <w:pPr>
        <w:pStyle w:val="Heading2"/>
      </w:pPr>
      <w:r>
        <w:t>Dashboard B</w:t>
      </w:r>
    </w:p>
    <w:p>
      <w:pPr>
        <w:spacing w:after="0" w:line="247" w:lineRule="auto"/>
      </w:pPr>
      <w:r>
        <w:rPr>
          <w:rFonts w:ascii="DejaVu Sans Mono" w:hAnsi="DejaVu Sans Mono"/>
          <w:sz w:val="18"/>
        </w:rPr>
        <w:t>SELECT SUM(order_amount) AS revenue</w:t>
      </w:r>
    </w:p>
    <w:p>
      <w:pPr>
        <w:spacing w:after="0" w:line="247" w:lineRule="auto"/>
      </w:pPr>
      <w:r>
        <w:rPr>
          <w:rFonts w:ascii="DejaVu Sans Mono" w:hAnsi="DejaVu Sans Mono"/>
          <w:sz w:val="18"/>
        </w:rPr>
        <w:t>FROM orders</w:t>
      </w:r>
    </w:p>
    <w:p>
      <w:pPr>
        <w:spacing w:after="0" w:line="247" w:lineRule="auto"/>
      </w:pPr>
      <w:r>
        <w:rPr>
          <w:rFonts w:ascii="DejaVu Sans Mono" w:hAnsi="DejaVu Sans Mono"/>
          <w:sz w:val="18"/>
        </w:rPr>
        <w:t>WHERE status &lt;&gt; 'Cancelled'</w:t>
      </w:r>
    </w:p>
    <w:p>
      <w:pPr>
        <w:spacing w:after="0" w:line="247" w:lineRule="auto"/>
      </w:pPr>
      <w:r>
        <w:rPr>
          <w:rFonts w:ascii="DejaVu Sans Mono" w:hAnsi="DejaVu Sans Mono"/>
          <w:sz w:val="18"/>
        </w:rPr>
        <w:t xml:space="preserve">  AND order_date &gt;= DATE '2026-08-01'</w:t>
      </w:r>
    </w:p>
    <w:p>
      <w:pPr>
        <w:spacing w:after="0" w:line="247" w:lineRule="auto"/>
      </w:pPr>
      <w:r>
        <w:rPr>
          <w:rFonts w:ascii="DejaVu Sans Mono" w:hAnsi="DejaVu Sans Mono"/>
          <w:sz w:val="18"/>
        </w:rPr>
        <w:t xml:space="preserve">  AND order_date &lt; DATE '2026-09-01';</w:t>
      </w:r>
    </w:p>
    <w:p>
      <w:pPr>
        <w:pStyle w:val="Heading2"/>
      </w:pPr>
      <w:r>
        <w:t>Illustrative finance definition</w:t>
      </w:r>
    </w:p>
    <w:p>
      <w:pPr>
        <w:spacing w:after="0" w:line="247" w:lineRule="auto"/>
      </w:pPr>
      <w:r>
        <w:rPr>
          <w:rFonts w:ascii="DejaVu Sans Mono" w:hAnsi="DejaVu Sans Mono"/>
          <w:sz w:val="18"/>
        </w:rPr>
        <w:t>SELECT SUM(order_amount - COALESCE(refund_amount, 0)) AS revenue</w:t>
      </w:r>
    </w:p>
    <w:p>
      <w:pPr>
        <w:spacing w:after="0" w:line="247" w:lineRule="auto"/>
      </w:pPr>
      <w:r>
        <w:rPr>
          <w:rFonts w:ascii="DejaVu Sans Mono" w:hAnsi="DejaVu Sans Mono"/>
          <w:sz w:val="18"/>
        </w:rPr>
        <w:t>FROM orders</w:t>
      </w:r>
    </w:p>
    <w:p>
      <w:pPr>
        <w:spacing w:after="0" w:line="247" w:lineRule="auto"/>
      </w:pPr>
      <w:r>
        <w:rPr>
          <w:rFonts w:ascii="DejaVu Sans Mono" w:hAnsi="DejaVu Sans Mono"/>
          <w:sz w:val="18"/>
        </w:rPr>
        <w:t>WHERE payment_status = 'Paid'</w:t>
      </w:r>
    </w:p>
    <w:p>
      <w:pPr>
        <w:spacing w:after="0" w:line="247" w:lineRule="auto"/>
      </w:pPr>
      <w:r>
        <w:rPr>
          <w:rFonts w:ascii="DejaVu Sans Mono" w:hAnsi="DejaVu Sans Mono"/>
          <w:sz w:val="18"/>
        </w:rPr>
        <w:t xml:space="preserve">  AND payment_date &gt;= DATE '2026-08-01'</w:t>
      </w:r>
    </w:p>
    <w:p>
      <w:pPr>
        <w:spacing w:after="0" w:line="247" w:lineRule="auto"/>
      </w:pPr>
      <w:r>
        <w:rPr>
          <w:rFonts w:ascii="DejaVu Sans Mono" w:hAnsi="DejaVu Sans Mono"/>
          <w:sz w:val="18"/>
        </w:rPr>
        <w:t xml:space="preserve">  AND payment_date &lt; DATE '2026-09-01';</w:t>
      </w:r>
    </w:p>
    <w:sectPr w:rsidR="00FC693F" w:rsidRPr="0006063C" w:rsidSect="00034616">
      <w:headerReference w:type="default" r:id="rId9"/>
      <w:footerReference w:type="default" r:id="rId10"/>
      <w:pgSz w:w="12240" w:h="15840"/>
      <w:pgMar w:top="1008" w:right="1008" w:bottom="1008"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1.0  |  22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MetricGuard    Product and engineering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2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DejaVu Sans" w:hAnsi="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DejaVu Sans" w:hAnsi="DejaVu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getdbt.com/docs/use-dbt-semantic-layer/sl-faqs" TargetMode="External"/><Relationship Id="rId13" Type="http://schemas.openxmlformats.org/officeDocument/2006/relationships/hyperlink" Target="https://docs.soda.io/data-observability" TargetMode="External"/><Relationship Id="rId14" Type="http://schemas.openxmlformats.org/officeDocument/2006/relationships/hyperlink" Target="https://soda.io/product/data-contracts" TargetMode="External"/><Relationship Id="rId15" Type="http://schemas.openxmlformats.org/officeDocument/2006/relationships/hyperlink" Target="https://docs.datafold.com/data-monitoring/monitors-as-code" TargetMode="External"/><Relationship Id="rId16" Type="http://schemas.openxmlformats.org/officeDocument/2006/relationships/hyperlink" Target="https://sqlglot.com/sqlglot.html" TargetMode="External"/><Relationship Id="rId17" Type="http://schemas.openxmlformats.org/officeDocument/2006/relationships/hyperlink" Target="https://sqlglot.com/sqlglot/diff.html" TargetMode="External"/><Relationship Id="rId18" Type="http://schemas.openxmlformats.org/officeDocument/2006/relationships/hyperlink" Target="https://learn.microsoft.com/en-us/power-bi/transform-model/desktop-tmdl-view" TargetMode="External"/><Relationship Id="rId19" Type="http://schemas.openxmlformats.org/officeDocument/2006/relationships/hyperlink" Target="https://learn.microsoft.com/en-us/dax/dax-glossary" TargetMode="External"/><Relationship Id="rId20" Type="http://schemas.openxmlformats.org/officeDocument/2006/relationships/hyperlink" Target="https://docs.getdbt.com/reference/artifacts/manifest-json" TargetMode="External"/><Relationship Id="rId21" Type="http://schemas.openxmlformats.org/officeDocument/2006/relationships/hyperlink" Target="https://duckdb.org/docs/current/operations_manual/securing_duckdb/overview" TargetMode="External"/><Relationship Id="rId22" Type="http://schemas.openxmlformats.org/officeDocument/2006/relationships/hyperlink" Target="https://dview.io/blogs/semantic-drift-why-your-metrics-change-without-w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MetricGuard Product and Engineering Plan</dc:title>
  <dc:subject>Preimplementation specification for KPI reconciliation and semantic drift</dc:subject>
  <dc:creator>Aditya Beecha</dc:creator>
  <cp:keywords>PRD, architecture, KPI, SQL, reconciliation, semantic drift</cp:keywords>
  <dc:description>generated by python-docx</dc:description>
  <cp:lastModifiedBy/>
  <cp:revision>1</cp:revision>
  <dcterms:created xsi:type="dcterms:W3CDTF">2013-12-23T23:15:00Z</dcterms:created>
  <dcterms:modified xsi:type="dcterms:W3CDTF">2013-12-23T23:15:00Z</dcterms:modified>
  <cp:category/>
</cp:coreProperties>
</file>