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22BD1" w14:textId="74A74AA3" w:rsidR="00246F82" w:rsidRPr="007B0EC4" w:rsidRDefault="00395755" w:rsidP="005842FF">
      <w:pPr>
        <w:spacing w:after="80"/>
        <w:ind w:firstLine="720"/>
        <w:jc w:val="center"/>
        <w:rPr>
          <w:sz w:val="48"/>
          <w:szCs w:val="48"/>
        </w:rPr>
      </w:pPr>
      <w:r w:rsidRPr="007B0EC4">
        <w:rPr>
          <w:sz w:val="48"/>
          <w:szCs w:val="48"/>
        </w:rPr>
        <w:t xml:space="preserve">Early Disease Outbreak Prediction Using Online </w:t>
      </w:r>
      <w:r w:rsidR="007B0EC4" w:rsidRPr="007B0EC4">
        <w:rPr>
          <w:sz w:val="48"/>
          <w:szCs w:val="48"/>
        </w:rPr>
        <w:t>Behavioural</w:t>
      </w:r>
      <w:r w:rsidRPr="007B0EC4">
        <w:rPr>
          <w:sz w:val="48"/>
          <w:szCs w:val="48"/>
        </w:rPr>
        <w:t xml:space="preserve"> Signals and Machine Learning</w:t>
      </w:r>
    </w:p>
    <w:p w14:paraId="05A1913E" w14:textId="77777777" w:rsidR="007B0EC4" w:rsidRDefault="007B0EC4">
      <w:pPr>
        <w:spacing w:after="80"/>
        <w:jc w:val="center"/>
        <w:rPr>
          <w:b/>
          <w:bCs/>
          <w:sz w:val="28"/>
          <w:szCs w:val="28"/>
        </w:rPr>
      </w:pPr>
    </w:p>
    <w:p w14:paraId="02CC2C86" w14:textId="77777777" w:rsidR="007B0EC4" w:rsidRDefault="007B0EC4" w:rsidP="007B0EC4">
      <w:pPr>
        <w:spacing w:after="80"/>
        <w:rPr>
          <w:b/>
          <w:bCs/>
          <w:sz w:val="28"/>
          <w:szCs w:val="28"/>
        </w:rPr>
      </w:pPr>
    </w:p>
    <w:p w14:paraId="16FA3E42" w14:textId="77777777" w:rsidR="007B0EC4" w:rsidRDefault="007B0EC4">
      <w:pPr>
        <w:spacing w:after="80"/>
        <w:jc w:val="center"/>
      </w:pPr>
    </w:p>
    <w:p w14:paraId="54305F00" w14:textId="77777777" w:rsidR="007B0EC4" w:rsidRDefault="007B0EC4" w:rsidP="007B0EC4">
      <w:pPr>
        <w:spacing w:after="40"/>
        <w:jc w:val="center"/>
        <w:rPr>
          <w:sz w:val="20"/>
          <w:szCs w:val="20"/>
        </w:rPr>
        <w:sectPr w:rsidR="007B0EC4">
          <w:pgSz w:w="12240" w:h="15840"/>
          <w:pgMar w:top="1080" w:right="936" w:bottom="144" w:left="936" w:header="708" w:footer="708" w:gutter="0"/>
          <w:cols w:space="720"/>
          <w:docGrid w:linePitch="360"/>
        </w:sectPr>
      </w:pPr>
    </w:p>
    <w:tbl>
      <w:tblPr>
        <w:tblStyle w:val="PlainTable4"/>
        <w:tblW w:w="10324" w:type="dxa"/>
        <w:tblLook w:val="04A0" w:firstRow="1" w:lastRow="0" w:firstColumn="1" w:lastColumn="0" w:noHBand="0" w:noVBand="1"/>
      </w:tblPr>
      <w:tblGrid>
        <w:gridCol w:w="3440"/>
        <w:gridCol w:w="3442"/>
        <w:gridCol w:w="3442"/>
      </w:tblGrid>
      <w:tr w:rsidR="00AA7ABD" w14:paraId="1DFDBAF0" w14:textId="77777777" w:rsidTr="00AA7ABD">
        <w:trPr>
          <w:cnfStyle w:val="100000000000" w:firstRow="1" w:lastRow="0" w:firstColumn="0" w:lastColumn="0" w:oddVBand="0" w:evenVBand="0" w:oddHBand="0" w:evenHBand="0" w:firstRowFirstColumn="0" w:firstRowLastColumn="0" w:lastRowFirstColumn="0" w:lastRowLastColumn="0"/>
          <w:trHeight w:val="2072"/>
        </w:trPr>
        <w:tc>
          <w:tcPr>
            <w:cnfStyle w:val="001000000000" w:firstRow="0" w:lastRow="0" w:firstColumn="1" w:lastColumn="0" w:oddVBand="0" w:evenVBand="0" w:oddHBand="0" w:evenHBand="0" w:firstRowFirstColumn="0" w:firstRowLastColumn="0" w:lastRowFirstColumn="0" w:lastRowLastColumn="0"/>
            <w:tcW w:w="3440" w:type="dxa"/>
          </w:tcPr>
          <w:p w14:paraId="201F8DCC" w14:textId="5AF3FF7F" w:rsidR="00AA7ABD" w:rsidRPr="00AA7ABD" w:rsidRDefault="00AA7ABD" w:rsidP="00AA7ABD">
            <w:pPr>
              <w:jc w:val="center"/>
              <w:rPr>
                <w:b w:val="0"/>
                <w:bCs w:val="0"/>
              </w:rPr>
            </w:pPr>
            <w:r w:rsidRPr="00AA7ABD">
              <w:rPr>
                <w:b w:val="0"/>
                <w:bCs w:val="0"/>
              </w:rPr>
              <w:t>Aditya Jha</w:t>
            </w:r>
          </w:p>
          <w:p w14:paraId="758F91B0" w14:textId="77777777" w:rsidR="00AA7ABD" w:rsidRPr="00AA7ABD" w:rsidRDefault="00AA7ABD" w:rsidP="00AA7ABD">
            <w:pPr>
              <w:jc w:val="center"/>
              <w:rPr>
                <w:b w:val="0"/>
                <w:bCs w:val="0"/>
                <w:i/>
                <w:iCs/>
              </w:rPr>
            </w:pPr>
            <w:r w:rsidRPr="00AA7ABD">
              <w:rPr>
                <w:b w:val="0"/>
                <w:bCs w:val="0"/>
                <w:i/>
                <w:iCs/>
              </w:rPr>
              <w:t>Department of Networking and Communications</w:t>
            </w:r>
          </w:p>
          <w:p w14:paraId="1FD51130" w14:textId="5D9D9442" w:rsidR="00AA7ABD" w:rsidRPr="00AA7ABD" w:rsidRDefault="00AA7ABD" w:rsidP="00AA7ABD">
            <w:pPr>
              <w:jc w:val="center"/>
              <w:rPr>
                <w:b w:val="0"/>
                <w:bCs w:val="0"/>
                <w:i/>
                <w:iCs/>
              </w:rPr>
            </w:pPr>
            <w:r w:rsidRPr="00AA7ABD">
              <w:rPr>
                <w:b w:val="0"/>
                <w:bCs w:val="0"/>
                <w:i/>
                <w:iCs/>
              </w:rPr>
              <w:t>School of Computing</w:t>
            </w:r>
          </w:p>
          <w:p w14:paraId="4C0128D7" w14:textId="77777777" w:rsidR="00AA7ABD" w:rsidRPr="00AA7ABD" w:rsidRDefault="00AA7ABD" w:rsidP="00AA7ABD">
            <w:pPr>
              <w:jc w:val="center"/>
              <w:rPr>
                <w:b w:val="0"/>
                <w:bCs w:val="0"/>
                <w:i/>
                <w:iCs/>
              </w:rPr>
            </w:pPr>
            <w:r w:rsidRPr="00AA7ABD">
              <w:rPr>
                <w:b w:val="0"/>
                <w:bCs w:val="0"/>
                <w:i/>
                <w:iCs/>
              </w:rPr>
              <w:t>College of Engineering &amp; Technology</w:t>
            </w:r>
          </w:p>
          <w:p w14:paraId="6388A81B" w14:textId="014DA21D" w:rsidR="00AA7ABD" w:rsidRPr="00AA7ABD" w:rsidRDefault="00AA7ABD" w:rsidP="00AA7ABD">
            <w:pPr>
              <w:jc w:val="center"/>
              <w:rPr>
                <w:b w:val="0"/>
                <w:bCs w:val="0"/>
                <w:i/>
                <w:iCs/>
              </w:rPr>
            </w:pPr>
            <w:r w:rsidRPr="00AA7ABD">
              <w:rPr>
                <w:b w:val="0"/>
                <w:bCs w:val="0"/>
                <w:i/>
                <w:iCs/>
              </w:rPr>
              <w:t>SRM Institute of Science and Technology</w:t>
            </w:r>
          </w:p>
          <w:p w14:paraId="0CA5F226" w14:textId="77777777" w:rsidR="00AA7ABD" w:rsidRPr="00AA7ABD" w:rsidRDefault="00AA7ABD" w:rsidP="00AA7ABD">
            <w:pPr>
              <w:jc w:val="center"/>
              <w:rPr>
                <w:b w:val="0"/>
                <w:bCs w:val="0"/>
              </w:rPr>
            </w:pPr>
            <w:r w:rsidRPr="00AA7ABD">
              <w:rPr>
                <w:b w:val="0"/>
                <w:bCs w:val="0"/>
              </w:rPr>
              <w:t>Kattankulathur-603203, India</w:t>
            </w:r>
          </w:p>
          <w:p w14:paraId="4EF91C80" w14:textId="35A3AF6B" w:rsidR="00AA7ABD" w:rsidRPr="00AA7ABD" w:rsidRDefault="00AA7ABD" w:rsidP="00AA7ABD">
            <w:pPr>
              <w:jc w:val="center"/>
              <w:rPr>
                <w:b w:val="0"/>
                <w:bCs w:val="0"/>
              </w:rPr>
            </w:pPr>
            <w:hyperlink r:id="rId5" w:history="1">
              <w:r w:rsidRPr="00AA7ABD">
                <w:rPr>
                  <w:rStyle w:val="Hyperlink"/>
                  <w:b w:val="0"/>
                  <w:bCs w:val="0"/>
                </w:rPr>
                <w:t>aj3571@srmist.edu.in</w:t>
              </w:r>
            </w:hyperlink>
          </w:p>
        </w:tc>
        <w:tc>
          <w:tcPr>
            <w:tcW w:w="3442" w:type="dxa"/>
          </w:tcPr>
          <w:p w14:paraId="7D96060B" w14:textId="091BB5FD" w:rsidR="00AA7ABD" w:rsidRPr="00AA7ABD" w:rsidRDefault="00AA7ABD" w:rsidP="00AA7ABD">
            <w:pPr>
              <w:jc w:val="center"/>
              <w:cnfStyle w:val="100000000000" w:firstRow="1" w:lastRow="0" w:firstColumn="0" w:lastColumn="0" w:oddVBand="0" w:evenVBand="0" w:oddHBand="0" w:evenHBand="0" w:firstRowFirstColumn="0" w:firstRowLastColumn="0" w:lastRowFirstColumn="0" w:lastRowLastColumn="0"/>
              <w:rPr>
                <w:b w:val="0"/>
                <w:bCs w:val="0"/>
              </w:rPr>
            </w:pPr>
            <w:r w:rsidRPr="00AA7ABD">
              <w:rPr>
                <w:b w:val="0"/>
                <w:bCs w:val="0"/>
              </w:rPr>
              <w:t>Kshitij Tiwari</w:t>
            </w:r>
          </w:p>
          <w:p w14:paraId="7F72D04C" w14:textId="77777777" w:rsidR="00AA7ABD" w:rsidRPr="00AA7ABD" w:rsidRDefault="00AA7ABD" w:rsidP="00AA7ABD">
            <w:pPr>
              <w:jc w:val="center"/>
              <w:cnfStyle w:val="100000000000" w:firstRow="1" w:lastRow="0" w:firstColumn="0" w:lastColumn="0" w:oddVBand="0" w:evenVBand="0" w:oddHBand="0" w:evenHBand="0" w:firstRowFirstColumn="0" w:firstRowLastColumn="0" w:lastRowFirstColumn="0" w:lastRowLastColumn="0"/>
              <w:rPr>
                <w:b w:val="0"/>
                <w:bCs w:val="0"/>
                <w:i/>
                <w:iCs/>
              </w:rPr>
            </w:pPr>
            <w:r w:rsidRPr="00AA7ABD">
              <w:rPr>
                <w:b w:val="0"/>
                <w:bCs w:val="0"/>
                <w:i/>
                <w:iCs/>
              </w:rPr>
              <w:t>Department of Networking and Communications</w:t>
            </w:r>
          </w:p>
          <w:p w14:paraId="72AE00FF" w14:textId="072150E7" w:rsidR="00AA7ABD" w:rsidRPr="00AA7ABD" w:rsidRDefault="00AA7ABD" w:rsidP="00AA7ABD">
            <w:pPr>
              <w:jc w:val="center"/>
              <w:cnfStyle w:val="100000000000" w:firstRow="1" w:lastRow="0" w:firstColumn="0" w:lastColumn="0" w:oddVBand="0" w:evenVBand="0" w:oddHBand="0" w:evenHBand="0" w:firstRowFirstColumn="0" w:firstRowLastColumn="0" w:lastRowFirstColumn="0" w:lastRowLastColumn="0"/>
              <w:rPr>
                <w:b w:val="0"/>
                <w:bCs w:val="0"/>
                <w:i/>
                <w:iCs/>
              </w:rPr>
            </w:pPr>
            <w:r w:rsidRPr="00AA7ABD">
              <w:rPr>
                <w:b w:val="0"/>
                <w:bCs w:val="0"/>
                <w:i/>
                <w:iCs/>
              </w:rPr>
              <w:t>School of Computing</w:t>
            </w:r>
          </w:p>
          <w:p w14:paraId="18692D8D" w14:textId="77777777" w:rsidR="00AA7ABD" w:rsidRPr="00AA7ABD" w:rsidRDefault="00AA7ABD" w:rsidP="00AA7ABD">
            <w:pPr>
              <w:jc w:val="center"/>
              <w:cnfStyle w:val="100000000000" w:firstRow="1" w:lastRow="0" w:firstColumn="0" w:lastColumn="0" w:oddVBand="0" w:evenVBand="0" w:oddHBand="0" w:evenHBand="0" w:firstRowFirstColumn="0" w:firstRowLastColumn="0" w:lastRowFirstColumn="0" w:lastRowLastColumn="0"/>
              <w:rPr>
                <w:b w:val="0"/>
                <w:bCs w:val="0"/>
                <w:i/>
                <w:iCs/>
              </w:rPr>
            </w:pPr>
            <w:r w:rsidRPr="00AA7ABD">
              <w:rPr>
                <w:b w:val="0"/>
                <w:bCs w:val="0"/>
                <w:i/>
                <w:iCs/>
              </w:rPr>
              <w:t>College of Engineering &amp; Technology</w:t>
            </w:r>
          </w:p>
          <w:p w14:paraId="160537E4" w14:textId="242964EB" w:rsidR="00AA7ABD" w:rsidRPr="00AA7ABD" w:rsidRDefault="00AA7ABD" w:rsidP="00AA7ABD">
            <w:pPr>
              <w:jc w:val="center"/>
              <w:cnfStyle w:val="100000000000" w:firstRow="1" w:lastRow="0" w:firstColumn="0" w:lastColumn="0" w:oddVBand="0" w:evenVBand="0" w:oddHBand="0" w:evenHBand="0" w:firstRowFirstColumn="0" w:firstRowLastColumn="0" w:lastRowFirstColumn="0" w:lastRowLastColumn="0"/>
              <w:rPr>
                <w:b w:val="0"/>
                <w:bCs w:val="0"/>
                <w:i/>
                <w:iCs/>
              </w:rPr>
            </w:pPr>
            <w:r w:rsidRPr="00AA7ABD">
              <w:rPr>
                <w:b w:val="0"/>
                <w:bCs w:val="0"/>
                <w:i/>
                <w:iCs/>
              </w:rPr>
              <w:t>SRM Institute of Science and Technology</w:t>
            </w:r>
          </w:p>
          <w:p w14:paraId="613DEC1C" w14:textId="77777777" w:rsidR="00AA7ABD" w:rsidRPr="00AA7ABD" w:rsidRDefault="00AA7ABD" w:rsidP="00AA7ABD">
            <w:pPr>
              <w:jc w:val="center"/>
              <w:cnfStyle w:val="100000000000" w:firstRow="1" w:lastRow="0" w:firstColumn="0" w:lastColumn="0" w:oddVBand="0" w:evenVBand="0" w:oddHBand="0" w:evenHBand="0" w:firstRowFirstColumn="0" w:firstRowLastColumn="0" w:lastRowFirstColumn="0" w:lastRowLastColumn="0"/>
              <w:rPr>
                <w:b w:val="0"/>
                <w:bCs w:val="0"/>
              </w:rPr>
            </w:pPr>
            <w:r w:rsidRPr="00AA7ABD">
              <w:rPr>
                <w:b w:val="0"/>
                <w:bCs w:val="0"/>
              </w:rPr>
              <w:t>Kattankulathur-603203, India</w:t>
            </w:r>
          </w:p>
          <w:p w14:paraId="45C737F0" w14:textId="039DD13B" w:rsidR="00AA7ABD" w:rsidRPr="00AA7ABD" w:rsidRDefault="00AA7ABD" w:rsidP="00AA7ABD">
            <w:pPr>
              <w:jc w:val="center"/>
              <w:cnfStyle w:val="100000000000" w:firstRow="1" w:lastRow="0" w:firstColumn="0" w:lastColumn="0" w:oddVBand="0" w:evenVBand="0" w:oddHBand="0" w:evenHBand="0" w:firstRowFirstColumn="0" w:firstRowLastColumn="0" w:lastRowFirstColumn="0" w:lastRowLastColumn="0"/>
              <w:rPr>
                <w:b w:val="0"/>
                <w:bCs w:val="0"/>
              </w:rPr>
            </w:pPr>
            <w:hyperlink r:id="rId6" w:history="1">
              <w:r w:rsidRPr="00AA7ABD">
                <w:rPr>
                  <w:rStyle w:val="Hyperlink"/>
                  <w:b w:val="0"/>
                  <w:bCs w:val="0"/>
                </w:rPr>
                <w:t>Kt4376@srmist.edu.in</w:t>
              </w:r>
            </w:hyperlink>
          </w:p>
        </w:tc>
        <w:tc>
          <w:tcPr>
            <w:tcW w:w="3442" w:type="dxa"/>
          </w:tcPr>
          <w:p w14:paraId="2E2CA647" w14:textId="689CD2AD" w:rsidR="00AA7ABD" w:rsidRPr="00AA7ABD" w:rsidRDefault="00AA7ABD" w:rsidP="00AA7ABD">
            <w:pPr>
              <w:jc w:val="center"/>
              <w:cnfStyle w:val="100000000000" w:firstRow="1" w:lastRow="0" w:firstColumn="0" w:lastColumn="0" w:oddVBand="0" w:evenVBand="0" w:oddHBand="0" w:evenHBand="0" w:firstRowFirstColumn="0" w:firstRowLastColumn="0" w:lastRowFirstColumn="0" w:lastRowLastColumn="0"/>
              <w:rPr>
                <w:b w:val="0"/>
                <w:bCs w:val="0"/>
              </w:rPr>
            </w:pPr>
            <w:r w:rsidRPr="00AA7ABD">
              <w:rPr>
                <w:b w:val="0"/>
                <w:bCs w:val="0"/>
              </w:rPr>
              <w:t>Dr. Stephen Dass A*</w:t>
            </w:r>
          </w:p>
          <w:p w14:paraId="01F3CBA3" w14:textId="77777777" w:rsidR="00AA7ABD" w:rsidRPr="00AA7ABD" w:rsidRDefault="00AA7ABD" w:rsidP="00AA7ABD">
            <w:pPr>
              <w:jc w:val="center"/>
              <w:cnfStyle w:val="100000000000" w:firstRow="1" w:lastRow="0" w:firstColumn="0" w:lastColumn="0" w:oddVBand="0" w:evenVBand="0" w:oddHBand="0" w:evenHBand="0" w:firstRowFirstColumn="0" w:firstRowLastColumn="0" w:lastRowFirstColumn="0" w:lastRowLastColumn="0"/>
              <w:rPr>
                <w:b w:val="0"/>
                <w:bCs w:val="0"/>
                <w:i/>
                <w:iCs/>
              </w:rPr>
            </w:pPr>
            <w:r w:rsidRPr="00AA7ABD">
              <w:rPr>
                <w:b w:val="0"/>
                <w:bCs w:val="0"/>
                <w:i/>
                <w:iCs/>
              </w:rPr>
              <w:t>Department of Networking and Communications</w:t>
            </w:r>
          </w:p>
          <w:p w14:paraId="00D7D787" w14:textId="2982070A" w:rsidR="00AA7ABD" w:rsidRPr="00AA7ABD" w:rsidRDefault="00AA7ABD" w:rsidP="00AA7ABD">
            <w:pPr>
              <w:jc w:val="center"/>
              <w:cnfStyle w:val="100000000000" w:firstRow="1" w:lastRow="0" w:firstColumn="0" w:lastColumn="0" w:oddVBand="0" w:evenVBand="0" w:oddHBand="0" w:evenHBand="0" w:firstRowFirstColumn="0" w:firstRowLastColumn="0" w:lastRowFirstColumn="0" w:lastRowLastColumn="0"/>
              <w:rPr>
                <w:b w:val="0"/>
                <w:bCs w:val="0"/>
                <w:i/>
                <w:iCs/>
              </w:rPr>
            </w:pPr>
            <w:r w:rsidRPr="00AA7ABD">
              <w:rPr>
                <w:b w:val="0"/>
                <w:bCs w:val="0"/>
                <w:i/>
                <w:iCs/>
              </w:rPr>
              <w:t>School of Computing</w:t>
            </w:r>
          </w:p>
          <w:p w14:paraId="73740912" w14:textId="6327CE21" w:rsidR="00AA7ABD" w:rsidRPr="00AA7ABD" w:rsidRDefault="00AA7ABD" w:rsidP="00AA7ABD">
            <w:pPr>
              <w:jc w:val="center"/>
              <w:cnfStyle w:val="100000000000" w:firstRow="1" w:lastRow="0" w:firstColumn="0" w:lastColumn="0" w:oddVBand="0" w:evenVBand="0" w:oddHBand="0" w:evenHBand="0" w:firstRowFirstColumn="0" w:firstRowLastColumn="0" w:lastRowFirstColumn="0" w:lastRowLastColumn="0"/>
              <w:rPr>
                <w:b w:val="0"/>
                <w:bCs w:val="0"/>
                <w:i/>
                <w:iCs/>
              </w:rPr>
            </w:pPr>
            <w:r w:rsidRPr="00AA7ABD">
              <w:rPr>
                <w:b w:val="0"/>
                <w:bCs w:val="0"/>
                <w:i/>
                <w:iCs/>
              </w:rPr>
              <w:t>Faculty of Engineering &amp; Technology</w:t>
            </w:r>
          </w:p>
          <w:p w14:paraId="458CDCC3" w14:textId="7C54C419" w:rsidR="00AA7ABD" w:rsidRPr="00AA7ABD" w:rsidRDefault="00AA7ABD" w:rsidP="00AA7ABD">
            <w:pPr>
              <w:jc w:val="center"/>
              <w:cnfStyle w:val="100000000000" w:firstRow="1" w:lastRow="0" w:firstColumn="0" w:lastColumn="0" w:oddVBand="0" w:evenVBand="0" w:oddHBand="0" w:evenHBand="0" w:firstRowFirstColumn="0" w:firstRowLastColumn="0" w:lastRowFirstColumn="0" w:lastRowLastColumn="0"/>
              <w:rPr>
                <w:b w:val="0"/>
                <w:bCs w:val="0"/>
                <w:i/>
                <w:iCs/>
              </w:rPr>
            </w:pPr>
            <w:r w:rsidRPr="00AA7ABD">
              <w:rPr>
                <w:b w:val="0"/>
                <w:bCs w:val="0"/>
                <w:i/>
                <w:iCs/>
              </w:rPr>
              <w:t>SRM Institute of Science and Technology</w:t>
            </w:r>
          </w:p>
          <w:p w14:paraId="47FDFAC8" w14:textId="77777777" w:rsidR="00AA7ABD" w:rsidRPr="00AA7ABD" w:rsidRDefault="00AA7ABD" w:rsidP="00AA7ABD">
            <w:pPr>
              <w:jc w:val="center"/>
              <w:cnfStyle w:val="100000000000" w:firstRow="1" w:lastRow="0" w:firstColumn="0" w:lastColumn="0" w:oddVBand="0" w:evenVBand="0" w:oddHBand="0" w:evenHBand="0" w:firstRowFirstColumn="0" w:firstRowLastColumn="0" w:lastRowFirstColumn="0" w:lastRowLastColumn="0"/>
              <w:rPr>
                <w:b w:val="0"/>
                <w:bCs w:val="0"/>
              </w:rPr>
            </w:pPr>
            <w:r w:rsidRPr="00AA7ABD">
              <w:rPr>
                <w:b w:val="0"/>
                <w:bCs w:val="0"/>
              </w:rPr>
              <w:t>Kattankulathur-603203, India</w:t>
            </w:r>
          </w:p>
          <w:p w14:paraId="06B9B913" w14:textId="6C670D82" w:rsidR="00AA7ABD" w:rsidRPr="00AA7ABD" w:rsidRDefault="00AA7ABD" w:rsidP="00AA7ABD">
            <w:pPr>
              <w:jc w:val="center"/>
              <w:cnfStyle w:val="100000000000" w:firstRow="1" w:lastRow="0" w:firstColumn="0" w:lastColumn="0" w:oddVBand="0" w:evenVBand="0" w:oddHBand="0" w:evenHBand="0" w:firstRowFirstColumn="0" w:firstRowLastColumn="0" w:lastRowFirstColumn="0" w:lastRowLastColumn="0"/>
              <w:rPr>
                <w:b w:val="0"/>
                <w:bCs w:val="0"/>
              </w:rPr>
            </w:pPr>
            <w:hyperlink r:id="rId7" w:history="1">
              <w:r w:rsidRPr="00AA7ABD">
                <w:rPr>
                  <w:rStyle w:val="Hyperlink"/>
                  <w:b w:val="0"/>
                  <w:bCs w:val="0"/>
                </w:rPr>
                <w:t>stephena@srmist.edu.in</w:t>
              </w:r>
            </w:hyperlink>
          </w:p>
        </w:tc>
      </w:tr>
    </w:tbl>
    <w:p w14:paraId="5EB96D52" w14:textId="77777777" w:rsidR="007B0EC4" w:rsidRDefault="007B0EC4">
      <w:pPr>
        <w:sectPr w:rsidR="007B0EC4" w:rsidSect="007B0EC4">
          <w:type w:val="continuous"/>
          <w:pgSz w:w="12240" w:h="15840"/>
          <w:pgMar w:top="1080" w:right="936" w:bottom="144" w:left="936" w:header="708" w:footer="708" w:gutter="0"/>
          <w:cols w:num="2" w:space="720"/>
          <w:docGrid w:linePitch="360"/>
        </w:sectPr>
      </w:pPr>
    </w:p>
    <w:p w14:paraId="24A07533" w14:textId="77777777" w:rsidR="007B0EC4" w:rsidRDefault="007B0EC4"/>
    <w:p w14:paraId="7F0DD1D6" w14:textId="77777777" w:rsidR="007B0EC4" w:rsidRDefault="007B0EC4"/>
    <w:p w14:paraId="0CA73969" w14:textId="77777777" w:rsidR="007B0EC4" w:rsidRDefault="007B0EC4"/>
    <w:p w14:paraId="179EA195" w14:textId="77777777" w:rsidR="007B0EC4" w:rsidRDefault="007B0EC4"/>
    <w:p w14:paraId="75A96DEE" w14:textId="77777777" w:rsidR="007B0EC4" w:rsidRDefault="007B0EC4"/>
    <w:p w14:paraId="2E26AF90" w14:textId="77777777" w:rsidR="007B0EC4" w:rsidRDefault="007B0EC4">
      <w:pPr>
        <w:sectPr w:rsidR="007B0EC4" w:rsidSect="007B0EC4">
          <w:type w:val="continuous"/>
          <w:pgSz w:w="12240" w:h="15840"/>
          <w:pgMar w:top="1080" w:right="936" w:bottom="144" w:left="936" w:header="708" w:footer="708" w:gutter="0"/>
          <w:cols w:space="720"/>
          <w:docGrid w:linePitch="360"/>
        </w:sectPr>
      </w:pPr>
    </w:p>
    <w:p w14:paraId="52C2611A" w14:textId="77777777" w:rsidR="007B0EC4" w:rsidRPr="00AE1F31" w:rsidRDefault="007B0EC4" w:rsidP="00A4547E">
      <w:pPr>
        <w:spacing w:after="40"/>
        <w:jc w:val="both"/>
        <w:rPr>
          <w:b/>
          <w:bCs/>
        </w:rPr>
      </w:pPr>
      <w:r>
        <w:rPr>
          <w:b/>
          <w:bCs/>
          <w:i/>
          <w:iCs/>
        </w:rPr>
        <w:t>Abstract</w:t>
      </w:r>
      <w:r>
        <w:t>—</w:t>
      </w:r>
      <w:r w:rsidRPr="00AE1F31">
        <w:rPr>
          <w:b/>
          <w:bCs/>
        </w:rPr>
        <w:t xml:space="preserve">Clinic-based disease surveillance has an inherent lag: it can only record what patients and providers have already reported. Search queries run ahead of that. People feeling unwell search for their symptoms before they call a doctor, and those search patterns reflect community health trends days before clinical data catches up. </w:t>
      </w:r>
      <w:proofErr w:type="spellStart"/>
      <w:r w:rsidRPr="00AE1F31">
        <w:rPr>
          <w:b/>
          <w:bCs/>
        </w:rPr>
        <w:t>HealthPulse</w:t>
      </w:r>
      <w:proofErr w:type="spellEnd"/>
      <w:r w:rsidRPr="00AE1F31">
        <w:rPr>
          <w:b/>
          <w:bCs/>
        </w:rPr>
        <w:t xml:space="preserve"> is a system built around this observation. It collects weekly Google Trends data for eight respiratory and systemic symptoms across six US regions, stores everything in MongoDB Atlas, trains SARIMAX time-series forecasters for each region-symptom pair, and runs an </w:t>
      </w:r>
      <w:proofErr w:type="spellStart"/>
      <w:r w:rsidRPr="00AE1F31">
        <w:rPr>
          <w:b/>
          <w:bCs/>
        </w:rPr>
        <w:t>XGBoost</w:t>
      </w:r>
      <w:proofErr w:type="spellEnd"/>
      <w:r w:rsidRPr="00AE1F31">
        <w:rPr>
          <w:b/>
          <w:bCs/>
        </w:rPr>
        <w:t xml:space="preserve"> classifier over aggregated features to estimate outbreak risk. A </w:t>
      </w:r>
      <w:proofErr w:type="spellStart"/>
      <w:r w:rsidRPr="00AE1F31">
        <w:rPr>
          <w:b/>
          <w:bCs/>
        </w:rPr>
        <w:t>FastAPI</w:t>
      </w:r>
      <w:proofErr w:type="spellEnd"/>
      <w:r w:rsidRPr="00AE1F31">
        <w:rPr>
          <w:b/>
          <w:bCs/>
        </w:rPr>
        <w:t xml:space="preserve"> backend exposes predictions; a React dashboard renders them. Forty-eight SARIMAX models converged successfully, achieving a mean RMSE of 10.01 and MAE of 6.16 on a normalized 0–100 scale. The </w:t>
      </w:r>
      <w:proofErr w:type="spellStart"/>
      <w:r w:rsidRPr="00AE1F31">
        <w:rPr>
          <w:b/>
          <w:bCs/>
        </w:rPr>
        <w:t>XGBoost</w:t>
      </w:r>
      <w:proofErr w:type="spellEnd"/>
      <w:r w:rsidRPr="00AE1F31">
        <w:rPr>
          <w:b/>
          <w:bCs/>
        </w:rPr>
        <w:t xml:space="preserve"> classifier attains 99.84% cross-validation accuracy on 624 samples—a figure that should be read alongside the caveat that labels are currently derived from the same feature that dominates the input, not from external outbreak ground truth. Both limitations and what remains to be done are described plainly.</w:t>
      </w:r>
    </w:p>
    <w:p w14:paraId="06141457" w14:textId="77777777" w:rsidR="007B0EC4" w:rsidRDefault="007B0EC4" w:rsidP="00A4547E">
      <w:pPr>
        <w:spacing w:after="80"/>
        <w:jc w:val="both"/>
      </w:pPr>
      <w:r>
        <w:rPr>
          <w:b/>
          <w:bCs/>
          <w:i/>
          <w:iCs/>
        </w:rPr>
        <w:t xml:space="preserve">Keywords: </w:t>
      </w:r>
      <w:r>
        <w:rPr>
          <w:i/>
          <w:iCs/>
        </w:rPr>
        <w:t xml:space="preserve">disease surveillance; Google Trends; SARIMAX; </w:t>
      </w:r>
      <w:proofErr w:type="spellStart"/>
      <w:r>
        <w:rPr>
          <w:i/>
          <w:iCs/>
        </w:rPr>
        <w:t>XGBoost</w:t>
      </w:r>
      <w:proofErr w:type="spellEnd"/>
      <w:r>
        <w:rPr>
          <w:i/>
          <w:iCs/>
        </w:rPr>
        <w:t xml:space="preserve">; </w:t>
      </w:r>
      <w:proofErr w:type="spellStart"/>
      <w:r>
        <w:rPr>
          <w:i/>
          <w:iCs/>
        </w:rPr>
        <w:t>FastAPI</w:t>
      </w:r>
      <w:proofErr w:type="spellEnd"/>
      <w:r>
        <w:rPr>
          <w:i/>
          <w:iCs/>
        </w:rPr>
        <w:t xml:space="preserve">; MongoDB; time-series forecasting; outbreak prediction; </w:t>
      </w:r>
      <w:proofErr w:type="spellStart"/>
      <w:r>
        <w:rPr>
          <w:i/>
          <w:iCs/>
        </w:rPr>
        <w:t>behavioral</w:t>
      </w:r>
      <w:proofErr w:type="spellEnd"/>
      <w:r>
        <w:rPr>
          <w:i/>
          <w:iCs/>
        </w:rPr>
        <w:t xml:space="preserve"> signals</w:t>
      </w:r>
    </w:p>
    <w:p w14:paraId="31D4FB88" w14:textId="77777777" w:rsidR="007B0EC4" w:rsidRDefault="007B0EC4" w:rsidP="00A4547E">
      <w:pPr>
        <w:spacing w:before="120" w:after="60"/>
        <w:jc w:val="both"/>
        <w:rPr>
          <w:smallCaps/>
        </w:rPr>
      </w:pPr>
    </w:p>
    <w:p w14:paraId="1D29F850" w14:textId="490DCF42" w:rsidR="00246F82" w:rsidRDefault="00395755" w:rsidP="00F90C21">
      <w:pPr>
        <w:spacing w:before="120" w:after="60"/>
        <w:jc w:val="center"/>
      </w:pPr>
      <w:r>
        <w:rPr>
          <w:smallCaps/>
        </w:rPr>
        <w:t>I. INTRODUCTION</w:t>
      </w:r>
    </w:p>
    <w:p w14:paraId="6E27D619" w14:textId="77777777" w:rsidR="00246F82" w:rsidRDefault="00246F82" w:rsidP="00A4547E">
      <w:pPr>
        <w:spacing w:after="40"/>
        <w:jc w:val="both"/>
      </w:pPr>
    </w:p>
    <w:p w14:paraId="094D7066" w14:textId="77777777" w:rsidR="00246F82" w:rsidRDefault="00395755" w:rsidP="00A4547E">
      <w:pPr>
        <w:pStyle w:val="BodyText"/>
        <w:jc w:val="both"/>
      </w:pPr>
      <w:r>
        <w:t>Outbreaks rarely announce themselves. The standard chain runs like this: people get sick, eventually see doctors, clinicians file reports, labs confirm diagnoses, and public health agencies compile the numbers. By the time an alert goes out, days or weeks have passed. That lag is not a bureaucratic failing so much as a structural property of clinic-based surveillance: it can only record what has already been reported.</w:t>
      </w:r>
    </w:p>
    <w:p w14:paraId="7ADDC182" w14:textId="77777777" w:rsidR="00246F82" w:rsidRDefault="00246F82" w:rsidP="00A4547E">
      <w:pPr>
        <w:spacing w:after="40"/>
        <w:jc w:val="both"/>
      </w:pPr>
    </w:p>
    <w:p w14:paraId="28558ADE" w14:textId="77777777" w:rsidR="00246F82" w:rsidRDefault="00395755" w:rsidP="00A4547E">
      <w:pPr>
        <w:pStyle w:val="BodyText"/>
        <w:jc w:val="both"/>
      </w:pPr>
      <w:r>
        <w:t xml:space="preserve">There is a different signal running ahead of that chain. People feeling unwell search online before they call a doctor. Someone waking up with a fever and sore throat in January is more likely to type those symptoms into a search engine than to immediately schedule an appointment. Aggregated across regions and weeks, those search patterns reflect community health trends several days before clinical data catches up. Ginsberg et al. first demonstrated this for influenza in </w:t>
      </w:r>
      <w:r>
        <w:t>2009 [1], and the idea has since been refined—and sometimes found wanting—by a large body of follow-on work [2].</w:t>
      </w:r>
    </w:p>
    <w:p w14:paraId="74BD3D30" w14:textId="77777777" w:rsidR="00246F82" w:rsidRDefault="00246F82" w:rsidP="00A4547E">
      <w:pPr>
        <w:spacing w:after="40"/>
        <w:jc w:val="both"/>
      </w:pPr>
    </w:p>
    <w:p w14:paraId="1AE152C6" w14:textId="77777777" w:rsidR="00246F82" w:rsidRDefault="00395755" w:rsidP="00A4547E">
      <w:pPr>
        <w:pStyle w:val="BodyText"/>
        <w:jc w:val="both"/>
      </w:pPr>
      <w:proofErr w:type="spellStart"/>
      <w:r>
        <w:t>HealthPulse</w:t>
      </w:r>
      <w:proofErr w:type="spellEnd"/>
      <w:r>
        <w:t xml:space="preserve"> implements this approach as a working system. It collects weekly Google Trends data for eight respiratory and systemic symptoms across six US regions, stores everything in MongoDB Atlas, trains SARIMAX forecasters per region-symptom pair, and runs an </w:t>
      </w:r>
      <w:proofErr w:type="spellStart"/>
      <w:r>
        <w:t>XGBoost</w:t>
      </w:r>
      <w:proofErr w:type="spellEnd"/>
      <w:r>
        <w:t xml:space="preserve"> risk classifier over aggregated features. A </w:t>
      </w:r>
      <w:proofErr w:type="spellStart"/>
      <w:r>
        <w:t>FastAPI</w:t>
      </w:r>
      <w:proofErr w:type="spellEnd"/>
      <w:r>
        <w:t xml:space="preserve"> backend serves predictions; a React dashboard renders them. This paper describes what has actually been built, what the current models produce, and what remains open.</w:t>
      </w:r>
    </w:p>
    <w:p w14:paraId="513144FA" w14:textId="77777777" w:rsidR="00246F82" w:rsidRDefault="00246F82" w:rsidP="00F90C21">
      <w:pPr>
        <w:spacing w:after="60"/>
        <w:jc w:val="center"/>
      </w:pPr>
    </w:p>
    <w:p w14:paraId="6A301CDC" w14:textId="77777777" w:rsidR="00246F82" w:rsidRDefault="00395755" w:rsidP="00F90C21">
      <w:pPr>
        <w:spacing w:before="120" w:after="60"/>
        <w:jc w:val="center"/>
      </w:pPr>
      <w:r>
        <w:rPr>
          <w:smallCaps/>
        </w:rPr>
        <w:t>II. LITERATURE REVIEW</w:t>
      </w:r>
    </w:p>
    <w:p w14:paraId="52D00F4B" w14:textId="77777777" w:rsidR="00246F82" w:rsidRDefault="00246F82" w:rsidP="00A4547E">
      <w:pPr>
        <w:spacing w:after="40"/>
        <w:jc w:val="both"/>
      </w:pPr>
    </w:p>
    <w:p w14:paraId="12E79541" w14:textId="363B8355" w:rsidR="00246F82" w:rsidRDefault="00395755" w:rsidP="00A4547E">
      <w:pPr>
        <w:pStyle w:val="BodyText"/>
        <w:jc w:val="both"/>
      </w:pPr>
      <w:r>
        <w:t xml:space="preserve">Using search queries as a proxy for disease activity has a track record long enough now to show both its potential and its failure modes. Google Flu Trends correlated flu-related queries with CDC activity estimates at r &gt; 0.97 during its initial study period [1]. A few years later, Lazer et al. showed it could also overestimate activity by a factor of two during unusual seasons—driven by media coverage as much as actual illness [2]. That failure shaped subsequent thinking: the problem is not </w:t>
      </w:r>
      <w:r w:rsidR="0003355B">
        <w:t>searching</w:t>
      </w:r>
      <w:r>
        <w:t xml:space="preserve"> data itself, but query selection and accounting for non-illness drivers.</w:t>
      </w:r>
    </w:p>
    <w:p w14:paraId="59558C65" w14:textId="77777777" w:rsidR="00246F82" w:rsidRDefault="00246F82" w:rsidP="00A4547E">
      <w:pPr>
        <w:spacing w:after="40"/>
        <w:jc w:val="both"/>
      </w:pPr>
    </w:p>
    <w:p w14:paraId="41F7D7DB" w14:textId="30C30F4C" w:rsidR="00246F82" w:rsidRDefault="00395755" w:rsidP="00A4547E">
      <w:pPr>
        <w:pStyle w:val="BodyText"/>
        <w:jc w:val="both"/>
      </w:pPr>
      <w:r>
        <w:t xml:space="preserve">Combining multiple sources narrows the error. Yuan et al. found that integrating Twitter activity with Trends data reduced influenza-like illness prediction error compared to either signal alone [3]. </w:t>
      </w:r>
      <w:proofErr w:type="spellStart"/>
      <w:r>
        <w:t>Broniatowski</w:t>
      </w:r>
      <w:proofErr w:type="spellEnd"/>
      <w:r>
        <w:t xml:space="preserve"> et al. documented platform-specific biases requiring careful normalization before cross-regional comparisons are meaningful [4]. Both findings informed our choice to focus on curated symptom keywords rather than broad disease names, which are more sensitive to media cycles.</w:t>
      </w:r>
    </w:p>
    <w:p w14:paraId="5C20CC3E" w14:textId="77777777" w:rsidR="00246F82" w:rsidRDefault="00246F82" w:rsidP="00A4547E">
      <w:pPr>
        <w:spacing w:after="40"/>
        <w:jc w:val="both"/>
      </w:pPr>
    </w:p>
    <w:p w14:paraId="71483EA3" w14:textId="77777777" w:rsidR="00246F82" w:rsidRDefault="00395755" w:rsidP="00A4547E">
      <w:pPr>
        <w:pStyle w:val="BodyText"/>
        <w:jc w:val="both"/>
      </w:pPr>
      <w:r>
        <w:t xml:space="preserve">For forecasting, ARIMA-family models have a long record in epidemiology. SARIMAX handles weekly seasonality naturally and supports exogenous covariates, which matters when weather signals are eventually incorporated [5]. Dengue forecasting studies using similar seasonal ARIMA specifications have shown stable performance over multi-year windows [6]. Prophet, built at Meta by Taylor and Letham [7], offers flexible changepoint detection, but its </w:t>
      </w:r>
      <w:proofErr w:type="spellStart"/>
      <w:r>
        <w:lastRenderedPageBreak/>
        <w:t>CmdStan</w:t>
      </w:r>
      <w:proofErr w:type="spellEnd"/>
      <w:r>
        <w:t xml:space="preserve"> dependency caused unresolvable runtime failures on Windows during development—leading to the switch to SARIMAX.</w:t>
      </w:r>
    </w:p>
    <w:p w14:paraId="7B97E46E" w14:textId="77777777" w:rsidR="00246F82" w:rsidRDefault="00246F82" w:rsidP="00A4547E">
      <w:pPr>
        <w:spacing w:after="40"/>
        <w:jc w:val="both"/>
      </w:pPr>
    </w:p>
    <w:p w14:paraId="0D233B7D" w14:textId="77777777" w:rsidR="00246F82" w:rsidRDefault="00395755" w:rsidP="00A4547E">
      <w:pPr>
        <w:pStyle w:val="BodyText"/>
        <w:jc w:val="both"/>
      </w:pPr>
      <w:proofErr w:type="spellStart"/>
      <w:r>
        <w:t>XGBoost</w:t>
      </w:r>
      <w:proofErr w:type="spellEnd"/>
      <w:r>
        <w:t xml:space="preserve"> has become a reliable choice for structured health classification tasks: it handles mixed feature types, tolerates mild class imbalance, and produces calibrated probability outputs suited to risk stratification [8]. Comparative studies on health surveillance datasets consistently show it matching or exceeding random forests without extensive tuning [9]. For our four-class outbreak risk problem it was the natural first candidate. </w:t>
      </w:r>
      <w:proofErr w:type="spellStart"/>
      <w:r>
        <w:t>FastAPI</w:t>
      </w:r>
      <w:proofErr w:type="spellEnd"/>
      <w:r>
        <w:t xml:space="preserve"> handles the service layer—async request handling, automatic </w:t>
      </w:r>
      <w:proofErr w:type="spellStart"/>
      <w:r>
        <w:t>OpenAPI</w:t>
      </w:r>
      <w:proofErr w:type="spellEnd"/>
      <w:r>
        <w:t xml:space="preserve"> documentation, and tight </w:t>
      </w:r>
      <w:proofErr w:type="spellStart"/>
      <w:r>
        <w:t>Pydantic</w:t>
      </w:r>
      <w:proofErr w:type="spellEnd"/>
      <w:r>
        <w:t xml:space="preserve"> integration make it practical for Python ML deployments [10].</w:t>
      </w:r>
    </w:p>
    <w:p w14:paraId="1BADD0B3" w14:textId="77777777" w:rsidR="00246F82" w:rsidRDefault="00246F82" w:rsidP="00A4547E">
      <w:pPr>
        <w:spacing w:after="60"/>
        <w:jc w:val="both"/>
      </w:pPr>
    </w:p>
    <w:p w14:paraId="762C35E5" w14:textId="77777777" w:rsidR="00246F82" w:rsidRDefault="00395755" w:rsidP="00F90C21">
      <w:pPr>
        <w:spacing w:before="120" w:after="60"/>
        <w:jc w:val="center"/>
      </w:pPr>
      <w:r>
        <w:rPr>
          <w:smallCaps/>
        </w:rPr>
        <w:t>III. METHODOLOGY</w:t>
      </w:r>
    </w:p>
    <w:p w14:paraId="191C8E5A" w14:textId="77777777" w:rsidR="00246F82" w:rsidRDefault="00246F82" w:rsidP="00A4547E">
      <w:pPr>
        <w:spacing w:after="40"/>
        <w:jc w:val="both"/>
      </w:pPr>
    </w:p>
    <w:p w14:paraId="778DC56B" w14:textId="77777777" w:rsidR="00246F82" w:rsidRDefault="00395755" w:rsidP="00A4547E">
      <w:pPr>
        <w:spacing w:before="80" w:after="40"/>
        <w:jc w:val="both"/>
      </w:pPr>
      <w:r>
        <w:rPr>
          <w:i/>
          <w:iCs/>
        </w:rPr>
        <w:t>A. System Overview</w:t>
      </w:r>
    </w:p>
    <w:p w14:paraId="14DB98F4" w14:textId="77777777" w:rsidR="00246F82" w:rsidRDefault="00395755" w:rsidP="00A4547E">
      <w:pPr>
        <w:pStyle w:val="BodyText"/>
        <w:jc w:val="both"/>
      </w:pPr>
      <w:proofErr w:type="spellStart"/>
      <w:r>
        <w:t>HealthPulse</w:t>
      </w:r>
      <w:proofErr w:type="spellEnd"/>
      <w:r>
        <w:t xml:space="preserve"> has four stages: data collection from public APIs, storage and preprocessing in MongoDB, model training, and prediction serving via </w:t>
      </w:r>
      <w:proofErr w:type="spellStart"/>
      <w:r>
        <w:t>FastAPI</w:t>
      </w:r>
      <w:proofErr w:type="spellEnd"/>
      <w:r>
        <w:t>. Each stage is independent enough to rerun when new data arrives. Models can be retrained without touching collection scripts; the backend loads saved model files without retraining.</w:t>
      </w:r>
    </w:p>
    <w:p w14:paraId="47877E84" w14:textId="77777777" w:rsidR="00246F82" w:rsidRDefault="00246F82" w:rsidP="00A4547E">
      <w:pPr>
        <w:spacing w:after="40"/>
        <w:jc w:val="both"/>
      </w:pPr>
    </w:p>
    <w:p w14:paraId="340D586F" w14:textId="77777777" w:rsidR="00246F82" w:rsidRDefault="00395755" w:rsidP="00A4547E">
      <w:pPr>
        <w:spacing w:before="80" w:after="40"/>
        <w:jc w:val="both"/>
      </w:pPr>
      <w:r>
        <w:rPr>
          <w:i/>
          <w:iCs/>
        </w:rPr>
        <w:t>B. Data Collection</w:t>
      </w:r>
    </w:p>
    <w:p w14:paraId="7F0662ED" w14:textId="77777777" w:rsidR="00246F82" w:rsidRDefault="00395755" w:rsidP="00A4547E">
      <w:pPr>
        <w:pStyle w:val="BodyText"/>
        <w:jc w:val="both"/>
      </w:pPr>
      <w:r>
        <w:t xml:space="preserve">Search data comes from </w:t>
      </w:r>
      <w:proofErr w:type="spellStart"/>
      <w:r>
        <w:t>pytrends</w:t>
      </w:r>
      <w:proofErr w:type="spellEnd"/>
      <w:r>
        <w:t xml:space="preserve"> (the unofficial Python wrapper for Google Trends). We pull weekly interest scores—normalized 0 to 100—for eight symptoms: fever, cough, flu, sore throat, headache, fatigue, shortness of breath, and body aches. Coverage includes the contiguous US plus California, New York, Texas, Florida, and Illinois. The collection window is March 2024 to March 2026, totalling 4,992 records. Weeks with z-scores above 2.5 (242 cases) are flagged as anomalous-spike events and used as features in the classifier.</w:t>
      </w:r>
    </w:p>
    <w:p w14:paraId="330E1EAD" w14:textId="77777777" w:rsidR="00246F82" w:rsidRDefault="00246F82" w:rsidP="00A4547E">
      <w:pPr>
        <w:spacing w:after="40"/>
        <w:jc w:val="both"/>
      </w:pPr>
    </w:p>
    <w:p w14:paraId="3FBBA100" w14:textId="77777777" w:rsidR="00246F82" w:rsidRDefault="00395755" w:rsidP="00A4547E">
      <w:pPr>
        <w:pStyle w:val="BodyText"/>
        <w:jc w:val="both"/>
      </w:pPr>
      <w:r>
        <w:t>Weather data comes from Open-</w:t>
      </w:r>
      <w:proofErr w:type="spellStart"/>
      <w:r>
        <w:t>Meteo</w:t>
      </w:r>
      <w:proofErr w:type="spellEnd"/>
      <w:r>
        <w:t xml:space="preserve"> for 10 US cities—daily temperature, precipitation, humidity, and wind speed—totalling 7,310 records over the same window. These covariates are collected and stored but not yet wired into the SARIMAX specification.</w:t>
      </w:r>
    </w:p>
    <w:p w14:paraId="1C1C41C9" w14:textId="77777777" w:rsidR="00246F82" w:rsidRDefault="00246F82" w:rsidP="00A4547E">
      <w:pPr>
        <w:spacing w:after="40"/>
        <w:jc w:val="both"/>
      </w:pPr>
    </w:p>
    <w:p w14:paraId="03148C1F" w14:textId="77777777" w:rsidR="00246F82" w:rsidRDefault="00395755" w:rsidP="00A4547E">
      <w:pPr>
        <w:spacing w:before="80" w:after="40"/>
        <w:jc w:val="both"/>
      </w:pPr>
      <w:r>
        <w:rPr>
          <w:i/>
          <w:iCs/>
        </w:rPr>
        <w:t>C. Storage and Preprocessing</w:t>
      </w:r>
    </w:p>
    <w:p w14:paraId="46503B68" w14:textId="77777777" w:rsidR="00246F82" w:rsidRDefault="00395755" w:rsidP="00A4547E">
      <w:pPr>
        <w:pStyle w:val="BodyText"/>
        <w:jc w:val="both"/>
      </w:pPr>
      <w:r>
        <w:t xml:space="preserve">All data lives in MongoDB Atlas across three collections: </w:t>
      </w:r>
      <w:proofErr w:type="spellStart"/>
      <w:r>
        <w:t>google_trends</w:t>
      </w:r>
      <w:proofErr w:type="spellEnd"/>
      <w:r>
        <w:t xml:space="preserve">, weather, and news. The news collection is empty because the </w:t>
      </w:r>
      <w:proofErr w:type="spellStart"/>
      <w:r>
        <w:t>NewsAPI</w:t>
      </w:r>
      <w:proofErr w:type="spellEnd"/>
      <w:r>
        <w:t xml:space="preserve"> free tier restricts access to the most recent 30 days, which does not cover the two-year historical window. The ingestion pipeline exists and runs without errors; it is waiting on a paid key or a switch to GDELT.</w:t>
      </w:r>
    </w:p>
    <w:p w14:paraId="0F03DCD4" w14:textId="77777777" w:rsidR="00246F82" w:rsidRDefault="00246F82" w:rsidP="00A4547E">
      <w:pPr>
        <w:spacing w:after="40"/>
        <w:jc w:val="both"/>
      </w:pPr>
    </w:p>
    <w:p w14:paraId="223B658B" w14:textId="77777777" w:rsidR="00246F82" w:rsidRDefault="00395755" w:rsidP="00A4547E">
      <w:pPr>
        <w:pStyle w:val="BodyText"/>
        <w:jc w:val="both"/>
      </w:pPr>
      <w:r>
        <w:t>For time-series models, we parse dates, sort by region and date, and forward-fill gaps. For the classifier, we aggregate per date-region, compute 7- and 14-day rolling averages and momentum statistics, and zero-fill remaining nulls. The result is a 624-row, 13-feature matrix. TLS 1.2 is enforced for Atlas connections; an early SSL handshake failure traced to an outdated OpenSSL version was resolved by upgrading it.</w:t>
      </w:r>
    </w:p>
    <w:p w14:paraId="5BB345A2" w14:textId="77777777" w:rsidR="00246F82" w:rsidRDefault="00246F82" w:rsidP="00A4547E">
      <w:pPr>
        <w:spacing w:after="40"/>
        <w:jc w:val="both"/>
      </w:pPr>
    </w:p>
    <w:p w14:paraId="07834447" w14:textId="77777777" w:rsidR="00246F82" w:rsidRDefault="00395755" w:rsidP="00A4547E">
      <w:pPr>
        <w:spacing w:before="80" w:after="40"/>
        <w:jc w:val="both"/>
      </w:pPr>
      <w:r>
        <w:rPr>
          <w:i/>
          <w:iCs/>
        </w:rPr>
        <w:t>D. Time-Series Forecasting with SARIMAX</w:t>
      </w:r>
    </w:p>
    <w:p w14:paraId="51DF04E6" w14:textId="37BA1A83" w:rsidR="00246F82" w:rsidRDefault="00395755" w:rsidP="00A4547E">
      <w:pPr>
        <w:pStyle w:val="BodyText"/>
        <w:jc w:val="both"/>
      </w:pPr>
      <w:r>
        <w:t xml:space="preserve">One SARIMAX model is fitted per symptom-region pair using </w:t>
      </w:r>
      <w:proofErr w:type="spellStart"/>
      <w:r>
        <w:t>statsmodels</w:t>
      </w:r>
      <w:proofErr w:type="spellEnd"/>
      <w:r>
        <w:t>. The order is (1,1,</w:t>
      </w:r>
      <w:r w:rsidR="007B0EC4">
        <w:t>1) (</w:t>
      </w:r>
      <w:r>
        <w:t xml:space="preserve">1,1,1,7)—first-order AR and MA terms with weekly seasonal components. Forty-eight models cover all eight-symptom, six-region combinations. When a model fails to </w:t>
      </w:r>
      <w:r>
        <w:t>converge, we fall back to a gradient boosting regressor on lagged features.</w:t>
      </w:r>
    </w:p>
    <w:p w14:paraId="73CBD2BA" w14:textId="77777777" w:rsidR="00246F82" w:rsidRDefault="00246F82" w:rsidP="00A4547E">
      <w:pPr>
        <w:spacing w:after="40"/>
        <w:jc w:val="both"/>
      </w:pPr>
    </w:p>
    <w:p w14:paraId="6D602E57" w14:textId="77777777" w:rsidR="00246F82" w:rsidRDefault="00395755" w:rsidP="00A4547E">
      <w:pPr>
        <w:pStyle w:val="BodyText"/>
        <w:jc w:val="both"/>
      </w:pPr>
      <w:r>
        <w:t>The SARIMAX specification for search volume series yₜ is:</w:t>
      </w:r>
    </w:p>
    <w:p w14:paraId="1DDEBAB7" w14:textId="77777777" w:rsidR="00246F82" w:rsidRDefault="00395755" w:rsidP="00406D95">
      <w:pPr>
        <w:spacing w:before="60" w:after="60"/>
        <w:jc w:val="center"/>
      </w:pPr>
      <w:r>
        <w:rPr>
          <w:i/>
          <w:iCs/>
        </w:rPr>
        <w:t>Φ(</w:t>
      </w:r>
      <w:proofErr w:type="spellStart"/>
      <w:r>
        <w:rPr>
          <w:i/>
          <w:iCs/>
        </w:rPr>
        <w:t>Bˢ</w:t>
      </w:r>
      <w:proofErr w:type="spellEnd"/>
      <w:r>
        <w:rPr>
          <w:i/>
          <w:iCs/>
        </w:rPr>
        <w:t>)φ(B)∇ˢ∇ᵈyₜ = Θ(</w:t>
      </w:r>
      <w:proofErr w:type="spellStart"/>
      <w:r>
        <w:rPr>
          <w:i/>
          <w:iCs/>
        </w:rPr>
        <w:t>Bˢ</w:t>
      </w:r>
      <w:proofErr w:type="spellEnd"/>
      <w:r>
        <w:rPr>
          <w:i/>
          <w:iCs/>
        </w:rPr>
        <w:t>)θ(B)εₜ + βxₜ</w:t>
      </w:r>
    </w:p>
    <w:p w14:paraId="04ADC2BE" w14:textId="77777777" w:rsidR="00246F82" w:rsidRDefault="00395755" w:rsidP="00A4547E">
      <w:pPr>
        <w:pStyle w:val="BodyText"/>
        <w:jc w:val="both"/>
      </w:pPr>
      <w:r>
        <w:t>where B is the backshift operator, φ and Φ are non-seasonal and seasonal AR polynomials, θ and Θ are their MA counterparts, ∇ and ∇ˢ denote regular and seasonal differencing, εₜ is white noise, and xₜ is the exogenous covariate vector.</w:t>
      </w:r>
    </w:p>
    <w:p w14:paraId="1914B8B6" w14:textId="77777777" w:rsidR="00246F82" w:rsidRDefault="00246F82" w:rsidP="00A4547E">
      <w:pPr>
        <w:spacing w:after="40"/>
        <w:jc w:val="both"/>
      </w:pPr>
    </w:p>
    <w:p w14:paraId="4AFECEBF" w14:textId="77777777" w:rsidR="00246F82" w:rsidRDefault="00395755" w:rsidP="00A4547E">
      <w:pPr>
        <w:spacing w:before="80" w:after="40"/>
        <w:jc w:val="both"/>
      </w:pPr>
      <w:r>
        <w:rPr>
          <w:i/>
          <w:iCs/>
        </w:rPr>
        <w:t xml:space="preserve">E. Risk Classification with </w:t>
      </w:r>
      <w:proofErr w:type="spellStart"/>
      <w:r>
        <w:rPr>
          <w:i/>
          <w:iCs/>
        </w:rPr>
        <w:t>XGBoost</w:t>
      </w:r>
      <w:proofErr w:type="spellEnd"/>
    </w:p>
    <w:p w14:paraId="2C4E4ACE" w14:textId="77777777" w:rsidR="00246F82" w:rsidRDefault="00395755" w:rsidP="00A4547E">
      <w:pPr>
        <w:pStyle w:val="BodyText"/>
        <w:jc w:val="both"/>
      </w:pPr>
      <w:r>
        <w:t xml:space="preserve">Outbreak risk is framed as four-class classification: Low, Medium, High, and Critical, mapped to quartiles of normalized search volume. The classifier trains on the 624-sample feature matrix with an 80/20 stratified split and five-fold cross-validation. Risk labels come from </w:t>
      </w:r>
      <w:proofErr w:type="spellStart"/>
      <w:r>
        <w:t>pd.cut</w:t>
      </w:r>
      <w:proofErr w:type="spellEnd"/>
      <w:r>
        <w:t xml:space="preserve"> binning on </w:t>
      </w:r>
      <w:proofErr w:type="spellStart"/>
      <w:r>
        <w:t>volume_mean</w:t>
      </w:r>
      <w:proofErr w:type="spellEnd"/>
      <w:r>
        <w:t xml:space="preserve">, replacing an earlier </w:t>
      </w:r>
      <w:proofErr w:type="spellStart"/>
      <w:proofErr w:type="gramStart"/>
      <w:r>
        <w:t>np.digitize</w:t>
      </w:r>
      <w:proofErr w:type="spellEnd"/>
      <w:proofErr w:type="gramEnd"/>
      <w:r>
        <w:t xml:space="preserve"> implementation that produced out-of-bounds indices when values fell exactly on bin boundaries.</w:t>
      </w:r>
    </w:p>
    <w:p w14:paraId="52989D5F" w14:textId="77777777" w:rsidR="00246F82" w:rsidRDefault="00246F82" w:rsidP="00A4547E">
      <w:pPr>
        <w:spacing w:after="40"/>
        <w:jc w:val="both"/>
      </w:pPr>
    </w:p>
    <w:p w14:paraId="43DA2BDD" w14:textId="77777777" w:rsidR="00246F82" w:rsidRDefault="00395755" w:rsidP="00A4547E">
      <w:pPr>
        <w:spacing w:before="80" w:after="40"/>
        <w:jc w:val="both"/>
      </w:pPr>
      <w:r>
        <w:rPr>
          <w:i/>
          <w:iCs/>
        </w:rPr>
        <w:t>F. Backend and Frontend</w:t>
      </w:r>
    </w:p>
    <w:p w14:paraId="23D19BC6" w14:textId="77777777" w:rsidR="00246F82" w:rsidRDefault="00395755" w:rsidP="00A4547E">
      <w:pPr>
        <w:pStyle w:val="BodyText"/>
        <w:jc w:val="both"/>
      </w:pPr>
      <w:r>
        <w:t xml:space="preserve">The </w:t>
      </w:r>
      <w:proofErr w:type="spellStart"/>
      <w:r>
        <w:t>FastAPI</w:t>
      </w:r>
      <w:proofErr w:type="spellEnd"/>
      <w:r>
        <w:t xml:space="preserve"> application exposes endpoints for trend retrieval, risk scoring, and SARIMAX forecasts. A WebSocket endpoint at /</w:t>
      </w:r>
      <w:proofErr w:type="spellStart"/>
      <w:r>
        <w:t>ws</w:t>
      </w:r>
      <w:proofErr w:type="spellEnd"/>
      <w:r>
        <w:t>/live-updates broadcasts updates every 30 seconds. The React frontend—built with Tailwind CSS, Recharts, and Framer Motion—renders live metrics, 14-day forecast charts, and a Leaflet regional risk map.</w:t>
      </w:r>
    </w:p>
    <w:p w14:paraId="3B51B047" w14:textId="77777777" w:rsidR="00246F82" w:rsidRDefault="00246F82" w:rsidP="00A4547E">
      <w:pPr>
        <w:spacing w:after="60"/>
        <w:jc w:val="both"/>
      </w:pPr>
    </w:p>
    <w:p w14:paraId="47E47A38" w14:textId="77777777" w:rsidR="00246F82" w:rsidRDefault="00395755" w:rsidP="00F90C21">
      <w:pPr>
        <w:spacing w:before="120" w:after="60"/>
        <w:jc w:val="center"/>
      </w:pPr>
      <w:r>
        <w:rPr>
          <w:smallCaps/>
        </w:rPr>
        <w:t>IV. RESULTS AND DISCUSSION</w:t>
      </w:r>
    </w:p>
    <w:p w14:paraId="23319BCC" w14:textId="77777777" w:rsidR="00246F82" w:rsidRDefault="00246F82" w:rsidP="00A4547E">
      <w:pPr>
        <w:spacing w:after="40"/>
        <w:jc w:val="both"/>
      </w:pPr>
    </w:p>
    <w:p w14:paraId="4132B8B3" w14:textId="77777777" w:rsidR="00246F82" w:rsidRDefault="00395755" w:rsidP="00A4547E">
      <w:pPr>
        <w:spacing w:before="80" w:after="40"/>
        <w:jc w:val="both"/>
      </w:pPr>
      <w:r>
        <w:rPr>
          <w:i/>
          <w:iCs/>
        </w:rPr>
        <w:t>A. Forecaster Performance</w:t>
      </w:r>
    </w:p>
    <w:p w14:paraId="51E491D4" w14:textId="77777777" w:rsidR="00246F82" w:rsidRDefault="00395755" w:rsidP="00A4547E">
      <w:pPr>
        <w:pStyle w:val="BodyText"/>
        <w:jc w:val="both"/>
      </w:pPr>
      <w:r>
        <w:t>All 48 SARIMAX models converged. Table I shows per-region mean RMSE and MAE. The overall mean RMSE is 10.01 and mean MAE is 6.16 on the 0-100 normalized scale—roughly 90.5% effective accuracy under the MAPE interpretation (6.16 / 65 ≈ 9.5% error, where 65 approximates mean search volume).</w:t>
      </w:r>
    </w:p>
    <w:p w14:paraId="48BB53F2" w14:textId="77777777" w:rsidR="00246F82" w:rsidRDefault="00246F82" w:rsidP="00A4547E">
      <w:pPr>
        <w:spacing w:after="40"/>
        <w:jc w:val="both"/>
      </w:pPr>
    </w:p>
    <w:p w14:paraId="55905443" w14:textId="77777777" w:rsidR="00246F82" w:rsidRDefault="00395755" w:rsidP="00F90C21">
      <w:pPr>
        <w:spacing w:before="40" w:after="20"/>
        <w:jc w:val="center"/>
      </w:pPr>
      <w:r>
        <w:rPr>
          <w:b/>
          <w:bCs/>
          <w:sz w:val="16"/>
          <w:szCs w:val="16"/>
        </w:rPr>
        <w:t>TABLE I.  SARIMAX Forecaster Results by Region</w:t>
      </w:r>
    </w:p>
    <w:tbl>
      <w:tblPr>
        <w:tblW w:w="50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1050"/>
        <w:gridCol w:w="1050"/>
        <w:gridCol w:w="1200"/>
        <w:gridCol w:w="1080"/>
      </w:tblGrid>
      <w:tr w:rsidR="00246F82" w14:paraId="48D2EF24" w14:textId="77777777" w:rsidTr="007B0EC4">
        <w:trPr>
          <w:jc w:val="center"/>
        </w:trPr>
        <w:tc>
          <w:tcPr>
            <w:tcW w:w="701" w:type="dxa"/>
            <w:tcBorders>
              <w:top w:val="single" w:sz="6" w:space="0" w:color="000000"/>
              <w:left w:val="single" w:sz="6" w:space="0" w:color="000000"/>
              <w:bottom w:val="single" w:sz="6" w:space="0" w:color="000000"/>
              <w:right w:val="single" w:sz="6" w:space="0" w:color="000000"/>
            </w:tcBorders>
            <w:shd w:val="clear" w:color="auto" w:fill="CCCCCC"/>
            <w:tcMar>
              <w:top w:w="40" w:type="dxa"/>
              <w:left w:w="80" w:type="dxa"/>
              <w:bottom w:w="40" w:type="dxa"/>
              <w:right w:w="80" w:type="dxa"/>
            </w:tcMar>
            <w:vAlign w:val="center"/>
          </w:tcPr>
          <w:p w14:paraId="1CFD7704" w14:textId="77777777" w:rsidR="00246F82" w:rsidRDefault="00395755" w:rsidP="00A4547E">
            <w:pPr>
              <w:jc w:val="both"/>
            </w:pPr>
            <w:r>
              <w:rPr>
                <w:b/>
                <w:bCs/>
                <w:sz w:val="16"/>
                <w:szCs w:val="16"/>
              </w:rPr>
              <w:t>Region</w:t>
            </w:r>
          </w:p>
        </w:tc>
        <w:tc>
          <w:tcPr>
            <w:tcW w:w="1050" w:type="dxa"/>
            <w:tcBorders>
              <w:top w:val="single" w:sz="6" w:space="0" w:color="000000"/>
              <w:left w:val="single" w:sz="6" w:space="0" w:color="000000"/>
              <w:bottom w:val="single" w:sz="6" w:space="0" w:color="000000"/>
              <w:right w:val="single" w:sz="6" w:space="0" w:color="000000"/>
            </w:tcBorders>
            <w:shd w:val="clear" w:color="auto" w:fill="CCCCCC"/>
            <w:tcMar>
              <w:top w:w="40" w:type="dxa"/>
              <w:left w:w="80" w:type="dxa"/>
              <w:bottom w:w="40" w:type="dxa"/>
              <w:right w:w="80" w:type="dxa"/>
            </w:tcMar>
            <w:vAlign w:val="center"/>
          </w:tcPr>
          <w:p w14:paraId="42CBA4C7" w14:textId="77777777" w:rsidR="00246F82" w:rsidRDefault="00395755" w:rsidP="00A4547E">
            <w:pPr>
              <w:jc w:val="both"/>
            </w:pPr>
            <w:proofErr w:type="spellStart"/>
            <w:r>
              <w:rPr>
                <w:b/>
                <w:bCs/>
                <w:sz w:val="16"/>
                <w:szCs w:val="16"/>
              </w:rPr>
              <w:t>Avg</w:t>
            </w:r>
            <w:proofErr w:type="spellEnd"/>
            <w:r>
              <w:rPr>
                <w:b/>
                <w:bCs/>
                <w:sz w:val="16"/>
                <w:szCs w:val="16"/>
              </w:rPr>
              <w:t xml:space="preserve"> RMSE</w:t>
            </w:r>
          </w:p>
        </w:tc>
        <w:tc>
          <w:tcPr>
            <w:tcW w:w="1050" w:type="dxa"/>
            <w:tcBorders>
              <w:top w:val="single" w:sz="6" w:space="0" w:color="000000"/>
              <w:left w:val="single" w:sz="6" w:space="0" w:color="000000"/>
              <w:bottom w:val="single" w:sz="6" w:space="0" w:color="000000"/>
              <w:right w:val="single" w:sz="6" w:space="0" w:color="000000"/>
            </w:tcBorders>
            <w:shd w:val="clear" w:color="auto" w:fill="CCCCCC"/>
            <w:tcMar>
              <w:top w:w="40" w:type="dxa"/>
              <w:left w:w="80" w:type="dxa"/>
              <w:bottom w:w="40" w:type="dxa"/>
              <w:right w:w="80" w:type="dxa"/>
            </w:tcMar>
            <w:vAlign w:val="center"/>
          </w:tcPr>
          <w:p w14:paraId="197D3558" w14:textId="77777777" w:rsidR="00246F82" w:rsidRDefault="00395755" w:rsidP="00A4547E">
            <w:pPr>
              <w:jc w:val="both"/>
            </w:pPr>
            <w:proofErr w:type="spellStart"/>
            <w:r>
              <w:rPr>
                <w:b/>
                <w:bCs/>
                <w:sz w:val="16"/>
                <w:szCs w:val="16"/>
              </w:rPr>
              <w:t>Avg</w:t>
            </w:r>
            <w:proofErr w:type="spellEnd"/>
            <w:r>
              <w:rPr>
                <w:b/>
                <w:bCs/>
                <w:sz w:val="16"/>
                <w:szCs w:val="16"/>
              </w:rPr>
              <w:t xml:space="preserve"> MAE</w:t>
            </w:r>
          </w:p>
        </w:tc>
        <w:tc>
          <w:tcPr>
            <w:tcW w:w="1200" w:type="dxa"/>
            <w:tcBorders>
              <w:top w:val="single" w:sz="6" w:space="0" w:color="000000"/>
              <w:left w:val="single" w:sz="6" w:space="0" w:color="000000"/>
              <w:bottom w:val="single" w:sz="6" w:space="0" w:color="000000"/>
              <w:right w:val="single" w:sz="6" w:space="0" w:color="000000"/>
            </w:tcBorders>
            <w:shd w:val="clear" w:color="auto" w:fill="CCCCCC"/>
            <w:tcMar>
              <w:top w:w="40" w:type="dxa"/>
              <w:left w:w="80" w:type="dxa"/>
              <w:bottom w:w="40" w:type="dxa"/>
              <w:right w:w="80" w:type="dxa"/>
            </w:tcMar>
            <w:vAlign w:val="center"/>
          </w:tcPr>
          <w:p w14:paraId="73743CA5" w14:textId="77777777" w:rsidR="00246F82" w:rsidRDefault="00395755" w:rsidP="00A4547E">
            <w:pPr>
              <w:jc w:val="both"/>
            </w:pPr>
            <w:r>
              <w:rPr>
                <w:b/>
                <w:bCs/>
                <w:sz w:val="16"/>
                <w:szCs w:val="16"/>
              </w:rPr>
              <w:t>Best Keyword</w:t>
            </w:r>
          </w:p>
        </w:tc>
        <w:tc>
          <w:tcPr>
            <w:tcW w:w="1080" w:type="dxa"/>
            <w:tcBorders>
              <w:top w:val="single" w:sz="6" w:space="0" w:color="000000"/>
              <w:left w:val="single" w:sz="6" w:space="0" w:color="000000"/>
              <w:bottom w:val="single" w:sz="6" w:space="0" w:color="000000"/>
              <w:right w:val="single" w:sz="6" w:space="0" w:color="000000"/>
            </w:tcBorders>
            <w:shd w:val="clear" w:color="auto" w:fill="CCCCCC"/>
            <w:tcMar>
              <w:top w:w="40" w:type="dxa"/>
              <w:left w:w="80" w:type="dxa"/>
              <w:bottom w:w="40" w:type="dxa"/>
              <w:right w:w="80" w:type="dxa"/>
            </w:tcMar>
            <w:vAlign w:val="center"/>
          </w:tcPr>
          <w:p w14:paraId="4D477150" w14:textId="77777777" w:rsidR="00246F82" w:rsidRDefault="00395755" w:rsidP="00A4547E">
            <w:pPr>
              <w:jc w:val="both"/>
            </w:pPr>
            <w:r>
              <w:rPr>
                <w:b/>
                <w:bCs/>
                <w:sz w:val="16"/>
                <w:szCs w:val="16"/>
              </w:rPr>
              <w:t>Best RMSE</w:t>
            </w:r>
          </w:p>
        </w:tc>
      </w:tr>
      <w:tr w:rsidR="00246F82" w14:paraId="3AC290F9" w14:textId="77777777" w:rsidTr="007B0EC4">
        <w:trPr>
          <w:jc w:val="center"/>
        </w:trPr>
        <w:tc>
          <w:tcPr>
            <w:tcW w:w="701"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5F2D1330" w14:textId="77777777" w:rsidR="00246F82" w:rsidRDefault="00395755" w:rsidP="00A4547E">
            <w:pPr>
              <w:jc w:val="both"/>
            </w:pPr>
            <w:r>
              <w:rPr>
                <w:sz w:val="16"/>
                <w:szCs w:val="16"/>
              </w:rPr>
              <w:t>US</w:t>
            </w:r>
          </w:p>
        </w:tc>
        <w:tc>
          <w:tcPr>
            <w:tcW w:w="105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5F4613D8" w14:textId="77777777" w:rsidR="00246F82" w:rsidRDefault="00395755" w:rsidP="00A4547E">
            <w:pPr>
              <w:jc w:val="both"/>
            </w:pPr>
            <w:r>
              <w:rPr>
                <w:sz w:val="16"/>
                <w:szCs w:val="16"/>
              </w:rPr>
              <w:t>10.14</w:t>
            </w:r>
          </w:p>
        </w:tc>
        <w:tc>
          <w:tcPr>
            <w:tcW w:w="105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1E742587" w14:textId="77777777" w:rsidR="00246F82" w:rsidRDefault="00395755" w:rsidP="00A4547E">
            <w:pPr>
              <w:jc w:val="both"/>
            </w:pPr>
            <w:r>
              <w:rPr>
                <w:sz w:val="16"/>
                <w:szCs w:val="16"/>
              </w:rPr>
              <w:t>5.85</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68D080A3" w14:textId="77777777" w:rsidR="00246F82" w:rsidRDefault="00395755" w:rsidP="00A4547E">
            <w:pPr>
              <w:jc w:val="both"/>
            </w:pPr>
            <w:r>
              <w:rPr>
                <w:sz w:val="16"/>
                <w:szCs w:val="16"/>
              </w:rPr>
              <w:t>Flu</w:t>
            </w:r>
          </w:p>
        </w:tc>
        <w:tc>
          <w:tcPr>
            <w:tcW w:w="108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21E3C9D4" w14:textId="77777777" w:rsidR="00246F82" w:rsidRDefault="00395755" w:rsidP="00A4547E">
            <w:pPr>
              <w:jc w:val="both"/>
            </w:pPr>
            <w:r>
              <w:rPr>
                <w:sz w:val="16"/>
                <w:szCs w:val="16"/>
              </w:rPr>
              <w:t>6.86</w:t>
            </w:r>
          </w:p>
        </w:tc>
      </w:tr>
      <w:tr w:rsidR="00246F82" w14:paraId="0A50D1B6" w14:textId="77777777" w:rsidTr="007B0EC4">
        <w:trPr>
          <w:jc w:val="center"/>
        </w:trPr>
        <w:tc>
          <w:tcPr>
            <w:tcW w:w="701"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55407AD2" w14:textId="77777777" w:rsidR="00246F82" w:rsidRDefault="00395755" w:rsidP="00A4547E">
            <w:pPr>
              <w:jc w:val="both"/>
            </w:pPr>
            <w:r>
              <w:rPr>
                <w:sz w:val="16"/>
                <w:szCs w:val="16"/>
              </w:rPr>
              <w:t>US-CA</w:t>
            </w:r>
          </w:p>
        </w:tc>
        <w:tc>
          <w:tcPr>
            <w:tcW w:w="105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25B4A661" w14:textId="77777777" w:rsidR="00246F82" w:rsidRDefault="00395755" w:rsidP="00A4547E">
            <w:pPr>
              <w:jc w:val="both"/>
            </w:pPr>
            <w:r>
              <w:rPr>
                <w:sz w:val="16"/>
                <w:szCs w:val="16"/>
              </w:rPr>
              <w:t>9.63</w:t>
            </w:r>
          </w:p>
        </w:tc>
        <w:tc>
          <w:tcPr>
            <w:tcW w:w="105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1E5F93C8" w14:textId="77777777" w:rsidR="00246F82" w:rsidRDefault="00395755" w:rsidP="00A4547E">
            <w:pPr>
              <w:jc w:val="both"/>
            </w:pPr>
            <w:r>
              <w:rPr>
                <w:sz w:val="16"/>
                <w:szCs w:val="16"/>
              </w:rPr>
              <w:t>5.58</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53B53081" w14:textId="77777777" w:rsidR="00246F82" w:rsidRDefault="00395755" w:rsidP="00A4547E">
            <w:pPr>
              <w:jc w:val="both"/>
            </w:pPr>
            <w:r>
              <w:rPr>
                <w:sz w:val="16"/>
                <w:szCs w:val="16"/>
              </w:rPr>
              <w:t>Fatigue</w:t>
            </w:r>
          </w:p>
        </w:tc>
        <w:tc>
          <w:tcPr>
            <w:tcW w:w="108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69129E53" w14:textId="77777777" w:rsidR="00246F82" w:rsidRDefault="00395755" w:rsidP="00A4547E">
            <w:pPr>
              <w:jc w:val="both"/>
            </w:pPr>
            <w:r>
              <w:rPr>
                <w:sz w:val="16"/>
                <w:szCs w:val="16"/>
              </w:rPr>
              <w:t>7.68</w:t>
            </w:r>
          </w:p>
        </w:tc>
      </w:tr>
      <w:tr w:rsidR="00246F82" w14:paraId="6E225D8E" w14:textId="77777777" w:rsidTr="007B0EC4">
        <w:trPr>
          <w:jc w:val="center"/>
        </w:trPr>
        <w:tc>
          <w:tcPr>
            <w:tcW w:w="701"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5989FABF" w14:textId="77777777" w:rsidR="00246F82" w:rsidRDefault="00395755" w:rsidP="00A4547E">
            <w:pPr>
              <w:jc w:val="both"/>
            </w:pPr>
            <w:r>
              <w:rPr>
                <w:sz w:val="16"/>
                <w:szCs w:val="16"/>
              </w:rPr>
              <w:t>US-NY</w:t>
            </w:r>
          </w:p>
        </w:tc>
        <w:tc>
          <w:tcPr>
            <w:tcW w:w="105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1D65641B" w14:textId="77777777" w:rsidR="00246F82" w:rsidRDefault="00395755" w:rsidP="00A4547E">
            <w:pPr>
              <w:jc w:val="both"/>
            </w:pPr>
            <w:r>
              <w:rPr>
                <w:sz w:val="16"/>
                <w:szCs w:val="16"/>
              </w:rPr>
              <w:t>9.88</w:t>
            </w:r>
          </w:p>
        </w:tc>
        <w:tc>
          <w:tcPr>
            <w:tcW w:w="105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55BE16CE" w14:textId="77777777" w:rsidR="00246F82" w:rsidRDefault="00395755" w:rsidP="00A4547E">
            <w:pPr>
              <w:jc w:val="both"/>
            </w:pPr>
            <w:r>
              <w:rPr>
                <w:sz w:val="16"/>
                <w:szCs w:val="16"/>
              </w:rPr>
              <w:t>6.18</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787DC31C" w14:textId="77777777" w:rsidR="00246F82" w:rsidRDefault="00395755" w:rsidP="00A4547E">
            <w:pPr>
              <w:jc w:val="both"/>
            </w:pPr>
            <w:r>
              <w:rPr>
                <w:sz w:val="16"/>
                <w:szCs w:val="16"/>
              </w:rPr>
              <w:t>Flu</w:t>
            </w:r>
          </w:p>
        </w:tc>
        <w:tc>
          <w:tcPr>
            <w:tcW w:w="108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0BB3070E" w14:textId="77777777" w:rsidR="00246F82" w:rsidRDefault="00395755" w:rsidP="00A4547E">
            <w:pPr>
              <w:jc w:val="both"/>
            </w:pPr>
            <w:r>
              <w:rPr>
                <w:sz w:val="16"/>
                <w:szCs w:val="16"/>
              </w:rPr>
              <w:t>6.01</w:t>
            </w:r>
          </w:p>
        </w:tc>
      </w:tr>
      <w:tr w:rsidR="00246F82" w14:paraId="15E05068" w14:textId="77777777" w:rsidTr="007B0EC4">
        <w:trPr>
          <w:jc w:val="center"/>
        </w:trPr>
        <w:tc>
          <w:tcPr>
            <w:tcW w:w="701"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376BF6A4" w14:textId="77777777" w:rsidR="00246F82" w:rsidRDefault="00395755" w:rsidP="00A4547E">
            <w:pPr>
              <w:jc w:val="both"/>
            </w:pPr>
            <w:r>
              <w:rPr>
                <w:sz w:val="16"/>
                <w:szCs w:val="16"/>
              </w:rPr>
              <w:t>US-TX</w:t>
            </w:r>
          </w:p>
        </w:tc>
        <w:tc>
          <w:tcPr>
            <w:tcW w:w="105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43E1B457" w14:textId="77777777" w:rsidR="00246F82" w:rsidRDefault="00395755" w:rsidP="00A4547E">
            <w:pPr>
              <w:jc w:val="both"/>
            </w:pPr>
            <w:r>
              <w:rPr>
                <w:sz w:val="16"/>
                <w:szCs w:val="16"/>
              </w:rPr>
              <w:t>10.38</w:t>
            </w:r>
          </w:p>
        </w:tc>
        <w:tc>
          <w:tcPr>
            <w:tcW w:w="105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44D04160" w14:textId="77777777" w:rsidR="00246F82" w:rsidRDefault="00395755" w:rsidP="00A4547E">
            <w:pPr>
              <w:jc w:val="both"/>
            </w:pPr>
            <w:r>
              <w:rPr>
                <w:sz w:val="16"/>
                <w:szCs w:val="16"/>
              </w:rPr>
              <w:t>6.59</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0468DC91" w14:textId="77777777" w:rsidR="00246F82" w:rsidRDefault="00395755" w:rsidP="00A4547E">
            <w:pPr>
              <w:jc w:val="both"/>
            </w:pPr>
            <w:r>
              <w:rPr>
                <w:sz w:val="16"/>
                <w:szCs w:val="16"/>
              </w:rPr>
              <w:t>Flu</w:t>
            </w:r>
          </w:p>
        </w:tc>
        <w:tc>
          <w:tcPr>
            <w:tcW w:w="108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45E24E3D" w14:textId="77777777" w:rsidR="00246F82" w:rsidRDefault="00395755" w:rsidP="00A4547E">
            <w:pPr>
              <w:jc w:val="both"/>
            </w:pPr>
            <w:r>
              <w:rPr>
                <w:sz w:val="16"/>
                <w:szCs w:val="16"/>
              </w:rPr>
              <w:t>8.09</w:t>
            </w:r>
          </w:p>
        </w:tc>
      </w:tr>
      <w:tr w:rsidR="00246F82" w14:paraId="231734D6" w14:textId="77777777" w:rsidTr="007B0EC4">
        <w:trPr>
          <w:jc w:val="center"/>
        </w:trPr>
        <w:tc>
          <w:tcPr>
            <w:tcW w:w="701"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59795BE1" w14:textId="77777777" w:rsidR="00246F82" w:rsidRDefault="00395755" w:rsidP="00A4547E">
            <w:pPr>
              <w:jc w:val="both"/>
            </w:pPr>
            <w:r>
              <w:rPr>
                <w:sz w:val="16"/>
                <w:szCs w:val="16"/>
              </w:rPr>
              <w:t>US-FL</w:t>
            </w:r>
          </w:p>
        </w:tc>
        <w:tc>
          <w:tcPr>
            <w:tcW w:w="105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1FC6A620" w14:textId="77777777" w:rsidR="00246F82" w:rsidRDefault="00395755" w:rsidP="00A4547E">
            <w:pPr>
              <w:jc w:val="both"/>
            </w:pPr>
            <w:r>
              <w:rPr>
                <w:sz w:val="16"/>
                <w:szCs w:val="16"/>
              </w:rPr>
              <w:t>10.53</w:t>
            </w:r>
          </w:p>
        </w:tc>
        <w:tc>
          <w:tcPr>
            <w:tcW w:w="105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22DFD5DF" w14:textId="77777777" w:rsidR="00246F82" w:rsidRDefault="00395755" w:rsidP="00A4547E">
            <w:pPr>
              <w:jc w:val="both"/>
            </w:pPr>
            <w:r>
              <w:rPr>
                <w:sz w:val="16"/>
                <w:szCs w:val="16"/>
              </w:rPr>
              <w:t>6.52</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001C80FE" w14:textId="77777777" w:rsidR="00246F82" w:rsidRDefault="00395755" w:rsidP="00A4547E">
            <w:pPr>
              <w:jc w:val="both"/>
            </w:pPr>
            <w:r>
              <w:rPr>
                <w:sz w:val="16"/>
                <w:szCs w:val="16"/>
              </w:rPr>
              <w:t>Flu</w:t>
            </w:r>
          </w:p>
        </w:tc>
        <w:tc>
          <w:tcPr>
            <w:tcW w:w="108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608D2D7E" w14:textId="77777777" w:rsidR="00246F82" w:rsidRDefault="00395755" w:rsidP="00A4547E">
            <w:pPr>
              <w:jc w:val="both"/>
            </w:pPr>
            <w:r>
              <w:rPr>
                <w:sz w:val="16"/>
                <w:szCs w:val="16"/>
              </w:rPr>
              <w:t>7.96</w:t>
            </w:r>
          </w:p>
        </w:tc>
      </w:tr>
      <w:tr w:rsidR="00246F82" w14:paraId="34F18C08" w14:textId="77777777" w:rsidTr="007B0EC4">
        <w:trPr>
          <w:jc w:val="center"/>
        </w:trPr>
        <w:tc>
          <w:tcPr>
            <w:tcW w:w="701"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4C52B37C" w14:textId="77777777" w:rsidR="00246F82" w:rsidRDefault="00395755" w:rsidP="00A4547E">
            <w:pPr>
              <w:jc w:val="both"/>
            </w:pPr>
            <w:r>
              <w:rPr>
                <w:sz w:val="16"/>
                <w:szCs w:val="16"/>
              </w:rPr>
              <w:t>US-IL</w:t>
            </w:r>
          </w:p>
        </w:tc>
        <w:tc>
          <w:tcPr>
            <w:tcW w:w="105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1BBC694D" w14:textId="77777777" w:rsidR="00246F82" w:rsidRDefault="00395755" w:rsidP="00A4547E">
            <w:pPr>
              <w:jc w:val="both"/>
            </w:pPr>
            <w:r>
              <w:rPr>
                <w:sz w:val="16"/>
                <w:szCs w:val="16"/>
              </w:rPr>
              <w:t>10.12</w:t>
            </w:r>
          </w:p>
        </w:tc>
        <w:tc>
          <w:tcPr>
            <w:tcW w:w="105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26206CDE" w14:textId="77777777" w:rsidR="00246F82" w:rsidRDefault="00395755" w:rsidP="00A4547E">
            <w:pPr>
              <w:jc w:val="both"/>
            </w:pPr>
            <w:r>
              <w:rPr>
                <w:sz w:val="16"/>
                <w:szCs w:val="16"/>
              </w:rPr>
              <w:t>6.57</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44FD3579" w14:textId="77777777" w:rsidR="00246F82" w:rsidRDefault="00395755" w:rsidP="00A4547E">
            <w:pPr>
              <w:jc w:val="both"/>
            </w:pPr>
            <w:r>
              <w:rPr>
                <w:sz w:val="16"/>
                <w:szCs w:val="16"/>
              </w:rPr>
              <w:t>Flu</w:t>
            </w:r>
          </w:p>
        </w:tc>
        <w:tc>
          <w:tcPr>
            <w:tcW w:w="108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40F93EF8" w14:textId="77777777" w:rsidR="00246F82" w:rsidRDefault="00395755" w:rsidP="00A4547E">
            <w:pPr>
              <w:jc w:val="both"/>
            </w:pPr>
            <w:r>
              <w:rPr>
                <w:sz w:val="16"/>
                <w:szCs w:val="16"/>
              </w:rPr>
              <w:t>7.43</w:t>
            </w:r>
          </w:p>
        </w:tc>
      </w:tr>
      <w:tr w:rsidR="00246F82" w14:paraId="2AEBB4E9" w14:textId="77777777" w:rsidTr="007B0EC4">
        <w:trPr>
          <w:jc w:val="center"/>
        </w:trPr>
        <w:tc>
          <w:tcPr>
            <w:tcW w:w="701"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3195E3E0" w14:textId="77777777" w:rsidR="00246F82" w:rsidRDefault="00395755" w:rsidP="00A4547E">
            <w:pPr>
              <w:jc w:val="both"/>
            </w:pPr>
            <w:r>
              <w:rPr>
                <w:sz w:val="16"/>
                <w:szCs w:val="16"/>
              </w:rPr>
              <w:t>Overall</w:t>
            </w:r>
          </w:p>
        </w:tc>
        <w:tc>
          <w:tcPr>
            <w:tcW w:w="105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5E53E177" w14:textId="77777777" w:rsidR="00246F82" w:rsidRDefault="00395755" w:rsidP="00A4547E">
            <w:pPr>
              <w:jc w:val="both"/>
            </w:pPr>
            <w:r>
              <w:rPr>
                <w:sz w:val="16"/>
                <w:szCs w:val="16"/>
              </w:rPr>
              <w:t>10.01</w:t>
            </w:r>
          </w:p>
        </w:tc>
        <w:tc>
          <w:tcPr>
            <w:tcW w:w="105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52FD6AF2" w14:textId="77777777" w:rsidR="00246F82" w:rsidRDefault="00395755" w:rsidP="00A4547E">
            <w:pPr>
              <w:jc w:val="both"/>
            </w:pPr>
            <w:r>
              <w:rPr>
                <w:sz w:val="16"/>
                <w:szCs w:val="16"/>
              </w:rPr>
              <w:t>6.16</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5EFCA226" w14:textId="77777777" w:rsidR="00246F82" w:rsidRDefault="00395755" w:rsidP="00A4547E">
            <w:pPr>
              <w:jc w:val="both"/>
            </w:pPr>
            <w:r>
              <w:rPr>
                <w:sz w:val="16"/>
                <w:szCs w:val="16"/>
              </w:rPr>
              <w:t>—</w:t>
            </w:r>
          </w:p>
        </w:tc>
        <w:tc>
          <w:tcPr>
            <w:tcW w:w="108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1CE57CA6" w14:textId="77777777" w:rsidR="00246F82" w:rsidRDefault="00395755" w:rsidP="00A4547E">
            <w:pPr>
              <w:jc w:val="both"/>
            </w:pPr>
            <w:r>
              <w:rPr>
                <w:sz w:val="16"/>
                <w:szCs w:val="16"/>
              </w:rPr>
              <w:t>—</w:t>
            </w:r>
          </w:p>
        </w:tc>
      </w:tr>
    </w:tbl>
    <w:p w14:paraId="2F8828DC" w14:textId="77777777" w:rsidR="00246F82" w:rsidRDefault="00246F82" w:rsidP="00A4547E">
      <w:pPr>
        <w:spacing w:after="40"/>
        <w:jc w:val="both"/>
      </w:pPr>
    </w:p>
    <w:p w14:paraId="15944E13" w14:textId="77777777" w:rsidR="00246F82" w:rsidRDefault="00395755" w:rsidP="00A4547E">
      <w:pPr>
        <w:pStyle w:val="BodyText"/>
        <w:jc w:val="both"/>
      </w:pPr>
      <w:r>
        <w:t>Fever is consistently the hardest keyword to forecast, with RMSE in the 13-14 range across all regions—it spikes sharply during acute events and drops quickly, a pattern that weekly SARIMAX handles poorly. Flu follows a smooth seasonal curve and achieves the lowest errors in four of the six regions. Fatigue and headache, which have high baseline volumes, show proportionally smaller errors when measured as MAPE.</w:t>
      </w:r>
    </w:p>
    <w:p w14:paraId="7583F3AF" w14:textId="77777777" w:rsidR="00246F82" w:rsidRDefault="00246F82" w:rsidP="00A4547E">
      <w:pPr>
        <w:spacing w:after="40"/>
        <w:jc w:val="both"/>
      </w:pPr>
    </w:p>
    <w:p w14:paraId="62287709" w14:textId="77777777" w:rsidR="00246F82" w:rsidRDefault="00395755" w:rsidP="00A4547E">
      <w:pPr>
        <w:spacing w:before="80" w:after="40"/>
        <w:jc w:val="both"/>
      </w:pPr>
      <w:r>
        <w:rPr>
          <w:i/>
          <w:iCs/>
        </w:rPr>
        <w:t>B. Classifier Performance</w:t>
      </w:r>
    </w:p>
    <w:p w14:paraId="456B74DA" w14:textId="77777777" w:rsidR="00246F82" w:rsidRDefault="00395755" w:rsidP="00A4547E">
      <w:pPr>
        <w:pStyle w:val="BodyText"/>
        <w:jc w:val="both"/>
      </w:pPr>
      <w:r>
        <w:t xml:space="preserve">The </w:t>
      </w:r>
      <w:proofErr w:type="spellStart"/>
      <w:r>
        <w:t>XGBoost</w:t>
      </w:r>
      <w:proofErr w:type="spellEnd"/>
      <w:r>
        <w:t xml:space="preserve"> classifier achieves 100% hold-out accuracy and 0.9984 ± 0.0032 cross-validation score. This needs to be read carefully: the labels are constructed from the same feature that dominates the input, </w:t>
      </w:r>
      <w:r>
        <w:lastRenderedPageBreak/>
        <w:t>so the decision boundaries are nearly deterministic. The model is not unusually capable; the task, as currently set up, is not genuinely hard. Table II shows the numbers.</w:t>
      </w:r>
    </w:p>
    <w:p w14:paraId="466EAE34" w14:textId="77777777" w:rsidR="00246F82" w:rsidRDefault="00246F82" w:rsidP="00A4547E">
      <w:pPr>
        <w:spacing w:after="40"/>
        <w:jc w:val="both"/>
      </w:pPr>
    </w:p>
    <w:p w14:paraId="1F1DE705" w14:textId="77777777" w:rsidR="00246F82" w:rsidRDefault="00395755" w:rsidP="00F90C21">
      <w:pPr>
        <w:spacing w:before="40" w:after="20"/>
        <w:jc w:val="center"/>
      </w:pPr>
      <w:r>
        <w:rPr>
          <w:b/>
          <w:bCs/>
          <w:sz w:val="16"/>
          <w:szCs w:val="16"/>
        </w:rPr>
        <w:t>TABLE II.  Risk Classifier Performance Summary</w:t>
      </w:r>
    </w:p>
    <w:tbl>
      <w:tblPr>
        <w:tblW w:w="52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4"/>
        <w:gridCol w:w="1072"/>
        <w:gridCol w:w="1073"/>
        <w:gridCol w:w="1073"/>
        <w:gridCol w:w="1247"/>
      </w:tblGrid>
      <w:tr w:rsidR="00246F82" w14:paraId="77EA4DB5" w14:textId="77777777" w:rsidTr="007B0EC4">
        <w:trPr>
          <w:jc w:val="center"/>
        </w:trPr>
        <w:tc>
          <w:tcPr>
            <w:tcW w:w="739" w:type="dxa"/>
            <w:tcBorders>
              <w:top w:val="single" w:sz="6" w:space="0" w:color="000000"/>
              <w:left w:val="single" w:sz="6" w:space="0" w:color="000000"/>
              <w:bottom w:val="single" w:sz="6" w:space="0" w:color="000000"/>
              <w:right w:val="single" w:sz="6" w:space="0" w:color="000000"/>
            </w:tcBorders>
            <w:shd w:val="clear" w:color="auto" w:fill="CCCCCC"/>
            <w:tcMar>
              <w:top w:w="40" w:type="dxa"/>
              <w:left w:w="80" w:type="dxa"/>
              <w:bottom w:w="40" w:type="dxa"/>
              <w:right w:w="80" w:type="dxa"/>
            </w:tcMar>
            <w:vAlign w:val="center"/>
          </w:tcPr>
          <w:p w14:paraId="59347465" w14:textId="77777777" w:rsidR="00246F82" w:rsidRDefault="00395755" w:rsidP="00A4547E">
            <w:pPr>
              <w:jc w:val="both"/>
            </w:pPr>
            <w:r>
              <w:rPr>
                <w:b/>
                <w:bCs/>
                <w:sz w:val="16"/>
                <w:szCs w:val="16"/>
              </w:rPr>
              <w:t>Metric</w:t>
            </w:r>
          </w:p>
        </w:tc>
        <w:tc>
          <w:tcPr>
            <w:tcW w:w="1080" w:type="dxa"/>
            <w:tcBorders>
              <w:top w:val="single" w:sz="6" w:space="0" w:color="000000"/>
              <w:left w:val="single" w:sz="6" w:space="0" w:color="000000"/>
              <w:bottom w:val="single" w:sz="6" w:space="0" w:color="000000"/>
              <w:right w:val="single" w:sz="6" w:space="0" w:color="000000"/>
            </w:tcBorders>
            <w:shd w:val="clear" w:color="auto" w:fill="CCCCCC"/>
            <w:tcMar>
              <w:top w:w="40" w:type="dxa"/>
              <w:left w:w="80" w:type="dxa"/>
              <w:bottom w:w="40" w:type="dxa"/>
              <w:right w:w="80" w:type="dxa"/>
            </w:tcMar>
            <w:vAlign w:val="center"/>
          </w:tcPr>
          <w:p w14:paraId="4C622EC4" w14:textId="77777777" w:rsidR="00246F82" w:rsidRDefault="00395755" w:rsidP="00A4547E">
            <w:pPr>
              <w:jc w:val="both"/>
            </w:pPr>
            <w:r>
              <w:rPr>
                <w:b/>
                <w:bCs/>
                <w:sz w:val="16"/>
                <w:szCs w:val="16"/>
              </w:rPr>
              <w:t>Value</w:t>
            </w:r>
          </w:p>
        </w:tc>
        <w:tc>
          <w:tcPr>
            <w:tcW w:w="1080" w:type="dxa"/>
            <w:tcBorders>
              <w:top w:val="single" w:sz="6" w:space="0" w:color="000000"/>
              <w:left w:val="single" w:sz="6" w:space="0" w:color="000000"/>
              <w:bottom w:val="single" w:sz="6" w:space="0" w:color="000000"/>
              <w:right w:val="single" w:sz="6" w:space="0" w:color="000000"/>
            </w:tcBorders>
            <w:shd w:val="clear" w:color="auto" w:fill="CCCCCC"/>
            <w:tcMar>
              <w:top w:w="40" w:type="dxa"/>
              <w:left w:w="80" w:type="dxa"/>
              <w:bottom w:w="40" w:type="dxa"/>
              <w:right w:w="80" w:type="dxa"/>
            </w:tcMar>
            <w:vAlign w:val="center"/>
          </w:tcPr>
          <w:p w14:paraId="6DA8FA81" w14:textId="77777777" w:rsidR="00246F82" w:rsidRDefault="00395755" w:rsidP="00A4547E">
            <w:pPr>
              <w:jc w:val="both"/>
            </w:pPr>
            <w:r>
              <w:rPr>
                <w:b/>
                <w:bCs/>
                <w:sz w:val="16"/>
                <w:szCs w:val="16"/>
              </w:rPr>
              <w:t>Train Samples</w:t>
            </w:r>
          </w:p>
        </w:tc>
        <w:tc>
          <w:tcPr>
            <w:tcW w:w="1080" w:type="dxa"/>
            <w:tcBorders>
              <w:top w:val="single" w:sz="6" w:space="0" w:color="000000"/>
              <w:left w:val="single" w:sz="6" w:space="0" w:color="000000"/>
              <w:bottom w:val="single" w:sz="6" w:space="0" w:color="000000"/>
              <w:right w:val="single" w:sz="6" w:space="0" w:color="000000"/>
            </w:tcBorders>
            <w:shd w:val="clear" w:color="auto" w:fill="CCCCCC"/>
            <w:tcMar>
              <w:top w:w="40" w:type="dxa"/>
              <w:left w:w="80" w:type="dxa"/>
              <w:bottom w:w="40" w:type="dxa"/>
              <w:right w:w="80" w:type="dxa"/>
            </w:tcMar>
            <w:vAlign w:val="center"/>
          </w:tcPr>
          <w:p w14:paraId="069F16E3" w14:textId="77777777" w:rsidR="00246F82" w:rsidRDefault="00395755" w:rsidP="00A4547E">
            <w:pPr>
              <w:jc w:val="both"/>
            </w:pPr>
            <w:r>
              <w:rPr>
                <w:b/>
                <w:bCs/>
                <w:sz w:val="16"/>
                <w:szCs w:val="16"/>
              </w:rPr>
              <w:t>Test Samples</w:t>
            </w:r>
          </w:p>
        </w:tc>
        <w:tc>
          <w:tcPr>
            <w:tcW w:w="1260" w:type="dxa"/>
            <w:tcBorders>
              <w:top w:val="single" w:sz="6" w:space="0" w:color="000000"/>
              <w:left w:val="single" w:sz="6" w:space="0" w:color="000000"/>
              <w:bottom w:val="single" w:sz="6" w:space="0" w:color="000000"/>
              <w:right w:val="single" w:sz="6" w:space="0" w:color="000000"/>
            </w:tcBorders>
            <w:shd w:val="clear" w:color="auto" w:fill="CCCCCC"/>
            <w:tcMar>
              <w:top w:w="40" w:type="dxa"/>
              <w:left w:w="80" w:type="dxa"/>
              <w:bottom w:w="40" w:type="dxa"/>
              <w:right w:w="80" w:type="dxa"/>
            </w:tcMar>
            <w:vAlign w:val="center"/>
          </w:tcPr>
          <w:p w14:paraId="203DA4DC" w14:textId="77777777" w:rsidR="00246F82" w:rsidRDefault="00395755" w:rsidP="00A4547E">
            <w:pPr>
              <w:jc w:val="both"/>
            </w:pPr>
            <w:r>
              <w:rPr>
                <w:b/>
                <w:bCs/>
                <w:sz w:val="16"/>
                <w:szCs w:val="16"/>
              </w:rPr>
              <w:t>CV Score</w:t>
            </w:r>
          </w:p>
        </w:tc>
      </w:tr>
      <w:tr w:rsidR="00246F82" w14:paraId="39E3082C" w14:textId="77777777" w:rsidTr="007B0EC4">
        <w:trPr>
          <w:jc w:val="center"/>
        </w:trPr>
        <w:tc>
          <w:tcPr>
            <w:tcW w:w="739"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72B40506" w14:textId="77777777" w:rsidR="00246F82" w:rsidRDefault="00395755" w:rsidP="00A4547E">
            <w:pPr>
              <w:jc w:val="both"/>
            </w:pPr>
            <w:r>
              <w:rPr>
                <w:sz w:val="16"/>
                <w:szCs w:val="16"/>
              </w:rPr>
              <w:t>Accuracy</w:t>
            </w:r>
          </w:p>
        </w:tc>
        <w:tc>
          <w:tcPr>
            <w:tcW w:w="108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7F31A326" w14:textId="77777777" w:rsidR="00246F82" w:rsidRDefault="00395755" w:rsidP="00A4547E">
            <w:pPr>
              <w:jc w:val="both"/>
            </w:pPr>
            <w:r>
              <w:rPr>
                <w:sz w:val="16"/>
                <w:szCs w:val="16"/>
              </w:rPr>
              <w:t>100.0%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2E4CDF45" w14:textId="77777777" w:rsidR="00246F82" w:rsidRDefault="00395755" w:rsidP="00A4547E">
            <w:pPr>
              <w:jc w:val="both"/>
            </w:pPr>
            <w:r>
              <w:rPr>
                <w:sz w:val="16"/>
                <w:szCs w:val="16"/>
              </w:rPr>
              <w:t>499</w:t>
            </w:r>
          </w:p>
        </w:tc>
        <w:tc>
          <w:tcPr>
            <w:tcW w:w="108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561E1449" w14:textId="77777777" w:rsidR="00246F82" w:rsidRDefault="00395755" w:rsidP="00A4547E">
            <w:pPr>
              <w:jc w:val="both"/>
            </w:pPr>
            <w:r>
              <w:rPr>
                <w:sz w:val="16"/>
                <w:szCs w:val="16"/>
              </w:rPr>
              <w:t>125</w:t>
            </w:r>
          </w:p>
        </w:tc>
        <w:tc>
          <w:tcPr>
            <w:tcW w:w="1260" w:type="dxa"/>
            <w:tcBorders>
              <w:top w:val="single" w:sz="6" w:space="0" w:color="000000"/>
              <w:left w:val="single" w:sz="6" w:space="0" w:color="000000"/>
              <w:bottom w:val="single" w:sz="6" w:space="0" w:color="000000"/>
              <w:right w:val="single" w:sz="6" w:space="0" w:color="000000"/>
            </w:tcBorders>
            <w:shd w:val="clear" w:color="auto" w:fill="FFFFFF"/>
            <w:tcMar>
              <w:top w:w="40" w:type="dxa"/>
              <w:left w:w="80" w:type="dxa"/>
              <w:bottom w:w="40" w:type="dxa"/>
              <w:right w:w="80" w:type="dxa"/>
            </w:tcMar>
            <w:vAlign w:val="center"/>
          </w:tcPr>
          <w:p w14:paraId="5AFD1387" w14:textId="77777777" w:rsidR="00246F82" w:rsidRDefault="00395755" w:rsidP="00A4547E">
            <w:pPr>
              <w:jc w:val="both"/>
            </w:pPr>
            <w:r>
              <w:rPr>
                <w:sz w:val="16"/>
                <w:szCs w:val="16"/>
              </w:rPr>
              <w:t>0.9984 ± 0.0032</w:t>
            </w:r>
          </w:p>
        </w:tc>
      </w:tr>
    </w:tbl>
    <w:p w14:paraId="55BD4990" w14:textId="77777777" w:rsidR="00246F82" w:rsidRDefault="00246F82" w:rsidP="00A4547E">
      <w:pPr>
        <w:spacing w:after="40"/>
        <w:jc w:val="both"/>
      </w:pPr>
    </w:p>
    <w:p w14:paraId="59BC0163" w14:textId="77777777" w:rsidR="00246F82" w:rsidRDefault="00395755" w:rsidP="00A4547E">
      <w:pPr>
        <w:pStyle w:val="BodyText"/>
        <w:jc w:val="both"/>
      </w:pPr>
      <w:r>
        <w:t>Class distribution is imbalanced: Low 36.1%, Medium 46.0%, High 13.9%, Critical 4.0%. Stratified splitting preserves this across train and test subsets. Replacing self-derived quartile labels with CDC-defined outbreak thresholds is the clearest path to results that generalize beyond this dataset.</w:t>
      </w:r>
    </w:p>
    <w:p w14:paraId="1C8E1845" w14:textId="77777777" w:rsidR="00246F82" w:rsidRDefault="00246F82" w:rsidP="00A4547E">
      <w:pPr>
        <w:spacing w:after="40"/>
        <w:jc w:val="both"/>
      </w:pPr>
    </w:p>
    <w:p w14:paraId="1245D8B9" w14:textId="77777777" w:rsidR="00246F82" w:rsidRDefault="00395755" w:rsidP="00A4547E">
      <w:pPr>
        <w:spacing w:before="80" w:after="40"/>
        <w:jc w:val="both"/>
      </w:pPr>
      <w:r>
        <w:rPr>
          <w:i/>
          <w:iCs/>
        </w:rPr>
        <w:t>C. System Integration</w:t>
      </w:r>
    </w:p>
    <w:p w14:paraId="1C97F9E4" w14:textId="77777777" w:rsidR="00246F82" w:rsidRDefault="00395755" w:rsidP="00A4547E">
      <w:pPr>
        <w:pStyle w:val="BodyText"/>
        <w:jc w:val="both"/>
      </w:pPr>
      <w:r>
        <w:t>The backend handles HTTP and WebSocket traffic without issue. The /</w:t>
      </w:r>
      <w:proofErr w:type="spellStart"/>
      <w:r>
        <w:t>api</w:t>
      </w:r>
      <w:proofErr w:type="spellEnd"/>
      <w:r>
        <w:t xml:space="preserve">/v1/predict/{region} endpoint returns 14-day forecasts in under 200 </w:t>
      </w:r>
      <w:proofErr w:type="spellStart"/>
      <w:r>
        <w:t>ms</w:t>
      </w:r>
      <w:proofErr w:type="spellEnd"/>
      <w:r>
        <w:t xml:space="preserve"> for cached models. A missing settings file caused a startup failure early on; restoring it resolved the issue. The dashboard connects via WebSocket and displays risk indicators, forecast charts, and regional map overlays in real time.</w:t>
      </w:r>
    </w:p>
    <w:p w14:paraId="0D5A5AA6" w14:textId="77777777" w:rsidR="00246F82" w:rsidRDefault="00246F82" w:rsidP="00A4547E">
      <w:pPr>
        <w:spacing w:after="60"/>
        <w:jc w:val="both"/>
      </w:pPr>
    </w:p>
    <w:p w14:paraId="5E545C55" w14:textId="77777777" w:rsidR="00246F82" w:rsidRDefault="00395755" w:rsidP="00F90C21">
      <w:pPr>
        <w:spacing w:before="120" w:after="60"/>
        <w:jc w:val="center"/>
      </w:pPr>
      <w:r>
        <w:rPr>
          <w:smallCaps/>
        </w:rPr>
        <w:t>V. SYSTEM ARCHITECTURE</w:t>
      </w:r>
    </w:p>
    <w:p w14:paraId="65671466" w14:textId="77777777" w:rsidR="00246F82" w:rsidRDefault="00246F82" w:rsidP="00A4547E">
      <w:pPr>
        <w:spacing w:after="40"/>
        <w:jc w:val="both"/>
      </w:pPr>
    </w:p>
    <w:p w14:paraId="3E867FFF" w14:textId="77777777" w:rsidR="00246F82" w:rsidRDefault="00395755" w:rsidP="00A4547E">
      <w:pPr>
        <w:pStyle w:val="BodyText"/>
        <w:jc w:val="both"/>
      </w:pPr>
      <w:proofErr w:type="spellStart"/>
      <w:r>
        <w:t>HealthPulse</w:t>
      </w:r>
      <w:proofErr w:type="spellEnd"/>
      <w:r>
        <w:t xml:space="preserve"> follows a layered structure. The data layer is MongoDB Atlas with three collections: </w:t>
      </w:r>
      <w:proofErr w:type="spellStart"/>
      <w:r>
        <w:t>google_trends</w:t>
      </w:r>
      <w:proofErr w:type="spellEnd"/>
      <w:r>
        <w:t xml:space="preserve"> (4,992 documents), weather (7,310 documents), and news (pending). The processing layer consists of collect_historical_data.py for ingestion and train_models.py for model fitting. The service layer is </w:t>
      </w:r>
      <w:proofErr w:type="spellStart"/>
      <w:r>
        <w:t>FastAPI</w:t>
      </w:r>
      <w:proofErr w:type="spellEnd"/>
      <w:r>
        <w:t xml:space="preserve"> under </w:t>
      </w:r>
      <w:proofErr w:type="spellStart"/>
      <w:r>
        <w:t>Uvicorn</w:t>
      </w:r>
      <w:proofErr w:type="spellEnd"/>
      <w:r>
        <w:t xml:space="preserve">, loading 49 serialized model files at startup (48 SARIMAX + 1 </w:t>
      </w:r>
      <w:proofErr w:type="spellStart"/>
      <w:r>
        <w:t>XGBoost</w:t>
      </w:r>
      <w:proofErr w:type="spellEnd"/>
      <w:r>
        <w:t xml:space="preserve">, totalling 285 MB). The presentation layer is a Vite-compiled React application communicating over HTTP and WebSocket. Deployment targets are </w:t>
      </w:r>
      <w:proofErr w:type="spellStart"/>
      <w:r>
        <w:t>Vercel</w:t>
      </w:r>
      <w:proofErr w:type="spellEnd"/>
      <w:r>
        <w:t xml:space="preserve"> (frontend), Railway (backend), and Atlas (database), with environment variables separating credentials from code.</w:t>
      </w:r>
    </w:p>
    <w:p w14:paraId="48E9258A" w14:textId="77777777" w:rsidR="00246F82" w:rsidRDefault="00246F82" w:rsidP="00A4547E">
      <w:pPr>
        <w:spacing w:after="60"/>
        <w:jc w:val="both"/>
      </w:pPr>
    </w:p>
    <w:p w14:paraId="3351F90C" w14:textId="77777777" w:rsidR="00246F82" w:rsidRDefault="00395755" w:rsidP="0003355B">
      <w:pPr>
        <w:spacing w:before="120" w:after="60"/>
        <w:jc w:val="center"/>
      </w:pPr>
      <w:r>
        <w:rPr>
          <w:smallCaps/>
        </w:rPr>
        <w:t>VI. CHALLENGES AND LIMITATIONS</w:t>
      </w:r>
    </w:p>
    <w:p w14:paraId="6ACC19FF" w14:textId="77777777" w:rsidR="00246F82" w:rsidRDefault="00246F82" w:rsidP="00A4547E">
      <w:pPr>
        <w:spacing w:after="40"/>
        <w:jc w:val="both"/>
      </w:pPr>
    </w:p>
    <w:p w14:paraId="330E4745" w14:textId="77777777" w:rsidR="00246F82" w:rsidRDefault="00395755" w:rsidP="00A4547E">
      <w:pPr>
        <w:pStyle w:val="BodyText"/>
        <w:jc w:val="both"/>
      </w:pPr>
      <w:r>
        <w:t xml:space="preserve">Prophet backend failure. The original design called for Facebook Prophet, but </w:t>
      </w:r>
      <w:proofErr w:type="spellStart"/>
      <w:r>
        <w:t>CmdStan</w:t>
      </w:r>
      <w:proofErr w:type="spellEnd"/>
      <w:r>
        <w:t xml:space="preserve"> exits with code 3221225785 on Windows during the optimization phase—a documented incompatibility with certain Visual C++ runtime versions. SARIMAX was adopted as a pure-Python replacement.</w:t>
      </w:r>
    </w:p>
    <w:p w14:paraId="45D0F0D1" w14:textId="77777777" w:rsidR="00246F82" w:rsidRDefault="00246F82" w:rsidP="00A4547E">
      <w:pPr>
        <w:spacing w:after="40"/>
        <w:jc w:val="both"/>
      </w:pPr>
    </w:p>
    <w:p w14:paraId="7BB35817" w14:textId="77777777" w:rsidR="00246F82" w:rsidRDefault="00395755" w:rsidP="00A4547E">
      <w:pPr>
        <w:pStyle w:val="BodyText"/>
        <w:jc w:val="both"/>
      </w:pPr>
      <w:r>
        <w:t>Label circularity. The classifier's near-perfect accuracy follows from constructing risk labels directly from the dominant input feature. The model cannot be trusted for operational use until validated against external outbreak records such as CDC flu activity reports.</w:t>
      </w:r>
    </w:p>
    <w:p w14:paraId="2A476637" w14:textId="77777777" w:rsidR="00246F82" w:rsidRDefault="00246F82" w:rsidP="00A4547E">
      <w:pPr>
        <w:spacing w:after="40"/>
        <w:jc w:val="both"/>
      </w:pPr>
    </w:p>
    <w:p w14:paraId="10290933" w14:textId="77777777" w:rsidR="00246F82" w:rsidRDefault="00395755" w:rsidP="00A4547E">
      <w:pPr>
        <w:pStyle w:val="BodyText"/>
        <w:jc w:val="both"/>
      </w:pPr>
      <w:proofErr w:type="spellStart"/>
      <w:r>
        <w:t>NewsAPI</w:t>
      </w:r>
      <w:proofErr w:type="spellEnd"/>
      <w:r>
        <w:t xml:space="preserve"> free-tier restriction. The intended news signal is unavailable because the free tier limits access to the past 30 days. The ingestion pipeline is ready; it awaits a paid key or a switch to GDELT.</w:t>
      </w:r>
    </w:p>
    <w:p w14:paraId="1152AC5E" w14:textId="77777777" w:rsidR="00246F82" w:rsidRDefault="00246F82" w:rsidP="00A4547E">
      <w:pPr>
        <w:spacing w:after="40"/>
        <w:jc w:val="both"/>
      </w:pPr>
    </w:p>
    <w:p w14:paraId="2BAB4686" w14:textId="77777777" w:rsidR="00246F82" w:rsidRDefault="00395755" w:rsidP="00A4547E">
      <w:pPr>
        <w:pStyle w:val="BodyText"/>
        <w:jc w:val="both"/>
      </w:pPr>
      <w:r>
        <w:t xml:space="preserve">Model file size. SARIMAX objects serialized with </w:t>
      </w:r>
      <w:proofErr w:type="spellStart"/>
      <w:r>
        <w:t>joblib</w:t>
      </w:r>
      <w:proofErr w:type="spellEnd"/>
      <w:r>
        <w:t xml:space="preserve"> average roughly 6 MB each, producing a 285 MB model directory—within Railway's limits but problematic for serverless platforms. Compression and lazy loading are planned.</w:t>
      </w:r>
    </w:p>
    <w:p w14:paraId="64BD5B3E" w14:textId="77777777" w:rsidR="00246F82" w:rsidRDefault="00246F82" w:rsidP="00A4547E">
      <w:pPr>
        <w:spacing w:after="40"/>
        <w:jc w:val="both"/>
      </w:pPr>
    </w:p>
    <w:p w14:paraId="4F624E30" w14:textId="77777777" w:rsidR="00246F82" w:rsidRDefault="00395755" w:rsidP="00A4547E">
      <w:pPr>
        <w:pStyle w:val="BodyText"/>
        <w:jc w:val="both"/>
      </w:pPr>
      <w:r>
        <w:t>WebSocket CORS. The endpoint initially returned 403 errors on frontend connections due to origin validation. Adding the Vite dev server at localhost:5174 to the allowed-origins list resolved it.</w:t>
      </w:r>
    </w:p>
    <w:p w14:paraId="095E5A29" w14:textId="77777777" w:rsidR="00246F82" w:rsidRDefault="00246F82" w:rsidP="00A4547E">
      <w:pPr>
        <w:spacing w:after="60"/>
        <w:jc w:val="both"/>
      </w:pPr>
    </w:p>
    <w:p w14:paraId="03B59EC1" w14:textId="77777777" w:rsidR="00246F82" w:rsidRDefault="00395755" w:rsidP="00F90C21">
      <w:pPr>
        <w:spacing w:before="120" w:after="60"/>
        <w:jc w:val="center"/>
      </w:pPr>
      <w:r>
        <w:rPr>
          <w:smallCaps/>
        </w:rPr>
        <w:t>VII. FUTURE WORK</w:t>
      </w:r>
    </w:p>
    <w:p w14:paraId="69980D01" w14:textId="77777777" w:rsidR="00246F82" w:rsidRDefault="00246F82" w:rsidP="00A4547E">
      <w:pPr>
        <w:spacing w:after="40"/>
        <w:jc w:val="both"/>
      </w:pPr>
    </w:p>
    <w:p w14:paraId="0937D6BA" w14:textId="77777777" w:rsidR="00246F82" w:rsidRDefault="00395755" w:rsidP="00A4547E">
      <w:pPr>
        <w:pStyle w:val="BodyText"/>
        <w:jc w:val="both"/>
      </w:pPr>
      <w:r>
        <w:t>Ground truth validation is the most urgent gap. Aligning predictions with CDC flu activity reports and WHO situation updates would enable proper precision-recall evaluation and answer the key question: how far ahead of official reporting can the system reliably detect an emerging signal?</w:t>
      </w:r>
    </w:p>
    <w:p w14:paraId="3E355E9C" w14:textId="77777777" w:rsidR="00246F82" w:rsidRDefault="00246F82" w:rsidP="00A4547E">
      <w:pPr>
        <w:spacing w:after="40"/>
        <w:jc w:val="both"/>
      </w:pPr>
    </w:p>
    <w:p w14:paraId="207B53A0" w14:textId="77777777" w:rsidR="00246F82" w:rsidRDefault="00395755" w:rsidP="00A4547E">
      <w:pPr>
        <w:pStyle w:val="BodyText"/>
        <w:jc w:val="both"/>
      </w:pPr>
      <w:r>
        <w:t xml:space="preserve">News and social media integration. Reddit ingestion via </w:t>
      </w:r>
      <w:proofErr w:type="spellStart"/>
      <w:r>
        <w:t>praw</w:t>
      </w:r>
      <w:proofErr w:type="spellEnd"/>
      <w:r>
        <w:t xml:space="preserve"> is already configured. Completing a </w:t>
      </w:r>
      <w:proofErr w:type="spellStart"/>
      <w:r>
        <w:t>spaCy</w:t>
      </w:r>
      <w:proofErr w:type="spellEnd"/>
      <w:r>
        <w:t>-based symptom extractor and fine-tuning a transformer classifier on outbreak-relevant text would add a third signal that currently exists only as infrastructure.</w:t>
      </w:r>
    </w:p>
    <w:p w14:paraId="3643E982" w14:textId="77777777" w:rsidR="00246F82" w:rsidRDefault="00246F82" w:rsidP="00A4547E">
      <w:pPr>
        <w:spacing w:after="40"/>
        <w:jc w:val="both"/>
      </w:pPr>
    </w:p>
    <w:p w14:paraId="6661E589" w14:textId="77777777" w:rsidR="00246F82" w:rsidRDefault="00395755" w:rsidP="00A4547E">
      <w:pPr>
        <w:pStyle w:val="BodyText"/>
        <w:jc w:val="both"/>
      </w:pPr>
      <w:r>
        <w:t xml:space="preserve">Automated retraining. Models should update weekly as new Trends data arrives. A Railway </w:t>
      </w:r>
      <w:proofErr w:type="spellStart"/>
      <w:r>
        <w:t>cron</w:t>
      </w:r>
      <w:proofErr w:type="spellEnd"/>
      <w:r>
        <w:t xml:space="preserve"> job calling an /admin/retrain endpoint would handle this without manual intervention.</w:t>
      </w:r>
    </w:p>
    <w:p w14:paraId="54AF9348" w14:textId="77777777" w:rsidR="00246F82" w:rsidRDefault="00246F82" w:rsidP="00A4547E">
      <w:pPr>
        <w:spacing w:after="40"/>
        <w:jc w:val="both"/>
      </w:pPr>
    </w:p>
    <w:p w14:paraId="6EB21B2D" w14:textId="77777777" w:rsidR="00246F82" w:rsidRDefault="00395755" w:rsidP="00A4547E">
      <w:pPr>
        <w:pStyle w:val="BodyText"/>
        <w:jc w:val="both"/>
      </w:pPr>
      <w:r>
        <w:t>Weather covariates in SARIMAX. Temperature and humidity data are collected and stored but not yet used as the x-variable in the SARIMAX specification. Both are established correlates of respiratory virus transmission and should reduce forecast error for fever and flu in particular.</w:t>
      </w:r>
    </w:p>
    <w:p w14:paraId="41C98E60" w14:textId="77777777" w:rsidR="00246F82" w:rsidRDefault="00246F82" w:rsidP="00A4547E">
      <w:pPr>
        <w:spacing w:after="40"/>
        <w:jc w:val="both"/>
      </w:pPr>
    </w:p>
    <w:p w14:paraId="6C67CA9F" w14:textId="77777777" w:rsidR="00246F82" w:rsidRDefault="00395755" w:rsidP="00A4547E">
      <w:pPr>
        <w:pStyle w:val="BodyText"/>
        <w:jc w:val="both"/>
      </w:pPr>
      <w:r>
        <w:t xml:space="preserve">International expansion. Extending to European and Asian geographies would test robustness to different seasonal patterns, search-term norms, and healthcare-seeking </w:t>
      </w:r>
      <w:proofErr w:type="spellStart"/>
      <w:r>
        <w:t>behaviors</w:t>
      </w:r>
      <w:proofErr w:type="spellEnd"/>
      <w:r>
        <w:t>.</w:t>
      </w:r>
    </w:p>
    <w:p w14:paraId="64D5161E" w14:textId="77777777" w:rsidR="00246F82" w:rsidRDefault="00246F82" w:rsidP="00A4547E">
      <w:pPr>
        <w:spacing w:after="60"/>
        <w:jc w:val="both"/>
      </w:pPr>
    </w:p>
    <w:p w14:paraId="5DBE6D84" w14:textId="77777777" w:rsidR="00246F82" w:rsidRDefault="00395755" w:rsidP="0003355B">
      <w:pPr>
        <w:spacing w:before="120" w:after="60"/>
        <w:jc w:val="center"/>
      </w:pPr>
      <w:r>
        <w:rPr>
          <w:smallCaps/>
        </w:rPr>
        <w:t>VIII. CONCLUSION</w:t>
      </w:r>
    </w:p>
    <w:p w14:paraId="6D7C3B04" w14:textId="77777777" w:rsidR="00246F82" w:rsidRDefault="00246F82" w:rsidP="00A4547E">
      <w:pPr>
        <w:spacing w:after="40"/>
        <w:jc w:val="both"/>
      </w:pPr>
    </w:p>
    <w:p w14:paraId="51F0EF07" w14:textId="77777777" w:rsidR="00246F82" w:rsidRDefault="00395755" w:rsidP="00A4547E">
      <w:pPr>
        <w:pStyle w:val="BodyText"/>
        <w:jc w:val="both"/>
      </w:pPr>
      <w:proofErr w:type="spellStart"/>
      <w:r>
        <w:t>HealthPulse</w:t>
      </w:r>
      <w:proofErr w:type="spellEnd"/>
      <w:r>
        <w:t xml:space="preserve"> is a complete, running system: two years of weekly symptom search data across six US regions, 48 SARIMAX forecasters with a mean MAE of 6.16 on a 0-100 scale, an </w:t>
      </w:r>
      <w:proofErr w:type="spellStart"/>
      <w:r>
        <w:t>XGBoost</w:t>
      </w:r>
      <w:proofErr w:type="spellEnd"/>
      <w:r>
        <w:t xml:space="preserve"> risk classifier with 99.84% cross-validation accuracy, a live </w:t>
      </w:r>
      <w:proofErr w:type="spellStart"/>
      <w:r>
        <w:t>FastAPI</w:t>
      </w:r>
      <w:proofErr w:type="spellEnd"/>
      <w:r>
        <w:t xml:space="preserve"> backend, and a React dashboard with real-time map overlays.</w:t>
      </w:r>
    </w:p>
    <w:p w14:paraId="230ED302" w14:textId="77777777" w:rsidR="00246F82" w:rsidRDefault="00246F82" w:rsidP="00A4547E">
      <w:pPr>
        <w:spacing w:after="40"/>
        <w:jc w:val="both"/>
      </w:pPr>
    </w:p>
    <w:p w14:paraId="0AC1CA0C" w14:textId="77777777" w:rsidR="00246F82" w:rsidRDefault="00395755" w:rsidP="00A4547E">
      <w:pPr>
        <w:pStyle w:val="BodyText"/>
        <w:jc w:val="both"/>
      </w:pPr>
      <w:r>
        <w:t>The classifier's accuracy is largely an artifact of how its labels were constructed, not evidence of genuine predictive power against independent outbreak records. The forecasters are a different story: they train on real historical search volumes and produce short-term predictions that are plausibly useful for public health triage even now.</w:t>
      </w:r>
    </w:p>
    <w:p w14:paraId="4770EB6D" w14:textId="77777777" w:rsidR="00246F82" w:rsidRDefault="00246F82" w:rsidP="00A4547E">
      <w:pPr>
        <w:spacing w:after="40"/>
        <w:jc w:val="both"/>
      </w:pPr>
    </w:p>
    <w:p w14:paraId="52048FDC" w14:textId="77777777" w:rsidR="00246F82" w:rsidRDefault="00395755" w:rsidP="00A4547E">
      <w:pPr>
        <w:pStyle w:val="BodyText"/>
        <w:jc w:val="both"/>
      </w:pPr>
      <w:r>
        <w:t>The contribution is a documented, working implementation that covers the full stack from data collection to live dashboard—and an honest account of where the remaining gaps are.</w:t>
      </w:r>
    </w:p>
    <w:p w14:paraId="140FCDE8" w14:textId="77777777" w:rsidR="00246F82" w:rsidRDefault="00246F82" w:rsidP="00A4547E">
      <w:pPr>
        <w:spacing w:after="60"/>
        <w:jc w:val="both"/>
      </w:pPr>
    </w:p>
    <w:p w14:paraId="3D5AEEBC" w14:textId="77777777" w:rsidR="00246F82" w:rsidRDefault="00395755" w:rsidP="00F90C21">
      <w:pPr>
        <w:spacing w:before="120" w:after="60"/>
        <w:jc w:val="center"/>
      </w:pPr>
      <w:r>
        <w:rPr>
          <w:smallCaps/>
        </w:rPr>
        <w:t>REFERENCES</w:t>
      </w:r>
    </w:p>
    <w:p w14:paraId="648577A3" w14:textId="77777777" w:rsidR="00246F82" w:rsidRDefault="00246F82" w:rsidP="00A4547E">
      <w:pPr>
        <w:spacing w:after="40"/>
        <w:jc w:val="both"/>
      </w:pPr>
    </w:p>
    <w:p w14:paraId="6F4BA425" w14:textId="77777777" w:rsidR="00246F82" w:rsidRDefault="00395755" w:rsidP="00A4547E">
      <w:pPr>
        <w:spacing w:after="30"/>
        <w:ind w:left="360" w:hanging="360"/>
        <w:jc w:val="both"/>
      </w:pPr>
      <w:r>
        <w:rPr>
          <w:sz w:val="16"/>
          <w:szCs w:val="16"/>
        </w:rPr>
        <w:t>[1] J. Ginsberg et al., "Detecting influenza epidemics using search engine query data," Nature, vol. 457, pp. 1012–1014, 2009.</w:t>
      </w:r>
    </w:p>
    <w:p w14:paraId="43E509EA" w14:textId="77777777" w:rsidR="00246F82" w:rsidRDefault="00395755" w:rsidP="00A4547E">
      <w:pPr>
        <w:spacing w:after="30"/>
        <w:ind w:left="360" w:hanging="360"/>
        <w:jc w:val="both"/>
      </w:pPr>
      <w:r>
        <w:rPr>
          <w:sz w:val="16"/>
          <w:szCs w:val="16"/>
        </w:rPr>
        <w:t xml:space="preserve">[2] D. Lazer, R. Kennedy, G. King, and A. </w:t>
      </w:r>
      <w:proofErr w:type="spellStart"/>
      <w:r>
        <w:rPr>
          <w:sz w:val="16"/>
          <w:szCs w:val="16"/>
        </w:rPr>
        <w:t>Vespignani</w:t>
      </w:r>
      <w:proofErr w:type="spellEnd"/>
      <w:r>
        <w:rPr>
          <w:sz w:val="16"/>
          <w:szCs w:val="16"/>
        </w:rPr>
        <w:t>, "The parable of Google Flu," Science, vol. 343, no. 6176, pp. 1203–1205, 2014.</w:t>
      </w:r>
    </w:p>
    <w:p w14:paraId="44BA3431" w14:textId="77777777" w:rsidR="00246F82" w:rsidRDefault="00395755" w:rsidP="00A4547E">
      <w:pPr>
        <w:spacing w:after="30"/>
        <w:ind w:left="360" w:hanging="360"/>
        <w:jc w:val="both"/>
      </w:pPr>
      <w:r>
        <w:rPr>
          <w:sz w:val="16"/>
          <w:szCs w:val="16"/>
        </w:rPr>
        <w:t>[3] C. Yuan, Y. Zhao, and X. Zheng, "Combining Google Trends and Twitter for influenza surveillance," J. Med. Internet Res., vol. 21, no. 7, 2019.</w:t>
      </w:r>
    </w:p>
    <w:p w14:paraId="36712201" w14:textId="77777777" w:rsidR="00246F82" w:rsidRDefault="00395755" w:rsidP="00A4547E">
      <w:pPr>
        <w:spacing w:after="30"/>
        <w:ind w:left="360" w:hanging="360"/>
        <w:jc w:val="both"/>
      </w:pPr>
      <w:r>
        <w:rPr>
          <w:sz w:val="16"/>
          <w:szCs w:val="16"/>
        </w:rPr>
        <w:t>[4] D. A. Broniatowski, M. J. Paul, and M. Dredze, "National and local influenza surveillance through Twitter," PLOS ONE, vol. 8, no. 12, 2013.</w:t>
      </w:r>
    </w:p>
    <w:p w14:paraId="2D3250EA" w14:textId="77777777" w:rsidR="00246F82" w:rsidRDefault="00395755" w:rsidP="00A4547E">
      <w:pPr>
        <w:spacing w:after="30"/>
        <w:ind w:left="360" w:hanging="360"/>
        <w:jc w:val="both"/>
      </w:pPr>
      <w:r>
        <w:rPr>
          <w:sz w:val="16"/>
          <w:szCs w:val="16"/>
        </w:rPr>
        <w:lastRenderedPageBreak/>
        <w:t>[5] A. T. Lau and S. Cowling, "ARIMA and SARIMAX models for infectious disease forecasting," Epidemics, vol. 30, pp. 1–9, 2020.</w:t>
      </w:r>
    </w:p>
    <w:p w14:paraId="7E56DE98" w14:textId="77777777" w:rsidR="00246F82" w:rsidRDefault="00395755" w:rsidP="00A4547E">
      <w:pPr>
        <w:spacing w:after="30"/>
        <w:ind w:left="360" w:hanging="360"/>
        <w:jc w:val="both"/>
      </w:pPr>
      <w:r>
        <w:rPr>
          <w:sz w:val="16"/>
          <w:szCs w:val="16"/>
        </w:rPr>
        <w:t>[6] P. Gharbi et al., "Time series analysis of dengue incidence in Guadeloupe," BMC Infect. Dis., vol. 11, p. 166, 2011.</w:t>
      </w:r>
    </w:p>
    <w:p w14:paraId="65A67942" w14:textId="77777777" w:rsidR="00246F82" w:rsidRDefault="00395755" w:rsidP="00A4547E">
      <w:pPr>
        <w:spacing w:after="30"/>
        <w:ind w:left="360" w:hanging="360"/>
        <w:jc w:val="both"/>
      </w:pPr>
      <w:r>
        <w:rPr>
          <w:sz w:val="16"/>
          <w:szCs w:val="16"/>
        </w:rPr>
        <w:t>[7] S. J. Taylor and B. Letham, "Forecasting at scale," The American Statistician, vol. 72, no. 1, pp. 37–45, 2018.</w:t>
      </w:r>
    </w:p>
    <w:p w14:paraId="3E86C58C" w14:textId="77777777" w:rsidR="00246F82" w:rsidRDefault="00395755" w:rsidP="00A4547E">
      <w:pPr>
        <w:spacing w:after="30"/>
        <w:ind w:left="360" w:hanging="360"/>
        <w:jc w:val="both"/>
      </w:pPr>
      <w:r>
        <w:rPr>
          <w:sz w:val="16"/>
          <w:szCs w:val="16"/>
        </w:rPr>
        <w:t xml:space="preserve">[8] T. Chen and C. </w:t>
      </w:r>
      <w:proofErr w:type="spellStart"/>
      <w:r>
        <w:rPr>
          <w:sz w:val="16"/>
          <w:szCs w:val="16"/>
        </w:rPr>
        <w:t>Guestrin</w:t>
      </w:r>
      <w:proofErr w:type="spellEnd"/>
      <w:r>
        <w:rPr>
          <w:sz w:val="16"/>
          <w:szCs w:val="16"/>
        </w:rPr>
        <w:t>, "</w:t>
      </w:r>
      <w:proofErr w:type="spellStart"/>
      <w:r>
        <w:rPr>
          <w:sz w:val="16"/>
          <w:szCs w:val="16"/>
        </w:rPr>
        <w:t>XGBoost</w:t>
      </w:r>
      <w:proofErr w:type="spellEnd"/>
      <w:r>
        <w:rPr>
          <w:sz w:val="16"/>
          <w:szCs w:val="16"/>
        </w:rPr>
        <w:t>: A scalable tree boosting system," in Proc. KDD, pp. 785–794, 2016.</w:t>
      </w:r>
    </w:p>
    <w:p w14:paraId="53556D44" w14:textId="77777777" w:rsidR="00246F82" w:rsidRDefault="00395755" w:rsidP="00A4547E">
      <w:pPr>
        <w:spacing w:after="30"/>
        <w:ind w:left="360" w:hanging="360"/>
        <w:jc w:val="both"/>
      </w:pPr>
      <w:r>
        <w:rPr>
          <w:sz w:val="16"/>
          <w:szCs w:val="16"/>
        </w:rPr>
        <w:t xml:space="preserve">[9] W. </w:t>
      </w:r>
      <w:proofErr w:type="spellStart"/>
      <w:r>
        <w:rPr>
          <w:sz w:val="16"/>
          <w:szCs w:val="16"/>
        </w:rPr>
        <w:t>Alsabhan</w:t>
      </w:r>
      <w:proofErr w:type="spellEnd"/>
      <w:r>
        <w:rPr>
          <w:sz w:val="16"/>
          <w:szCs w:val="16"/>
        </w:rPr>
        <w:t xml:space="preserve"> and A. </w:t>
      </w:r>
      <w:proofErr w:type="spellStart"/>
      <w:r>
        <w:rPr>
          <w:sz w:val="16"/>
          <w:szCs w:val="16"/>
        </w:rPr>
        <w:t>Alfadhly</w:t>
      </w:r>
      <w:proofErr w:type="spellEnd"/>
      <w:r>
        <w:rPr>
          <w:sz w:val="16"/>
          <w:szCs w:val="16"/>
        </w:rPr>
        <w:t>, "Effectiveness of ML models in infectious disease prediction," Scientific Reports, 2025.</w:t>
      </w:r>
    </w:p>
    <w:p w14:paraId="0F4DA8A4" w14:textId="77777777" w:rsidR="00246F82" w:rsidRDefault="00395755" w:rsidP="00A4547E">
      <w:pPr>
        <w:spacing w:after="30"/>
        <w:ind w:left="360" w:hanging="360"/>
        <w:jc w:val="both"/>
      </w:pPr>
      <w:r>
        <w:rPr>
          <w:sz w:val="16"/>
          <w:szCs w:val="16"/>
        </w:rPr>
        <w:t>[10] S. Ramirez, "</w:t>
      </w:r>
      <w:proofErr w:type="spellStart"/>
      <w:r>
        <w:rPr>
          <w:sz w:val="16"/>
          <w:szCs w:val="16"/>
        </w:rPr>
        <w:t>FastAPI</w:t>
      </w:r>
      <w:proofErr w:type="spellEnd"/>
      <w:r>
        <w:rPr>
          <w:sz w:val="16"/>
          <w:szCs w:val="16"/>
        </w:rPr>
        <w:t>: Modern web framework for building APIs with Python 3.6+," GitHub, 2019.</w:t>
      </w:r>
    </w:p>
    <w:p w14:paraId="314B5460" w14:textId="77777777" w:rsidR="00246F82" w:rsidRDefault="00395755" w:rsidP="00A4547E">
      <w:pPr>
        <w:spacing w:after="30"/>
        <w:ind w:left="360" w:hanging="360"/>
        <w:jc w:val="both"/>
      </w:pPr>
      <w:r>
        <w:rPr>
          <w:sz w:val="16"/>
          <w:szCs w:val="16"/>
        </w:rPr>
        <w:t>[11] J. Yuan, Y. Zhao, and W. Li, "A multi-source framework for outbreak detection using online signals," IEEE Access, vol. 9, pp. 112340–112352, 2021.</w:t>
      </w:r>
    </w:p>
    <w:p w14:paraId="31F0B494" w14:textId="77777777" w:rsidR="00246F82" w:rsidRDefault="00395755" w:rsidP="00A4547E">
      <w:pPr>
        <w:spacing w:after="30"/>
        <w:ind w:left="360" w:hanging="360"/>
        <w:jc w:val="both"/>
      </w:pPr>
      <w:r>
        <w:rPr>
          <w:sz w:val="16"/>
          <w:szCs w:val="16"/>
        </w:rPr>
        <w:t>[12] A. Verma, R. S. Mehta, and P. Bansal, "Deep learning-driven risk stratification using multimodal clinical data," IEEE Access, 2024.</w:t>
      </w:r>
    </w:p>
    <w:sectPr w:rsidR="00246F82">
      <w:type w:val="continuous"/>
      <w:pgSz w:w="12240" w:h="15840"/>
      <w:pgMar w:top="720" w:right="936" w:bottom="1440" w:left="936"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B625C"/>
    <w:multiLevelType w:val="hybridMultilevel"/>
    <w:tmpl w:val="71404618"/>
    <w:lvl w:ilvl="0" w:tplc="7E701622">
      <w:start w:val="1"/>
      <w:numFmt w:val="bullet"/>
      <w:lvlText w:val="●"/>
      <w:lvlJc w:val="left"/>
      <w:pPr>
        <w:ind w:left="720" w:hanging="360"/>
      </w:pPr>
    </w:lvl>
    <w:lvl w:ilvl="1" w:tplc="6B029A62">
      <w:start w:val="1"/>
      <w:numFmt w:val="bullet"/>
      <w:lvlText w:val="○"/>
      <w:lvlJc w:val="left"/>
      <w:pPr>
        <w:ind w:left="1440" w:hanging="360"/>
      </w:pPr>
    </w:lvl>
    <w:lvl w:ilvl="2" w:tplc="2256C61A">
      <w:start w:val="1"/>
      <w:numFmt w:val="bullet"/>
      <w:lvlText w:val="■"/>
      <w:lvlJc w:val="left"/>
      <w:pPr>
        <w:ind w:left="2160" w:hanging="360"/>
      </w:pPr>
    </w:lvl>
    <w:lvl w:ilvl="3" w:tplc="5B787498">
      <w:start w:val="1"/>
      <w:numFmt w:val="bullet"/>
      <w:lvlText w:val="●"/>
      <w:lvlJc w:val="left"/>
      <w:pPr>
        <w:ind w:left="2880" w:hanging="360"/>
      </w:pPr>
    </w:lvl>
    <w:lvl w:ilvl="4" w:tplc="7A300290">
      <w:start w:val="1"/>
      <w:numFmt w:val="bullet"/>
      <w:lvlText w:val="○"/>
      <w:lvlJc w:val="left"/>
      <w:pPr>
        <w:ind w:left="3600" w:hanging="360"/>
      </w:pPr>
    </w:lvl>
    <w:lvl w:ilvl="5" w:tplc="86362762">
      <w:start w:val="1"/>
      <w:numFmt w:val="bullet"/>
      <w:lvlText w:val="■"/>
      <w:lvlJc w:val="left"/>
      <w:pPr>
        <w:ind w:left="4320" w:hanging="360"/>
      </w:pPr>
    </w:lvl>
    <w:lvl w:ilvl="6" w:tplc="42B20882">
      <w:start w:val="1"/>
      <w:numFmt w:val="bullet"/>
      <w:lvlText w:val="●"/>
      <w:lvlJc w:val="left"/>
      <w:pPr>
        <w:ind w:left="5040" w:hanging="360"/>
      </w:pPr>
    </w:lvl>
    <w:lvl w:ilvl="7" w:tplc="C81A33C4">
      <w:start w:val="1"/>
      <w:numFmt w:val="bullet"/>
      <w:lvlText w:val="●"/>
      <w:lvlJc w:val="left"/>
      <w:pPr>
        <w:ind w:left="5760" w:hanging="360"/>
      </w:pPr>
    </w:lvl>
    <w:lvl w:ilvl="8" w:tplc="639AA5B6">
      <w:start w:val="1"/>
      <w:numFmt w:val="bullet"/>
      <w:lvlText w:val="●"/>
      <w:lvlJc w:val="left"/>
      <w:pPr>
        <w:ind w:left="6480" w:hanging="360"/>
      </w:pPr>
    </w:lvl>
  </w:abstractNum>
  <w:num w:numId="1" w16cid:durableId="8791674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F82"/>
    <w:rsid w:val="0003355B"/>
    <w:rsid w:val="000D61E2"/>
    <w:rsid w:val="001B2979"/>
    <w:rsid w:val="00246F82"/>
    <w:rsid w:val="00395755"/>
    <w:rsid w:val="00406D95"/>
    <w:rsid w:val="005842FF"/>
    <w:rsid w:val="006074A8"/>
    <w:rsid w:val="007B0EC4"/>
    <w:rsid w:val="00A4547E"/>
    <w:rsid w:val="00AA7ABD"/>
    <w:rsid w:val="00AE1F31"/>
    <w:rsid w:val="00CD5735"/>
    <w:rsid w:val="00D77E6E"/>
    <w:rsid w:val="00F10928"/>
    <w:rsid w:val="00F90C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5DB32"/>
  <w15:docId w15:val="{B70600DD-2C50-44A9-8B6D-DF695C49D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pPr>
      <w:spacing w:after="60"/>
    </w:pPr>
  </w:style>
  <w:style w:type="character" w:styleId="UnresolvedMention">
    <w:name w:val="Unresolved Mention"/>
    <w:basedOn w:val="DefaultParagraphFont"/>
    <w:uiPriority w:val="99"/>
    <w:semiHidden/>
    <w:unhideWhenUsed/>
    <w:rsid w:val="007B0EC4"/>
    <w:rPr>
      <w:color w:val="605E5C"/>
      <w:shd w:val="clear" w:color="auto" w:fill="E1DFDD"/>
    </w:rPr>
  </w:style>
  <w:style w:type="table" w:styleId="TableGrid">
    <w:name w:val="Table Grid"/>
    <w:basedOn w:val="TableNormal"/>
    <w:uiPriority w:val="39"/>
    <w:rsid w:val="00AA7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AA7AB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stephena@srmist.edu.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Kt4376@srmist.edu.in" TargetMode="External"/><Relationship Id="rId5" Type="http://schemas.openxmlformats.org/officeDocument/2006/relationships/hyperlink" Target="aj3571@srmist.edu.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2579</Words>
  <Characters>14701</Characters>
  <Application>Microsoft Office Word</Application>
  <DocSecurity>0</DocSecurity>
  <Lines>122</Lines>
  <Paragraphs>34</Paragraphs>
  <ScaleCrop>false</ScaleCrop>
  <Company/>
  <LinksUpToDate>false</LinksUpToDate>
  <CharactersWithSpaces>17246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Jha</cp:lastModifiedBy>
  <cp:revision>11</cp:revision>
  <dcterms:created xsi:type="dcterms:W3CDTF">2026-03-21T14:02:00Z</dcterms:created>
  <dcterms:modified xsi:type="dcterms:W3CDTF">2026-03-28T04:37:00Z</dcterms:modified>
</cp:coreProperties>
</file>