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Mellitus: A Clinical Summary</w:t>
      </w:r>
    </w:p>
    <w:p>
      <w:pPr>
        <w:pStyle w:val="Heading1"/>
      </w:pPr>
      <w:r>
        <w:t>Types of Diabetes</w:t>
      </w:r>
    </w:p>
    <w:p>
      <w:r>
        <w:t>Type 1 diabetes results from autoimmune destruction of the pancreatic beta cells, leading to absolute insulin deficiency, so patients require insulin therapy from diagnosis. Type 2 diabetes is characterised by insulin resistance combined with progressive beta-cell dysfunction and accounts for about 90 percent of cases.</w:t>
      </w:r>
    </w:p>
    <w:p>
      <w:pPr>
        <w:pStyle w:val="Heading1"/>
      </w:pPr>
      <w:r>
        <w:t>Diagnosis</w:t>
      </w:r>
    </w:p>
    <w:p>
      <w:r>
        <w:t>Diabetes is diagnosed by an HbA1c of 6.5 percent or higher, a fasting plasma glucose of 126 mg/dL or higher, a two-hour plasma glucose of 200 mg/dL or higher during an oral glucose tolerance test, or a random glucose of 200 mg/dL or higher with classic symptoms. An HbA1c between 5.7 and 6.4 percent indicates prediabetes.</w:t>
      </w:r>
    </w:p>
    <w:p>
      <w:pPr>
        <w:pStyle w:val="Heading1"/>
      </w:pPr>
      <w:r>
        <w:t>Treatment</w:t>
      </w:r>
    </w:p>
    <w:p>
      <w:r>
        <w:t>Metformin is the preferred first-line medication for type 2 diabetes. It should not be used when the eGFR is below 30 mL/min/1.73m2 because of the risk of lactic acidosis. SGLT2 inhibitors such as empagliflozin are recommended for patients with heart failure or chronic kidney disease. A general HbA1c target for most non-pregnant adults is below 7 percent.</w:t>
      </w:r>
    </w:p>
    <w:p>
      <w:pPr>
        <w:pStyle w:val="Heading1"/>
      </w:pPr>
      <w:r>
        <w:t>Hypoglycaemia</w:t>
      </w:r>
    </w:p>
    <w:p>
      <w:r>
        <w:t>Hypoglycaemia is a blood glucose below 70 mg/dL. Conscious patients should follow the rule of 15: take 15 grams of fast-acting carbohydrate, then recheck glucose after 15 minutes. Severe hypoglycaemia in an unconscious patient is treated with glucagon.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