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5E28" w14:textId="77777777" w:rsidR="00C93428" w:rsidRDefault="00E37816">
      <w:pPr>
        <w:jc w:val="center"/>
      </w:pPr>
      <w:r>
        <w:rPr>
          <w:b/>
          <w:color w:val="1A365D"/>
          <w:sz w:val="40"/>
        </w:rPr>
        <w:t>Project Report: Financial Loan Data Analysis</w:t>
      </w:r>
    </w:p>
    <w:p w14:paraId="1776B061" w14:textId="77777777" w:rsidR="00C93428" w:rsidRDefault="00E37816">
      <w:r>
        <w:t>────────────────────────────────────────────────────────────</w:t>
      </w:r>
    </w:p>
    <w:p w14:paraId="3F593C4D" w14:textId="77777777" w:rsidR="00C93428" w:rsidRDefault="00E37816">
      <w:pPr>
        <w:pStyle w:val="Heading1"/>
      </w:pPr>
      <w:r>
        <w:t>1. Project Overview</w:t>
      </w:r>
    </w:p>
    <w:p w14:paraId="5D6B1F40" w14:textId="77777777" w:rsidR="00C93428" w:rsidRDefault="00E37816">
      <w:r>
        <w:t xml:space="preserve">This study evaluates loan performance, risk distribution, and </w:t>
      </w:r>
      <w:r>
        <w:t>borrower demographics using financial_loan.csv. The analysis identifies the core drivers of default, reviews credit tier quality, and establishes data-driven lending policies.</w:t>
      </w:r>
    </w:p>
    <w:p w14:paraId="719ACCD0" w14:textId="77777777" w:rsidR="00C93428" w:rsidRDefault="00E37816">
      <w:pPr>
        <w:pStyle w:val="Heading1"/>
      </w:pPr>
      <w:r>
        <w:t>2. Data Cleaning &amp; Pipeline</w:t>
      </w:r>
    </w:p>
    <w:p w14:paraId="5AB03D59" w14:textId="77777777" w:rsidR="00C93428" w:rsidRDefault="00E37816">
      <w:r>
        <w:t>• Removed duplicates and standardized data formats a</w:t>
      </w:r>
      <w:r>
        <w:t>cross financial fields.</w:t>
      </w:r>
    </w:p>
    <w:p w14:paraId="362E6DDA" w14:textId="77777777" w:rsidR="00C93428" w:rsidRDefault="00E37816">
      <w:r>
        <w:t>• Parsed interest rates from percentage strings to floating-point numerical values.</w:t>
      </w:r>
    </w:p>
    <w:p w14:paraId="2E391AF7" w14:textId="77777777" w:rsidR="00C93428" w:rsidRDefault="00E37816">
      <w:r>
        <w:t>• Extracted calendar dates and classified records into binary health states ('Good Loan' vs. 'Bad Loan').</w:t>
      </w:r>
    </w:p>
    <w:p w14:paraId="5FCC363E" w14:textId="77777777" w:rsidR="00C93428" w:rsidRDefault="00E37816">
      <w:pPr>
        <w:pStyle w:val="Heading1"/>
      </w:pPr>
      <w:r>
        <w:t>3. Key Analytical Findings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93428" w14:paraId="3508A82D" w14:textId="77777777" w:rsidTr="00C934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849D16D" w14:textId="77777777" w:rsidR="00C93428" w:rsidRDefault="00E37816">
            <w:r>
              <w:t>Analysis Area</w:t>
            </w:r>
          </w:p>
        </w:tc>
        <w:tc>
          <w:tcPr>
            <w:tcW w:w="3120" w:type="dxa"/>
          </w:tcPr>
          <w:p w14:paraId="02F40177" w14:textId="77777777" w:rsidR="00C93428" w:rsidRDefault="00E37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</w:t>
            </w:r>
            <w:r>
              <w:t>ey Metric / Finding</w:t>
            </w:r>
          </w:p>
        </w:tc>
        <w:tc>
          <w:tcPr>
            <w:tcW w:w="3120" w:type="dxa"/>
          </w:tcPr>
          <w:p w14:paraId="65E8F4EA" w14:textId="77777777" w:rsidR="00C93428" w:rsidRDefault="00E37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Strategic Recommendation</w:t>
            </w:r>
          </w:p>
        </w:tc>
      </w:tr>
      <w:tr w:rsidR="00C93428" w14:paraId="324AC5D4" w14:textId="77777777" w:rsidTr="00C93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82897CC" w14:textId="77777777" w:rsidR="00C93428" w:rsidRDefault="00E37816">
            <w:r>
              <w:t>Loan Health</w:t>
            </w:r>
          </w:p>
        </w:tc>
        <w:tc>
          <w:tcPr>
            <w:tcW w:w="3120" w:type="dxa"/>
          </w:tcPr>
          <w:p w14:paraId="38543198" w14:textId="77777777" w:rsidR="00C93428" w:rsidRDefault="00E37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85.5% Good Loans, 14.5% Bad Loans</w:t>
            </w:r>
          </w:p>
        </w:tc>
        <w:tc>
          <w:tcPr>
            <w:tcW w:w="3120" w:type="dxa"/>
          </w:tcPr>
          <w:p w14:paraId="10FF6ECF" w14:textId="77777777" w:rsidR="00C93428" w:rsidRDefault="00E37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Strengthen baseline credit underwriting standards.</w:t>
            </w:r>
          </w:p>
        </w:tc>
      </w:tr>
      <w:tr w:rsidR="00C93428" w14:paraId="1FDE39B3" w14:textId="77777777" w:rsidTr="00C93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9942C8E" w14:textId="77777777" w:rsidR="00C93428" w:rsidRDefault="00E37816">
            <w:r>
              <w:t>Loan Amount</w:t>
            </w:r>
          </w:p>
        </w:tc>
        <w:tc>
          <w:tcPr>
            <w:tcW w:w="3120" w:type="dxa"/>
          </w:tcPr>
          <w:p w14:paraId="447E3BEC" w14:textId="77777777" w:rsidR="00C93428" w:rsidRDefault="00E37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 demand centers at $10,000–$12,000</w:t>
            </w:r>
          </w:p>
        </w:tc>
        <w:tc>
          <w:tcPr>
            <w:tcW w:w="3120" w:type="dxa"/>
          </w:tcPr>
          <w:p w14:paraId="39CD9BC9" w14:textId="77777777" w:rsidR="00C93428" w:rsidRDefault="00E37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Streamline digital approvals for medium loan amounts.</w:t>
            </w:r>
          </w:p>
        </w:tc>
      </w:tr>
      <w:tr w:rsidR="00C93428" w14:paraId="38777CA5" w14:textId="77777777" w:rsidTr="00C93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B584D0A" w14:textId="77777777" w:rsidR="00C93428" w:rsidRDefault="00E37816">
            <w:r>
              <w:t>Credit</w:t>
            </w:r>
            <w:r>
              <w:t xml:space="preserve"> Grades</w:t>
            </w:r>
          </w:p>
        </w:tc>
        <w:tc>
          <w:tcPr>
            <w:tcW w:w="3120" w:type="dxa"/>
          </w:tcPr>
          <w:p w14:paraId="75903745" w14:textId="77777777" w:rsidR="00C93428" w:rsidRDefault="00E37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Grade A defaults &lt;6%; Grades E–G exceed 30%</w:t>
            </w:r>
          </w:p>
        </w:tc>
        <w:tc>
          <w:tcPr>
            <w:tcW w:w="3120" w:type="dxa"/>
          </w:tcPr>
          <w:p w14:paraId="38A54C93" w14:textId="77777777" w:rsidR="00C93428" w:rsidRDefault="00E37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Introduce tiered interest rates and require co-signers on higher-risk tiers.</w:t>
            </w:r>
          </w:p>
        </w:tc>
      </w:tr>
      <w:tr w:rsidR="00C93428" w14:paraId="2EFEC55D" w14:textId="77777777" w:rsidTr="00C93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AF5863B" w14:textId="77777777" w:rsidR="00C93428" w:rsidRDefault="00E37816">
            <w:r>
              <w:t>Loan Purpose</w:t>
            </w:r>
          </w:p>
        </w:tc>
        <w:tc>
          <w:tcPr>
            <w:tcW w:w="3120" w:type="dxa"/>
          </w:tcPr>
          <w:p w14:paraId="182B596E" w14:textId="77777777" w:rsidR="00C93428" w:rsidRDefault="00E37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Debt consolidation accounts for the primary volume</w:t>
            </w:r>
          </w:p>
        </w:tc>
        <w:tc>
          <w:tcPr>
            <w:tcW w:w="3120" w:type="dxa"/>
          </w:tcPr>
          <w:p w14:paraId="52129C30" w14:textId="77777777" w:rsidR="00C93428" w:rsidRDefault="00E37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Pay disbursed funds directly to creditors to </w:t>
            </w:r>
            <w:r>
              <w:t>guarantee debt reduction.</w:t>
            </w:r>
          </w:p>
        </w:tc>
      </w:tr>
      <w:tr w:rsidR="00C93428" w14:paraId="0C8689E8" w14:textId="77777777" w:rsidTr="00C93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EE65826" w14:textId="77777777" w:rsidR="00C93428" w:rsidRDefault="00E37816">
            <w:r>
              <w:t>Income to Loan</w:t>
            </w:r>
          </w:p>
        </w:tc>
        <w:tc>
          <w:tcPr>
            <w:tcW w:w="3120" w:type="dxa"/>
          </w:tcPr>
          <w:p w14:paraId="65D0A210" w14:textId="77777777" w:rsidR="00C93428" w:rsidRDefault="00E37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Defaults cluster where borrowing exceeds 25% of annual income</w:t>
            </w:r>
          </w:p>
        </w:tc>
        <w:tc>
          <w:tcPr>
            <w:tcW w:w="3120" w:type="dxa"/>
          </w:tcPr>
          <w:p w14:paraId="0FE62E2F" w14:textId="77777777" w:rsidR="00C93428" w:rsidRDefault="00E37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Enforce strict debt-to-income caps based on net salary.</w:t>
            </w:r>
          </w:p>
        </w:tc>
      </w:tr>
    </w:tbl>
    <w:p w14:paraId="2065520A" w14:textId="77777777" w:rsidR="00C93428" w:rsidRDefault="00E37816">
      <w:pPr>
        <w:pStyle w:val="Heading1"/>
      </w:pPr>
      <w:r>
        <w:t>4. Executive Summary</w:t>
      </w:r>
    </w:p>
    <w:p w14:paraId="6A090B6B" w14:textId="77777777" w:rsidR="00C93428" w:rsidRDefault="00E37816">
      <w:r>
        <w:t>By tightening approval criteria on higher-risk credit grades and capping l</w:t>
      </w:r>
      <w:r>
        <w:t>oan sizes relative to verified income, lenders can reduce charge-off rates while maintaining a solid volume of prime and near-prime borrowers.</w:t>
      </w:r>
    </w:p>
    <w:sectPr w:rsidR="00C9342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3428"/>
    <w:rsid w:val="00CB0664"/>
    <w:rsid w:val="00E37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DF4F9"/>
  <w14:defaultImageDpi w14:val="300"/>
  <w15:docId w15:val="{3F2747AC-594A-4042-B2F7-ECB69DA0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DS</cp:lastModifiedBy>
  <cp:revision>2</cp:revision>
  <dcterms:created xsi:type="dcterms:W3CDTF">2013-12-23T23:15:00Z</dcterms:created>
  <dcterms:modified xsi:type="dcterms:W3CDTF">2026-10-09T11:48:00Z</dcterms:modified>
  <cp:category/>
</cp:coreProperties>
</file>