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2"/>
          <w:spacing w:val="30"/>
          <w:caps/>
        </w:rPr>
        <w:t>Statement of Work</w:t>
      </w:r>
    </w:p>
    <w:p>
      <w:r>
        <w:rPr>
          <w:sz w:val="21"/>
        </w:rPr>
        <w:t>Project ID: SOW-2026-</w:t>
      </w:r>
      <w:r>
        <w:rPr>
          <w:sz w:val="21"/>
          <w:highlight w:val="yellow"/>
        </w:rPr>
        <w:t>Please fill: Project Number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50"/>
            <w:tcMar>
              <w:right w:w="300" w:type="dxa"/>
            </w:tcMar>
            <w:vAlign w:val="top"/>
          </w:tcPr>
          <w:p>
            <w:pPr>
              <w:pStyle w:val="Heading3"/>
              <w:pBdr>
                <w:bottom w:val="single" w:sz="12" w:space="1" w:color="2C3E50"/>
              </w:pBdr>
            </w:pPr>
            <w:r>
              <w:rPr>
                <w:color w:val="2C3E50"/>
                <w:sz w:val="21"/>
                <w:caps/>
              </w:rPr>
              <w:t>Client Information</w:t>
            </w:r>
          </w:p>
          <w:p>
            <w:r>
              <w:rPr/>
              <w:br/>
            </w:r>
            <w:r>
              <w:rPr>
                <w:b/>
              </w:rPr>
              <w:t>Acme Corp</w:t>
            </w:r>
            <w:r>
              <w:br/>
            </w:r>
            <w:r>
              <w:rPr/>
              <w:br/>
            </w:r>
            <w:r>
              <w:rPr>
                <w:highlight w:val="yellow"/>
              </w:rPr>
              <w:t>Please fill: Street Address</w:t>
            </w:r>
            <w:r>
              <w:br/>
            </w:r>
            <w:r>
              <w:rPr/>
              <w:br/>
            </w:r>
            <w:r>
              <w:rPr>
                <w:highlight w:val="yellow"/>
              </w:rPr>
              <w:t>Please fill: City, State, ZIP</w:t>
            </w:r>
            <w:r>
              <w:br/>
            </w:r>
            <w:r>
              <w:rPr/>
              <w:br/>
            </w:r>
            <w:r>
              <w:rPr>
                <w:highlight w:val="yellow"/>
              </w:rPr>
              <w:t>Please fill: Contact Email</w:t>
            </w:r>
            <w:r>
              <w:rPr/>
              <w:br/>
            </w:r>
          </w:p>
        </w:tc>
        <w:tc>
          <w:tcPr>
            <w:tcW w:type="dxa" w:w="750"/>
            <w:tcMar>
              <w:left w:w="300" w:type="dxa"/>
            </w:tcMar>
            <w:vAlign w:val="top"/>
          </w:tcPr>
          <w:p>
            <w:pPr>
              <w:pStyle w:val="Heading3"/>
              <w:pBdr>
                <w:bottom w:val="single" w:sz="12" w:space="1" w:color="2C3E50"/>
              </w:pBdr>
            </w:pPr>
            <w:r>
              <w:rPr>
                <w:color w:val="2C3E50"/>
                <w:sz w:val="21"/>
                <w:caps/>
              </w:rPr>
              <w:t>Provider Information</w:t>
            </w:r>
          </w:p>
          <w:p>
            <w:r>
              <w:rPr/>
              <w:br/>
            </w:r>
            <w:r>
              <w:rPr>
                <w:b/>
                <w:highlight w:val="yellow"/>
              </w:rPr>
              <w:t>Please fill: Freelance Designer Name</w:t>
            </w:r>
            <w:r>
              <w:br/>
            </w:r>
            <w:r>
              <w:rPr/>
              <w:br/>
            </w:r>
            <w:r>
              <w:rPr>
                <w:highlight w:val="yellow"/>
              </w:rPr>
              <w:t>Please fill: Designer Street Address</w:t>
            </w:r>
            <w:r>
              <w:br/>
            </w:r>
            <w:r>
              <w:rPr/>
              <w:br/>
            </w:r>
            <w:r>
              <w:rPr>
                <w:highlight w:val="yellow"/>
              </w:rPr>
              <w:t>Please fill: City, State, ZIP</w:t>
            </w:r>
            <w:r>
              <w:br/>
            </w:r>
            <w:r>
              <w:rPr/>
              <w:br/>
            </w:r>
            <w:r>
              <w:rPr>
                <w:highlight w:val="yellow"/>
              </w:rPr>
              <w:t>Please fill: Designer Email</w:t>
            </w:r>
            <w:r>
              <w:rPr/>
              <w:br/>
            </w:r>
          </w:p>
        </w:tc>
      </w:tr>
    </w:tbl>
    <w:p>
      <w:pPr>
        <w:pStyle w:val="Heading2"/>
        <w:pBdr>
          <w:left w:val="single" w:sz="24" w:space="1" w:color="2C3E50"/>
        </w:pBdr>
      </w:pPr>
      <w:r>
        <w:rPr>
          <w:color w:val="2C3E50"/>
          <w:sz w:val="27"/>
        </w:rPr>
        <w:t>1. Project Overview</w:t>
      </w:r>
    </w:p>
    <w:p>
      <w:r>
        <w:rPr/>
        <w:t>This Statement of Work (SOW) outlines the terms and deliverables for the Website Redesign Project. The objective is to refresh the digital presence of Acme Corp through a modern, high-performance interface that improves user engagement and aligns with current brand standards. This document serves as a formal agreement between Acme Corp and the Provider for the duration of the project lifecycle, effective July 21, 2026.</w:t>
      </w:r>
    </w:p>
    <w:p>
      <w:pPr>
        <w:pStyle w:val="Heading2"/>
        <w:spacing w:before="450"/>
        <w:pBdr>
          <w:left w:val="single" w:sz="24" w:space="1" w:color="2C3E50"/>
        </w:pBdr>
      </w:pPr>
      <w:r>
        <w:rPr>
          <w:color w:val="2C3E50"/>
          <w:sz w:val="27"/>
        </w:rPr>
        <w:t>2. Scope of Work</w:t>
      </w:r>
    </w:p>
    <w:p>
      <w:r>
        <w:rPr/>
        <w:t>The Provider shall be responsible for the following key deliverables:</w:t>
      </w:r>
    </w:p>
    <w:p>
      <w:pPr>
        <w:pStyle w:val="ListBullet"/>
      </w:pPr>
      <w:r>
        <w:rPr>
          <w:b/>
        </w:rPr>
        <w:t>UX/UI Design and Wireframing:</w:t>
      </w:r>
      <w:r>
        <w:rPr/>
        <w:t xml:space="preserve"> Creation of comprehensive user experience maps and high-fidelity user interface designs for the new website interface, ensuring a cohesive visual language.</w:t>
      </w:r>
    </w:p>
    <w:p>
      <w:pPr>
        <w:pStyle w:val="ListBullet"/>
      </w:pPr>
      <w:r>
        <w:rPr>
          <w:b/>
        </w:rPr>
        <w:t>Front-end Development:</w:t>
      </w:r>
      <w:r>
        <w:rPr/>
        <w:t xml:space="preserve"> Technical implementation of the approved designs into a functional, responsive codebase that ensures seamless performance across mobile, tablet, and desktop devices.</w:t>
      </w:r>
    </w:p>
    <w:p>
      <w:pPr>
        <w:pStyle w:val="ListBullet"/>
      </w:pPr>
      <w:r>
        <w:rPr>
          <w:b/>
        </w:rPr>
        <w:t>Content Migration and QA:</w:t>
      </w:r>
      <w:r>
        <w:rPr/>
        <w:t xml:space="preserve"> Systematic transfer of existing brand assets and content to the new architecture, followed by rigorous Quality Assurance testing to ensure cross-browser compatibility and link integrity.</w:t>
      </w:r>
    </w:p>
    <w:p>
      <w:pPr>
        <w:pStyle w:val="Heading2"/>
        <w:spacing w:before="450"/>
        <w:pBdr>
          <w:left w:val="single" w:sz="24" w:space="1" w:color="2C3E50"/>
        </w:pBdr>
      </w:pPr>
      <w:r>
        <w:rPr>
          <w:color w:val="2C3E50"/>
          <w:sz w:val="27"/>
        </w:rPr>
        <w:t>3. Project Timeline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bottom w:val="single" w:sz="12" w:space="0" w:color="DEE2E6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jc w:val="left"/>
            </w:pPr>
            <w:r/>
            <w:r>
              <w:rPr>
                <w:b/>
                <w:color w:val="2C3E50"/>
              </w:rPr>
              <w:t>Milestone Description</w:t>
            </w:r>
          </w:p>
        </w:tc>
        <w:tc>
          <w:tcPr>
            <w:tcW w:type="dxa" w:w="4680"/>
            <w:tcBorders>
              <w:bottom w:val="single" w:sz="12" w:space="0" w:color="DEE2E6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jc w:val="right"/>
            </w:pPr>
            <w:r/>
            <w:r>
              <w:rPr>
                <w:b/>
                <w:color w:val="2C3E50"/>
              </w:rPr>
              <w:t>Target Date</w:t>
            </w:r>
          </w:p>
        </w:tc>
      </w:tr>
      <w:tr>
        <w:tc>
          <w:tcPr>
            <w:tcW w:type="dxa" w:w="4680"/>
            <w:tcBorders>
              <w:bottom w:val="single" w:sz="6" w:space="0" w:color="EEEEEE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r/>
            <w:r>
              <w:rPr/>
              <w:t>Initial design mockups and wireframes delivery</w:t>
            </w:r>
          </w:p>
        </w:tc>
        <w:tc>
          <w:tcPr>
            <w:tcW w:type="dxa" w:w="4680"/>
            <w:tcBorders>
              <w:bottom w:val="single" w:sz="6" w:space="0" w:color="EEEEEE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jc w:val="right"/>
            </w:pPr>
            <w:r/>
            <w:r>
              <w:rPr/>
              <w:t>July 31, 2026</w:t>
            </w:r>
          </w:p>
        </w:tc>
      </w:tr>
      <w:tr>
        <w:tc>
          <w:tcPr>
            <w:tcW w:type="dxa" w:w="4680"/>
            <w:tcBorders>
              <w:bottom w:val="single" w:sz="6" w:space="0" w:color="EEEEEE"/>
            </w:tcBorders>
            <w:shd w:val="clear" w:color="auto" w:fill="FDFDFD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r/>
            <w:r>
              <w:rPr/>
              <w:t>Front-end development completion</w:t>
            </w:r>
          </w:p>
        </w:tc>
        <w:tc>
          <w:tcPr>
            <w:tcW w:type="dxa" w:w="4680"/>
            <w:tcBorders>
              <w:bottom w:val="single" w:sz="6" w:space="0" w:color="EEEEEE"/>
            </w:tcBorders>
            <w:shd w:val="clear" w:color="auto" w:fill="FDFDFD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jc w:val="right"/>
            </w:pPr>
            <w:r/>
            <w:r>
              <w:rPr/>
              <w:t>August 15, 2026</w:t>
            </w:r>
          </w:p>
        </w:tc>
      </w:tr>
      <w:tr>
        <w:tc>
          <w:tcPr>
            <w:tcW w:type="dxa" w:w="4680"/>
            <w:tcBorders>
              <w:bottom w:val="single" w:sz="6" w:space="0" w:color="EEEEEE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r/>
            <w:r>
              <w:rPr/>
              <w:t>Final launch and QA sign-off</w:t>
            </w:r>
          </w:p>
        </w:tc>
        <w:tc>
          <w:tcPr>
            <w:tcW w:type="dxa" w:w="4680"/>
            <w:tcBorders>
              <w:bottom w:val="single" w:sz="6" w:space="0" w:color="EEEEEE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jc w:val="right"/>
            </w:pPr>
            <w:r/>
            <w:r>
              <w:rPr/>
              <w:t>August 21, 2026</w:t>
            </w:r>
          </w:p>
        </w:tc>
      </w:tr>
    </w:tbl>
    <w:p>
      <w:pPr>
        <w:pStyle w:val="Heading2"/>
        <w:spacing w:before="600"/>
        <w:pBdr>
          <w:left w:val="single" w:sz="24" w:space="1" w:color="2C3E50"/>
        </w:pBdr>
      </w:pPr>
      <w:r>
        <w:rPr>
          <w:color w:val="2C3E50"/>
          <w:sz w:val="27"/>
        </w:rPr>
        <w:t>4. Fees and Payment Terms</w:t>
      </w:r>
    </w:p>
    <w:p>
      <w:r>
        <w:rPr/>
        <w:t xml:space="preserve">The total fixed fee for the services described in this SOW is </w:t>
      </w:r>
      <w:r>
        <w:rPr>
          <w:b/>
        </w:rPr>
        <w:t>$6,000.00</w:t>
      </w:r>
      <w:r>
        <w:rPr/>
        <w:t>. Payments shall be disbursed according to the following schedule: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00"/>
          </w:tcPr>
          <w:p>
            <w:r/>
          </w:p>
        </w:tc>
        <w:tc>
          <w:tcPr>
            <w:tcW w:type="dxa" w:w="600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00"/>
              <w:gridCol w:w="300"/>
            </w:tblGrid>
            <w:tr>
              <w:tc>
                <w:tcPr>
                  <w:tcW w:type="dxa" w:w="300"/>
                  <w:tcBorders>
                    <w:bottom w:val="single" w:sz="6" w:space="0" w:color="EEEEEE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>
                  <w:r/>
                  <w:r>
                    <w:rPr/>
                    <w:t>Upfront Deposit (40%)</w:t>
                  </w:r>
                </w:p>
              </w:tc>
              <w:tc>
                <w:tcPr>
                  <w:tcW w:type="dxa" w:w="300"/>
                  <w:tcBorders>
                    <w:bottom w:val="single" w:sz="6" w:space="0" w:color="EEEEEE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>
                  <w:pPr>
                    <w:jc w:val="right"/>
                  </w:pPr>
                  <w:r/>
                  <w:r>
                    <w:rPr/>
                    <w:t>$2,400.00</w:t>
                  </w:r>
                </w:p>
              </w:tc>
            </w:tr>
            <w:tr>
              <w:tc>
                <w:tcPr>
                  <w:tcW w:type="dxa" w:w="300"/>
                  <w:tcBorders>
                    <w:bottom w:val="single" w:sz="6" w:space="0" w:color="EEEEEE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>
                  <w:r/>
                  <w:r>
                    <w:rPr/>
                    <w:t>Final Delivery Payment (60%)</w:t>
                  </w:r>
                </w:p>
              </w:tc>
              <w:tc>
                <w:tcPr>
                  <w:tcW w:type="dxa" w:w="300"/>
                  <w:tcBorders>
                    <w:bottom w:val="single" w:sz="6" w:space="0" w:color="EEEEEE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>
                  <w:pPr>
                    <w:jc w:val="right"/>
                  </w:pPr>
                  <w:r/>
                  <w:r>
                    <w:rPr/>
                    <w:t>$3,600.00</w:t>
                  </w:r>
                </w:p>
              </w:tc>
            </w:tr>
            <w:tr>
              <w:tc>
                <w:tcPr>
                  <w:tcW w:type="dxa" w:w="300"/>
                  <w:shd w:val="clear" w:color="auto" w:fill="2C3E50"/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</w:tcPr>
                <w:p>
                  <w:r/>
                  <w:r>
                    <w:rPr>
                      <w:b/>
                      <w:color w:val="FFFFFF"/>
                    </w:rPr>
                    <w:t>TOTAL PROJECT FEE</w:t>
                  </w:r>
                </w:p>
              </w:tc>
              <w:tc>
                <w:tcPr>
                  <w:tcW w:type="dxa" w:w="300"/>
                  <w:shd w:val="clear" w:color="auto" w:fill="2C3E50"/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</w:tcPr>
                <w:p>
                  <w:pPr>
                    <w:jc w:val="right"/>
                  </w:pPr>
                  <w:r/>
                  <w:r>
                    <w:rPr>
                      <w:b/>
                      <w:color w:val="FFFFFF"/>
                    </w:rPr>
                    <w:t>$6,000.00</w:t>
                  </w:r>
                </w:p>
              </w:tc>
            </w:tr>
          </w:tbl>
          <w:p/>
        </w:tc>
      </w:tr>
    </w:tbl>
    <w:p>
      <w:pPr>
        <w:pStyle w:val="Heading3"/>
        <w:spacing w:after="300"/>
      </w:pPr>
      <w:r>
        <w:rPr>
          <w:color w:val="2C3E50"/>
          <w:sz w:val="21"/>
          <w:caps/>
        </w:rPr>
        <w:t>Authorization and Acceptance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675"/>
            <w:tcBorders>
              <w:top w:val="single" w:sz="6" w:space="0" w:color="000000"/>
            </w:tcBorders>
            <w:tcMar>
              <w:top w:w="150" w:type="dxa"/>
            </w:tcMar>
            <w:vAlign w:val="top"/>
          </w:tcPr>
          <w:p>
            <w:r>
              <w:rPr>
                <w:b/>
                <w:sz w:val="18"/>
              </w:rPr>
              <w:t>Acme Corp (Authorized Signatory)</w:t>
            </w:r>
          </w:p>
          <w:p>
            <w:r>
              <w:rPr>
                <w:sz w:val="18"/>
              </w:rPr>
              <w:t>Date: July 21, 2026</w:t>
            </w:r>
          </w:p>
        </w:tc>
        <w:tc>
          <w:tcPr>
            <w:tcW w:type="dxa" w:w="150"/>
          </w:tcPr>
          <w:p>
            <w:r/>
          </w:p>
        </w:tc>
        <w:tc>
          <w:tcPr>
            <w:tcW w:type="dxa" w:w="675"/>
            <w:tcBorders>
              <w:top w:val="single" w:sz="6" w:space="0" w:color="000000"/>
            </w:tcBorders>
            <w:tcMar>
              <w:top w:w="150" w:type="dxa"/>
            </w:tcMar>
            <w:vAlign w:val="top"/>
          </w:tcPr>
          <w:p>
            <w:r>
              <w:rPr>
                <w:b/>
                <w:sz w:val="18"/>
                <w:highlight w:val="yellow"/>
              </w:rPr>
              <w:t>Please fill: Freelance Designer Name</w:t>
            </w:r>
          </w:p>
          <w:p>
            <w:r>
              <w:rPr>
                <w:sz w:val="18"/>
              </w:rPr>
              <w:t>Date: July 21, 2026</w:t>
            </w:r>
          </w:p>
        </w:tc>
      </w:tr>
    </w:tbl>
    <w:p>
      <w:r>
        <w:rPr/>
        <w:t xml:space="preserve">This document is a legally binding Statement of Work. All changes to the scope must be agreed upon in writing by both parties. Payment is due within </w:t>
      </w:r>
      <w:r>
        <w:rPr>
          <w:highlight w:val="yellow"/>
        </w:rPr>
        <w:t>Please fill: number of days</w:t>
      </w:r>
      <w:r>
        <w:rPr/>
        <w:t xml:space="preserve"> of invoice receipt.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sans-serif" w:hAnsi="sans-serif" w:cs="sans-serif" w:eastAsia="sans-serif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ans-serif" w:hAnsi="sans-serif" w:cs="sans-serif" w:eastAsia="sans-serif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