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created for software testing. All names, entities, numbers, and dates are invented.</w:t>
      </w:r>
    </w:p>
    <w:p>
      <w:r>
        <w:t>EXHIBIT C</w:t>
      </w:r>
    </w:p>
    <w:p>
      <w:r>
        <w:t>CITATION AND ADOPTION REPORT</w:t>
      </w:r>
    </w:p>
    <w:p>
      <w:r>
        <w:t>Subject: Published work of Ilona Marta Brasch, Ph.D.</w:t>
      </w:r>
    </w:p>
    <w:p>
      <w:r>
        <w:t>Prepared by: Marchetti Bibliometric Services LLC, 610 Wardell Avenue, Suite 3, Ann Arbor, MI 48104</w:t>
      </w:r>
    </w:p>
    <w:p>
      <w:r>
        <w:t>Prepared for: Villaseñor &amp; Auwae PLLC</w:t>
      </w:r>
    </w:p>
    <w:p>
      <w:r>
        <w:t>Data pulled: October 6, 2025</w:t>
      </w:r>
    </w:p>
    <w:p>
      <w:r>
        <w:t>Sources: ScholarIndex Plus (release 2025.3); publisher-issued citation exports; conference proceedings obtained directly from organisers</w:t>
      </w:r>
    </w:p>
    <w:p>
      <w:r>
        <w:t>Marchetti Bibliometric Services LLC has no financial interest in Halide Loop</w:t>
      </w:r>
    </w:p>
    <w:p>
      <w:r>
        <w:t>Technologies, Inc. and has performed no other work for Dr. Brasch.</w:t>
      </w:r>
    </w:p>
    <w:p>
      <w:r>
        <w:t>---</w:t>
      </w:r>
    </w:p>
    <w:p>
      <w:r>
        <w:t>1. SUMMARY OF COUNTS</w:t>
      </w:r>
    </w:p>
    <w:p>
      <w:r>
        <w:t>| Measure | Count |</w:t>
      </w:r>
    </w:p>
    <w:p>
      <w:r>
        <w:t>|---|---|</w:t>
      </w:r>
    </w:p>
    <w:p>
      <w:r>
        <w:t>| Indexed publications by Dr. Brasch | 6 |</w:t>
      </w:r>
    </w:p>
    <w:p>
      <w:r>
        <w:t>| Total citations | 214 |</w:t>
      </w:r>
    </w:p>
    <w:p>
      <w:r>
        <w:t>| Self-citations (any Brasch-authored work) | 19 |</w:t>
      </w:r>
    </w:p>
    <w:p>
      <w:r>
        <w:t>| Citations by co-authors of Dr. Brasch (Achterberg, Timm, Oyelaran) | 23 |</w:t>
      </w:r>
    </w:p>
    <w:p>
      <w:r>
        <w:t>| Independent citations (neither self nor co-author) | 172 |</w:t>
      </w:r>
    </w:p>
    <w:p>
      <w:r>
        <w:t>| Distinct citing institutions | 61 |</w:t>
      </w:r>
    </w:p>
    <w:p>
      <w:r>
        <w:t>| Distinct citing countries | 19 |</w:t>
      </w:r>
    </w:p>
    <w:p>
      <w:r>
        <w:t>| Highest-cited single work | Brasch &amp; Achterberg (2022), 96 citations |</w:t>
      </w:r>
    </w:p>
    <w:p>
      <w:r>
        <w:t>Independent citations are those in which no author of the citing work has ever</w:t>
      </w:r>
    </w:p>
    <w:p>
      <w:r>
        <w:t>co-authored, supervised, or been supervised by Dr. Brasch, verified author by author</w:t>
      </w:r>
    </w:p>
    <w:p>
      <w:r>
        <w:t>against her full publication history.</w:t>
      </w:r>
    </w:p>
    <w:p>
      <w:r>
        <w:t>2. SELECTED INDEPENDENT CITING WORKS</w:t>
      </w:r>
    </w:p>
    <w:p>
      <w:r>
        <w:t>2.1 REYES-ALDANA, P., AND KOWALCZYK, M. (2024)</w:t>
      </w:r>
    </w:p>
    <w:p>
      <w:r>
        <w:t>"Comparative regeneration economics for six lithium-selective sorbents."</w:t>
      </w:r>
    </w:p>
    <w:p>
      <w:r>
        <w:t>*International Journal of Hydrometallurgical Practice*, 22(6), 1104–1131.</w:t>
      </w:r>
    </w:p>
    <w:p>
      <w:r>
        <w:t>Affiliation: Department of Mining and Materials, Wexbridge University, Ontario, Canada.</w:t>
      </w:r>
    </w:p>
    <w:p>
      <w:r>
        <w:t>"Across the six sorbents surveyed, only the regeneration schedule reported by Brasch and</w:t>
      </w:r>
    </w:p>
    <w:p>
      <w:r>
        <w:t>Achterberg (2022) brought cycle time below four hours without a measurable loss of</w:t>
      </w:r>
    </w:p>
    <w:p>
      <w:r>
        <w:t>selectivity, and it is against that schedule that we benchmark the remainder of this</w:t>
      </w:r>
    </w:p>
    <w:p>
      <w:r>
        <w:t>comparison."</w:t>
      </w:r>
    </w:p>
    <w:p>
      <w:r>
        <w:t>2.2 NGOY, S. B., FAIRHURST, D., AND IVANOVA, L. (2025)</w:t>
      </w:r>
    </w:p>
    <w:p>
      <w:r>
        <w:t>"Silica management in continuous wellhead extraction: a two-year operating review."</w:t>
      </w:r>
    </w:p>
    <w:p>
      <w:r>
        <w:t>*Geothermal Systems Engineering*, 41(2), 188–207.</w:t>
      </w:r>
    </w:p>
    <w:p>
      <w:r>
        <w:t>Affiliation: Karoo Geothermal Research Unit, University of the Southern Cape, South Africa.</w:t>
      </w:r>
    </w:p>
    <w:p>
      <w:r>
        <w:t>"Our fouling curves reproduce, at a different silica loading, the two-stage behaviour</w:t>
      </w:r>
    </w:p>
    <w:p>
      <w:r>
        <w:t>Brasch (2024) first identified — an induction period followed by an abrupt permeability</w:t>
      </w:r>
    </w:p>
    <w:p>
      <w:r>
        <w:t>collapse — and we have adopted her induction-period metric in place of the simple</w:t>
      </w:r>
    </w:p>
    <w:p>
      <w:r>
        <w:t>pressure-drop threshold used in our earlier work."</w:t>
      </w:r>
    </w:p>
    <w:p>
      <w:r>
        <w:t>2.3 VILLANUEVA-ORTIZ, R. (2024)</w:t>
      </w:r>
    </w:p>
    <w:p>
      <w:r>
        <w:t>"Attrition, not selectivity, sets the floor on direct lithium extraction cost."</w:t>
      </w:r>
    </w:p>
    <w:p>
      <w:r>
        <w:t>*Minerals Process Engineering Review*, 30(9), 977–994.</w:t>
      </w:r>
    </w:p>
    <w:p>
      <w:r>
        <w:t>Affiliation: Instituto de Ingeniería de Procesos, Universidad de Altamonte, Mexico.</w:t>
      </w:r>
    </w:p>
    <w:p>
      <w:r>
        <w:t>"Brasch's per-cycle attrition figure of 0.11 per cent is, to our knowledge, the only</w:t>
      </w:r>
    </w:p>
    <w:p>
      <w:r>
        <w:t>such figure published from continuous service on real brine rather than from synthetic</w:t>
      </w:r>
    </w:p>
    <w:p>
      <w:r>
        <w:t>laboratory feed, and we use it as the reference value throughout."</w:t>
      </w:r>
    </w:p>
    <w:p>
      <w:r>
        <w:t>2.4 HALVORSEN, T., BJELKE, A., AND SØRHAUG, E. (2025)</w:t>
      </w:r>
    </w:p>
    <w:p>
      <w:r>
        <w:t>"Layered manganese oxides for lithium capture: a critical review."</w:t>
      </w:r>
    </w:p>
    <w:p>
      <w:r>
        <w:t>*Reviews in Separation Science*, 18(1), 12–58.</w:t>
      </w:r>
    </w:p>
    <w:p>
      <w:r>
        <w:t>Affiliation: Fjordvik Institute of Technology, Norway.</w:t>
      </w:r>
    </w:p>
    <w:p>
      <w:r>
        <w:t>"The field's working understanding of calcium interference in layered manganese oxides</w:t>
      </w:r>
    </w:p>
    <w:p>
      <w:r>
        <w:t>rests substantially on Brasch (2022), whose selectivity limit has since been confirmed</w:t>
      </w:r>
    </w:p>
    <w:p>
      <w:r>
        <w:t>by three independent groups."</w:t>
      </w:r>
    </w:p>
    <w:p>
      <w:r>
        <w:t>2.5 OKPARA, C., AND LINDQVIST, H. (2025)</w:t>
      </w:r>
    </w:p>
    <w:p>
      <w:r>
        <w:t>"Produced water as a lithium resource: a screening study of the Williston Basin."</w:t>
      </w:r>
    </w:p>
    <w:p>
      <w:r>
        <w:t>*Applied Brine Chemistry Letters*, 10(4), 199–221.</w:t>
      </w:r>
    </w:p>
    <w:p>
      <w:r>
        <w:t>Affiliation: Basin Resources Program, Sandhill State University, North Dakota.</w:t>
      </w:r>
    </w:p>
    <w:p>
      <w:r>
        <w:t>"We applied the Brasch regeneration protocol without modification to produced water at</w:t>
      </w:r>
    </w:p>
    <w:p>
      <w:r>
        <w:t>one-sixth the lithium concentration of geothermal brine and recovered 71 per cent of</w:t>
      </w:r>
    </w:p>
    <w:p>
      <w:r>
        <w:t>theoretical loading, which suggests the method is not specific to the geothermal case."</w:t>
      </w:r>
    </w:p>
    <w:p>
      <w:r>
        <w:t>3. ADOPTION BEYOND CITATION</w:t>
      </w:r>
    </w:p>
    <w:p>
      <w:r>
        <w:t>3.1 Standard test method. The North American Brine Technology Council issued</w:t>
      </w:r>
    </w:p>
    <w:p>
      <w:r>
        <w:t>NABTC TM-14, "Standard Test Method for Sorbent Attrition in Continuous Brine Service"</w:t>
      </w:r>
    </w:p>
    <w:p>
      <w:r>
        <w:t>(first edition, March 2025). The method's scope section states that the procedure is</w:t>
      </w:r>
    </w:p>
    <w:p>
      <w:r>
        <w:t>"derived from the continuous-service attrition measurement described by Brasch (2025)."</w:t>
      </w:r>
    </w:p>
    <w:p>
      <w:r>
        <w:t>Dr. Brasch is not a member of the Council and did not sit on the drafting committee; the</w:t>
      </w:r>
    </w:p>
    <w:p>
      <w:r>
        <w:t>Council confirmed by e-mail dated September 30, 2025 that she was not consulted during</w:t>
      </w:r>
    </w:p>
    <w:p>
      <w:r>
        <w:t>drafting.</w:t>
      </w:r>
    </w:p>
    <w:p>
      <w:r>
        <w:t>3.2 Independent replication. The Karoo Geothermal Research Unit (§2.2) rebuilt the</w:t>
      </w:r>
    </w:p>
    <w:p>
      <w:r>
        <w:t>bench column described in Brasch (2024) and reported reproducing the two-stage fouling</w:t>
      </w:r>
    </w:p>
    <w:p>
      <w:r>
        <w:t>curve at a different silica loading.</w:t>
      </w:r>
    </w:p>
    <w:p>
      <w:r>
        <w:t>3.3 Teaching use. *Separation Processes II*, a graduate course at Wexbridge</w:t>
      </w:r>
    </w:p>
    <w:p>
      <w:r>
        <w:t>University, lists Brasch &amp; Achterberg (2022) as required reading in its published</w:t>
      </w:r>
    </w:p>
    <w:p>
      <w:r>
        <w:t>2025–2026 syllabus.</w:t>
      </w:r>
    </w:p>
    <w:p>
      <w:r>
        <w:t>4. METHOD AND LIMITATIONS</w:t>
      </w:r>
    </w:p>
    <w:p>
      <w:r>
        <w:t>Counts were taken from ScholarIndex Plus on October 6, 2025 and reconciled against</w:t>
      </w:r>
    </w:p>
    <w:p>
      <w:r>
        <w:t>publisher-issued exports. Conference abstracts without proceedings were excluded.</w:t>
      </w:r>
    </w:p>
    <w:p>
      <w:r>
        <w:t>Citations were classified as independent only where every author of the citing work could</w:t>
      </w:r>
    </w:p>
    <w:p>
      <w:r>
        <w:t>be checked against Dr. Brasch's co-author history; four citing works whose authorship</w:t>
      </w:r>
    </w:p>
    <w:p>
      <w:r>
        <w:t>could not be fully resolved were excluded from the independent count rather than assumed</w:t>
      </w:r>
    </w:p>
    <w:p>
      <w:r>
        <w:t>independent.</w:t>
      </w:r>
    </w:p>
    <w:p>
      <w:r>
        <w:t>Prepared by:</w:t>
      </w:r>
    </w:p>
    <w:p>
      <w:r>
        <w:t>/s/ D. Marchetti</w:t>
      </w:r>
    </w:p>
    <w:p>
      <w:r>
        <w:t>Diane Marchetti</w:t>
      </w:r>
    </w:p>
    <w:p>
      <w:r>
        <w:t>Principal, Marchetti Bibliometric Services LLC</w:t>
      </w:r>
    </w:p>
    <w:p>
      <w:r>
        <w:t>October 6,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