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document created for software testing. All names, entities, numbers, and events are invented.*</w:t>
      </w:r>
    </w:p>
    <w:p>
      <w:r>
        <w:t>EXHIBIT A — BUSINESS PLAN (EXCERPT)</w:t>
      </w:r>
    </w:p>
    <w:p>
      <w:r>
        <w:t>Tessera Lane Roasting Company LLC</w:t>
      </w:r>
    </w:p>
    <w:p>
      <w:r>
        <w:t>418 Kestrel Row, Suite 120, Hollandsworth, NC 27519</w:t>
      </w:r>
    </w:p>
    <w:p>
      <w:r>
        <w:t>Prepared for the E-2 petition of Marta Isilda Duarte Vasconcelos</w:t>
      </w:r>
    </w:p>
    <w:p>
      <w:r>
        <w:t>Financial section dated September 2025</w:t>
      </w:r>
    </w:p>
    <w:p>
      <w:r>
        <w:t>*Excerpt filed with the petition: Sections 1, 3, 5, 6 and 7. Sections 2 and 4 (brand guidelines and store design) were omitted as not material.*</w:t>
      </w:r>
    </w:p>
    <w:p>
      <w:r>
        <w:t>---</w:t>
      </w:r>
    </w:p>
    <w:p>
      <w:r>
        <w:t>1. EXECUTIVE SUMMARY</w:t>
      </w:r>
    </w:p>
    <w:p>
      <w:r>
        <w:t>Tessera Lane Roasting Company LLC ("Tessera Lane" or "the Company") is a specialty coffee roaster and retail café operating from a 2,150 square foot leased facility at 418 Kestrel Row, Hollandsworth, North Carolina. The Company was organized under North Carolina law on February 26, 2025 and is wholly owned by Marta Isilda Duarte Vasconcelos, a national of Portugal.</w:t>
      </w:r>
    </w:p>
    <w:p>
      <w:r>
        <w:t>The Company roasts green coffee on a 15-kilogram Halversen HR-15 drum roaster installed on the premises, sells roasted coffee by the bag and by the cup from an adjoining 34-seat café, and intends to build a wholesale channel serving independent cafés, restaurants and grocers within a 90-minute drive of Hollandsworth.</w:t>
      </w:r>
    </w:p>
    <w:p>
      <w:r>
        <w:t>Ms. Vasconcelos has contributed USD 336,400 of personal capital to the Company. As of September 30, 2025, USD 294,200 had been expended on the leasehold, equipment, inventory, licensing and pre-opening payroll. The café opened to the public on September 8, 2025.</w:t>
      </w:r>
    </w:p>
    <w:p>
      <w:r>
        <w:t>3. OPERATIONS</w:t>
      </w:r>
    </w:p>
    <w:p>
      <w:r>
        <w:t>Premises. Suite 120 comprises a 640 sq ft production room housing the roaster, destoner and packing table; a 1,180 sq ft café and retail floor; and 330 sq ft of storage, office and staff area. The premises are leased for a 60-month term commencing August 1, 2025.</w:t>
      </w:r>
    </w:p>
    <w:p>
      <w:r>
        <w:t>Production. The HR-15 roaster produces approximately 12 kg of finished coffee per hour at commercial batch sizes. Operating one shift of six hours, four days per week, the installed capacity is approximately 288 kg of roasted coffee per week, against projected Year 1 demand of approximately 96 kg per week. Capacity is therefore not a constraint on the growth projected in Section 6.</w:t>
      </w:r>
    </w:p>
    <w:p>
      <w:r>
        <w:t>Green coffee supply. The Company purchases green coffee through two importers, Calderwood Green Coffee Traders (Oakland, CA) and Serra Alta Importers LLC (Miami, FL), on 30-day terms following an initial prepayment period. Opening green inventory of USD 18,700 covers approximately eleven weeks of Year 1 production.</w:t>
      </w:r>
    </w:p>
    <w:p>
      <w:r>
        <w:t>Hours and channels. The café trades Tuesday through Sunday, 7:00 a.m. to 4:00 p.m. Retail bagged coffee is sold on the floor and through the Company's website. Wholesale delivery is planned for Tuesday and Friday mornings using the owner's vehicle until Year 3, when a delivery van is budgeted.</w:t>
      </w:r>
    </w:p>
    <w:p>
      <w:r>
        <w:t>5. STAFFING PLAN</w:t>
      </w:r>
    </w:p>
    <w:p>
      <w:r>
        <w:t>Current staff as of September 30, 2025:</w:t>
      </w:r>
    </w:p>
    <w:p>
      <w:r>
        <w:t>| Name | Position | Status | Start date | Wage |</w:t>
      </w:r>
    </w:p>
    <w:p>
      <w:r>
        <w:t>|---|---|---|---|---|</w:t>
      </w:r>
    </w:p>
    <w:p>
      <w:r>
        <w:t>| Marta I. D. Vasconcelos | Owner and Manager | Full time | March 3, 2025 | Owner draw |</w:t>
      </w:r>
    </w:p>
    <w:p>
      <w:r>
        <w:t>| Dominic Ferraro-Klein | Roaster Assistant | Full time | August 11, 2025 | USD 21.00 / hour |</w:t>
      </w:r>
    </w:p>
    <w:p>
      <w:r>
        <w:t>| Aisha N. Bowersock | Café Lead | Full time | August 18, 2025 | USD 19.50 / hour |</w:t>
      </w:r>
    </w:p>
    <w:p>
      <w:r>
        <w:t>Planned hiring schedule:</w:t>
      </w:r>
    </w:p>
    <w:p>
      <w:r>
        <w:t>| Period | Positions added | Cumulative headcount (incl. owner) |</w:t>
      </w:r>
    </w:p>
    <w:p>
      <w:r>
        <w:t>|---|---|---|</w:t>
      </w:r>
    </w:p>
    <w:p>
      <w:r>
        <w:t>| Year 1 (Oct 2025 – Sep 2026) | 1 part-time barista (Q2), 1 part-time barista (Q4) | 5 |</w:t>
      </w:r>
    </w:p>
    <w:p>
      <w:r>
        <w:t>| Year 2 | 1 full-time barista, 1 wholesale account representative | 7 |</w:t>
      </w:r>
    </w:p>
    <w:p>
      <w:r>
        <w:t>| Year 3 | 1 full-time roaster, 1 part-time packer | 9 |</w:t>
      </w:r>
    </w:p>
    <w:p>
      <w:r>
        <w:t>| Year 4 | 1 delivery driver | 10 |</w:t>
      </w:r>
    </w:p>
    <w:p>
      <w:r>
        <w:t>| Year 5 | 1 café supervisor, 1 part-time barista | 12 |</w:t>
      </w:r>
    </w:p>
    <w:p>
      <w:r>
        <w:t>Wages for planned positions are budgeted at USD 17.00–24.00 per hour depending on role, with the wholesale account representative budgeted at USD 52,000 per year plus commission.</w:t>
      </w:r>
    </w:p>
    <w:p>
      <w:r>
        <w:t>6. FINANCIAL PROJECTIONS</w:t>
      </w:r>
    </w:p>
    <w:p>
      <w:r>
        <w:t>All figures in USD. Year 1 begins October 1, 2025.</w:t>
      </w:r>
    </w:p>
    <w:p>
      <w:r>
        <w:t>| | Year 1 | Year 2 | Year 3 | Year 4 | Year 5 |</w:t>
      </w:r>
    </w:p>
    <w:p>
      <w:r>
        <w:t>|---|---|---|---|---|---|</w:t>
      </w:r>
    </w:p>
    <w:p>
      <w:r>
        <w:t>| Café revenue | 331,000 | 438,000 | 489,000 | 522,000 | 548,000 |</w:t>
      </w:r>
    </w:p>
    <w:p>
      <w:r>
        <w:t>| Retail bagged coffee | 58,000 | 96,000 | 124,000 | 147,000 | 166,000 |</w:t>
      </w:r>
    </w:p>
    <w:p>
      <w:r>
        <w:t>| Wholesale revenue | 23,000 | 114,000 | 202,000 | 289,000 | 390,000 |</w:t>
      </w:r>
    </w:p>
    <w:p>
      <w:r>
        <w:t>| Total revenue | 412,000 | 648,000 | 815,000 | 958,000 | 1,104,000 |</w:t>
      </w:r>
    </w:p>
    <w:p>
      <w:r>
        <w:t>| Cost of goods sold | 152,400 | 233,300 | 289,300 | 335,300 | 380,900 |</w:t>
      </w:r>
    </w:p>
    <w:p>
      <w:r>
        <w:t>| Payroll and payroll taxes | 168,900 | 224,600 | 282,000 | 322,500 | 361,700 |</w:t>
      </w:r>
    </w:p>
    <w:p>
      <w:r>
        <w:t>| Rent and common charges | 68,300 | 70,400 | 72,500 | 74,700 | 76,900 |</w:t>
      </w:r>
    </w:p>
    <w:p>
      <w:r>
        <w:t>| Utilities, insurance, other | 54,000 | 60,300 | 65,100 | 69,900 | 73,600 |</w:t>
      </w:r>
    </w:p>
    <w:p>
      <w:r>
        <w:t>| Depreciation | 19,900 | 19,900 | 19,900 | 19,900 | 19,900 |</w:t>
      </w:r>
    </w:p>
    <w:p>
      <w:r>
        <w:t>| Net income (loss) | (51,500) | 39,500 | 86,200 | 135,700 | 191,000 |</w:t>
      </w:r>
    </w:p>
    <w:p>
      <w:r>
        <w:t>| Owner compensation included above | 24,000 | 48,000 | 66,000 | 78,000 | 90,000 |</w:t>
      </w:r>
    </w:p>
    <w:p>
      <w:r>
        <w:t>Basis of the revenue lines. Café revenue is built from an assumed 118 transactions per trading day in Year 1 at an average ticket of USD 9.05, rising to 152 transactions at USD 9.62 by Year 5. Retail bag sales are projected at 14 percent of café transactions attaching a 340 g bag at USD 19.50. Wholesale revenue assumes four accounts by the end of Year 1, growing to twenty-two accounts by Year 5 at an average of USD 1,480 per account per month.</w:t>
      </w:r>
    </w:p>
    <w:p>
      <w:r>
        <w:t>Support for the wholesale line. Signed letters of intent from prospective wholesale accounts are provided at Attachment 4 to this business plan.</w:t>
      </w:r>
    </w:p>
    <w:p>
      <w:r>
        <w:t>7. RISKS</w:t>
      </w:r>
    </w:p>
    <w:p>
      <w:r>
        <w:t>- The Hollandsworth market contains four established independent cafés within one mile. The Company competes on roasting on premises and on origin transparency rather than on price.</w:t>
      </w:r>
    </w:p>
    <w:p>
      <w:r>
        <w:t>- Green coffee prices are volatile. The Company holds eleven weeks of inventory and prices retail bags quarterly to absorb movement.</w:t>
      </w:r>
    </w:p>
    <w:p>
      <w:r>
        <w:t>- Wholesale growth depends on converting letters of intent into standing orders. If wholesale conversion lags by two quarters, Year 2 net income falls to approximately break-even; the Company would defer the Year 2 account representative hire in that case.</w:t>
      </w:r>
    </w:p>
    <w:p>
      <w:r>
        <w:t>- The Company carries a 60-month lease obligation with a personal guaranty and cannot exit the premises early without negotiating a buyout.</w:t>
      </w:r>
    </w:p>
    <w:p>
      <w:r>
        <w:t>---</w:t>
      </w:r>
    </w:p>
    <w:p>
      <w:r>
        <w:t>*End of excerpt. Attachments to the business plan are separately numbered and are not part of this excerpt.*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