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EXHIBIT D — COMMERCIAL LEASE AGREEMENT (EXECUTED)</w:t>
      </w:r>
    </w:p>
    <w:p>
      <w:r>
        <w:t>COMMERCIAL LEASE AGREEMENT</w:t>
      </w:r>
    </w:p>
    <w:p>
      <w:r>
        <w:t>Dated July 14, 2025</w:t>
      </w:r>
    </w:p>
    <w:p>
      <w:r>
        <w:t>Landlord: Kestrel Row Holdings LLC, a North Carolina limited liability company, 3 Marbury Plaza, Suite 900, Hollandsworth, NC 27518</w:t>
      </w:r>
    </w:p>
    <w:p>
      <w:r>
        <w:t>Tenant: Tessera Lane Roasting Company LLC, a North Carolina limited liability company</w:t>
      </w:r>
    </w:p>
    <w:p>
      <w:r>
        <w:t>Guarantor: Marta Isilda Duarte Vasconcelos, an individual</w:t>
      </w:r>
    </w:p>
    <w:p>
      <w:r>
        <w:t>---</w:t>
      </w:r>
    </w:p>
    <w:p>
      <w:r>
        <w:t>ARTICLE 1 — PREMISES</w:t>
      </w:r>
    </w:p>
    <w:p>
      <w:r>
        <w:t>1.1 The Landlord leases to the Tenant Suite 120 of the building known as Kestrel Row Commons, 418 Kestrel Row, Hollandsworth, North Carolina 27519, comprising approximately 2,150 rentable square feet on the ground floor, together with the non-exclusive use of the common areas and eleven (11) designated parking spaces.</w:t>
      </w:r>
    </w:p>
    <w:p>
      <w:r>
        <w:t>1.2 The Premises are delivered in shell condition. The Tenant accepts the Premises "as is" and is responsible for all improvements required for its use.</w:t>
      </w:r>
    </w:p>
    <w:p>
      <w:r>
        <w:t>ARTICLE 2 — TERM</w:t>
      </w:r>
    </w:p>
    <w:p>
      <w:r>
        <w:t>2.1 The term is sixty (60) months, commencing August 1, 2025 and expiring July 31, 2030 ("the Term").</w:t>
      </w:r>
    </w:p>
    <w:p>
      <w:r>
        <w:t>2.2 The Tenant has one option to renew for a further sixty (60) months at the then-market rent, exercisable by written notice given not less than 270 days before expiry.</w:t>
      </w:r>
    </w:p>
    <w:p>
      <w:r>
        <w:t>2.3 No early termination. The Tenant has no right to terminate this Lease before the expiry of the Term. Any negotiated surrender requires the Landlord's written consent and payment of a surrender sum of not less than nine (9) months' Base Rent then payable.</w:t>
      </w:r>
    </w:p>
    <w:p>
      <w:r>
        <w:t>ARTICLE 3 — RENT</w:t>
      </w:r>
    </w:p>
    <w:p>
      <w:r>
        <w:t>3.1 Base Rent, payable monthly in advance on the first day of each month:</w:t>
      </w:r>
    </w:p>
    <w:p>
      <w:r>
        <w:t>| Lease year | Period | Monthly Base Rent (USD) | Annual Base Rent (USD) |</w:t>
      </w:r>
    </w:p>
    <w:p>
      <w:r>
        <w:t>|---|---|---|---|</w:t>
      </w:r>
    </w:p>
    <w:p>
      <w:r>
        <w:t>| 1 | Aug 1, 2025 – Jul 31, 2026 | 4,830.00 | 57,960.00 |</w:t>
      </w:r>
    </w:p>
    <w:p>
      <w:r>
        <w:t>| 2 | Aug 1, 2026 – Jul 31, 2027 | 4,975.00 | 59,700.00 |</w:t>
      </w:r>
    </w:p>
    <w:p>
      <w:r>
        <w:t>| 3 | Aug 1, 2027 – Jul 31, 2028 | 5,124.00 | 61,488.00 |</w:t>
      </w:r>
    </w:p>
    <w:p>
      <w:r>
        <w:t>| 4 | Aug 1, 2028 – Jul 31, 2029 | 5,278.00 | 63,336.00 |</w:t>
      </w:r>
    </w:p>
    <w:p>
      <w:r>
        <w:t>| 5 | Aug 1, 2029 – Jul 31, 2030 | 5,436.00 | 65,232.00 |</w:t>
      </w:r>
    </w:p>
    <w:p>
      <w:r>
        <w:t>Aggregate Base Rent over the Term: USD 307,716.00.</w:t>
      </w:r>
    </w:p>
    <w:p>
      <w:r>
        <w:t>3.2 In addition, the Tenant pays its proportionate share of operating expenses, insurance and real property taxes, estimated at USD 860.00 per month for lease year 1 and reconciled annually.</w:t>
      </w:r>
    </w:p>
    <w:p>
      <w:r>
        <w:t>3.3 Rent for the first month and the last month of lease year 1 was paid on execution in the amount of USD 11,380.00 (Base Rent 2 x 4,830.00 plus estimated operating expenses 2 x 860.00).</w:t>
      </w:r>
    </w:p>
    <w:p>
      <w:r>
        <w:t>ARTICLE 4 — SECURITY DEPOSIT</w:t>
      </w:r>
    </w:p>
    <w:p>
      <w:r>
        <w:t>4.1 The Tenant has deposited USD 12,400.00 with the Landlord as security for the performance of its obligations.</w:t>
      </w:r>
    </w:p>
    <w:p>
      <w:r>
        <w:t>4.3 The deposit is not refundable in the event of a default by the Tenant and may be applied by the Landlord against unpaid rent, the cost of repairs, or any other sum owed. If no default has occurred, the balance is returned within 45 days after the expiry of the Term and the surrender of the Premises in the required condition.</w:t>
      </w:r>
    </w:p>
    <w:p>
      <w:r>
        <w:t>ARTICLE 5 — PERMITTED USE</w:t>
      </w:r>
    </w:p>
    <w:p>
      <w:r>
        <w:t>5.1 The Premises may be used solely for the roasting, packaging, wholesale and retail sale of coffee, and the operation of a café serving prepared beverages and food, and for no other purpose without the Landlord's written consent.</w:t>
      </w:r>
    </w:p>
    <w:p>
      <w:r>
        <w:t>5.2 The Tenant must obtain and maintain at its own cost all licenses and permits required for the permitted use, including health department permits, and must open for business to the public within ninety (90) days of the commencement date and thereafter continuously operate during customary business hours.</w:t>
      </w:r>
    </w:p>
    <w:p>
      <w:r>
        <w:t>ARTICLE 6 — TENANT IMPROVEMENTS</w:t>
      </w:r>
    </w:p>
    <w:p>
      <w:r>
        <w:t>6.1 The Tenant shall, at its sole cost, perform the improvements described in Schedule B, including the installation of a Type I commercial exhaust hood and make-up air unit for the roaster, a grease interceptor, plumbing for the espresso station, an accessible restroom, electrical service upgrade to 400 amps, and finished floors, ceilings and millwork.</w:t>
      </w:r>
    </w:p>
    <w:p>
      <w:r>
        <w:t>6.2 The Tenant's improvement work must be completed to the Landlord's reasonable satisfaction by October 31, 2025. The Tenant estimates the cost of the Schedule B work at USD 118,000.00.</w:t>
      </w:r>
    </w:p>
    <w:p>
      <w:r>
        <w:t>6.3 All improvements, alterations, fixtures and equipment affixed to the Premises become the property of the Landlord upon expiry or earlier termination of this Lease and may not be removed by the Tenant, save for trade fixtures listed in Schedule C (the roaster, destoner, espresso machine, grinders and refrigeration).</w:t>
      </w:r>
    </w:p>
    <w:p>
      <w:r>
        <w:t>ARTICLE 9 — ASSIGNMENT</w:t>
      </w:r>
    </w:p>
    <w:p>
      <w:r>
        <w:t>9.1 The Tenant may not assign this Lease or sublet the whole or any part of the Premises without the Landlord's prior written consent, which may be withheld in the Landlord's sole discretion where the proposed assignee's use differs from the permitted use.</w:t>
      </w:r>
    </w:p>
    <w:p>
      <w:r>
        <w:t>ARTICLE 14 — GUARANTY</w:t>
      </w:r>
    </w:p>
    <w:p>
      <w:r>
        <w:t>14.1 In consideration of the Landlord entering into this Lease, Marta Isilda Duarte Vasconcelos personally, absolutely and unconditionally guarantees the full and punctual payment of all Base Rent, additional rent and other sums payable by the Tenant, and the performance of all of the Tenant's obligations, for the entire Term and any renewal.</w:t>
      </w:r>
    </w:p>
    <w:p>
      <w:r>
        <w:t>14.2 The guaranty is a guaranty of payment and not of collection. The Landlord may proceed against the Guarantor without first proceeding against the Tenant or realizing on the security deposit. The Guarantor's liability is not limited by any dissolution, insolvency or reorganization of the Tenant.</w:t>
      </w:r>
    </w:p>
    <w:p>
      <w:r>
        <w:t>14.3 The maximum liability of the Guarantor under this Article is not limited and extends to the aggregate Base Rent stated in Section 3.1 together with additional rent, costs of reletting and reasonable attorneys' fees.</w:t>
      </w:r>
    </w:p>
    <w:p>
      <w:r>
        <w:t>---</w:t>
      </w:r>
    </w:p>
    <w:p>
      <w:r>
        <w:t>EXECUTION</w:t>
      </w:r>
    </w:p>
    <w:p>
      <w:r>
        <w:t>Landlord: Kestrel Row Holdings LLC</w:t>
      </w:r>
    </w:p>
    <w:p>
      <w:r>
        <w:t>By: /s/ Warren D. Kestrel-Ahmadi, Managing Member — July 14, 2025</w:t>
      </w:r>
    </w:p>
    <w:p>
      <w:r>
        <w:t>Tenant: Tessera Lane Roasting Company LLC</w:t>
      </w:r>
    </w:p>
    <w:p>
      <w:r>
        <w:t>By: /s/ Marta I. D. Vasconcelos, Manager — July 14, 2025</w:t>
      </w:r>
    </w:p>
    <w:p>
      <w:r>
        <w:t>Guarantor: /s/ Marta Isilda Duarte Vasconcelos, individually — July 14, 2025</w:t>
      </w:r>
    </w:p>
    <w:p>
      <w:r>
        <w:t>Notarized by Terrence O. Vaught, Notary Public, Grayson County, North Carolina, July 14, 2025.</w:t>
      </w:r>
    </w:p>
    <w:p>
      <w:r>
        <w:t>SCHEDULE A — FLOOR PLAN (NOT REPRODUCED IN THIS FILING)</w:t>
      </w:r>
    </w:p>
    <w:p>
      <w:r>
        <w:t>SCHEDULE B — TENANT IMPROVEMENT SCOPE (SUMMARIZED IN ARTICLE 6.1)</w:t>
      </w:r>
    </w:p>
    <w:p>
      <w:r>
        <w:t>SCHEDULE C — TRADE FIXTURES EXCLUDED FROM ARTICLE 6.3: HALVERSEN HR-15 ROASTER, HALVERSEN DESTONER, MARCHETTI DUETTO TWO-GROUP ESPRESSO MACHINE, TWO GRINDERS, ONE UNDER-COUNTER REFRIGERATOR, ONE UPRIGHT REFRIGERATOR.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