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*Fictional sample document created for software testing. All names, entities, numbers, and events are invented.*</w:t>
      </w:r>
    </w:p>
    <w:p>
      <w:r>
        <w:t>EXHIBIT E — EXPENDITURE SCHEDULE AND SUMMARY OF VENDOR INVOICES</w:t>
      </w:r>
    </w:p>
    <w:p>
      <w:r>
        <w:t>Tessera Lane Roasting Company LLC</w:t>
      </w:r>
    </w:p>
    <w:p>
      <w:r>
        <w:t>Period covered: March 1, 2025 through September 30, 2025</w:t>
      </w:r>
    </w:p>
    <w:p>
      <w:r>
        <w:t>All amounts in USD. All payments were made from the Company's operating account at Piedmont Union Bank &amp; Trust ending 8302.</w:t>
      </w:r>
    </w:p>
    <w:p>
      <w:r>
        <w:t>---</w:t>
      </w:r>
    </w:p>
    <w:p>
      <w:r>
        <w:t>1. SUMMARY BY CATEGORY</w:t>
      </w:r>
    </w:p>
    <w:p>
      <w:r>
        <w:t>| Category | Amount paid | Refundable? |</w:t>
      </w:r>
    </w:p>
    <w:p>
      <w:r>
        <w:t>|---|---|---|</w:t>
      </w:r>
    </w:p>
    <w:p>
      <w:r>
        <w:t>| Production equipment | 58,900.00 | No |</w:t>
      </w:r>
    </w:p>
    <w:p>
      <w:r>
        <w:t>| Café equipment | 24,150.00 | No |</w:t>
      </w:r>
    </w:p>
    <w:p>
      <w:r>
        <w:t>| Leasehold improvements (paid to date) | 96,400.00 | No |</w:t>
      </w:r>
    </w:p>
    <w:p>
      <w:r>
        <w:t>| Lease deposit and prepaid rent | 23,780.00 | Deposit forfeited on default (Lease § 4.3) |</w:t>
      </w:r>
    </w:p>
    <w:p>
      <w:r>
        <w:t>| Furniture, fixtures and small wares | 31,250.00 | No |</w:t>
      </w:r>
    </w:p>
    <w:p>
      <w:r>
        <w:t>| Point-of-sale and network | 3,820.00 | No |</w:t>
      </w:r>
    </w:p>
    <w:p>
      <w:r>
        <w:t>| Opening green coffee inventory | 18,700.00 | No |</w:t>
      </w:r>
    </w:p>
    <w:p>
      <w:r>
        <w:t>| Licenses, permits, insurance, professional fees | 14,900.00 | No |</w:t>
      </w:r>
    </w:p>
    <w:p>
      <w:r>
        <w:t>| Pre-opening and Q3 payroll | 22,300.00 | No |</w:t>
      </w:r>
    </w:p>
    <w:p>
      <w:r>
        <w:t>| Total expended | 294,200.00 | |</w:t>
      </w:r>
    </w:p>
    <w:p>
      <w:r>
        <w:t>2. INVOICE DETAIL</w:t>
      </w:r>
    </w:p>
    <w:p>
      <w:r>
        <w:t>| Date paid | Vendor | Description | Invoice no. | Amount | Payment method | Terms |</w:t>
      </w:r>
    </w:p>
    <w:p>
      <w:r>
        <w:t>|---|---|---|---|---|---|---|</w:t>
      </w:r>
    </w:p>
    <w:p>
      <w:r>
        <w:t>| Apr 21, 2025 | Halversen Roasting Systems Inc., Bellingham, WA | HR-15 15 kg drum roaster, destoner, exhaust connection kit, freight and commissioning | HRS-25-11408 | 58,900.00 | Wire | Deposit 50% non-refundable at order; balance on shipment. Custom-configured; no return or cancellation after production release (T&amp;C § 7) |</w:t>
      </w:r>
    </w:p>
    <w:p>
      <w:r>
        <w:t>| May 6, 2025 | Marchetti Bevande Srl (U.S. distributor: Northline Espresso Supply LLC, Charlotte, NC) | Marchetti Duetto two-group espresso machine, two grinders, water treatment | NES-4471 | 24,150.00 | ACH | Paid in full on delivery; non-returnable once plumbed |</w:t>
      </w:r>
    </w:p>
    <w:p>
      <w:r>
        <w:t>| Jun 2, 2025 | Ridgeline Buildout Group LLC, Hollandsworth, NC | Progress payment 1 of 4 — demolition, rough plumbing, grease interceptor | RBG-2025-0602 | 29,500.00 | Check 1041 | Contract sum 118,000.00, fixed price |</w:t>
      </w:r>
    </w:p>
    <w:p>
      <w:r>
        <w:t>| Jul 18, 2025 | Ridgeline Buildout Group LLC | Progress payment 2 of 4 — electrical service upgrade to 400A, HVAC and Type I hood, make-up air | RBG-2025-0718 | 33,700.00 | Check 1049 | — |</w:t>
      </w:r>
    </w:p>
    <w:p>
      <w:r>
        <w:t>| Aug 26, 2025 | Ridgeline Buildout Group LLC | Progress payment 3 of 4 — restroom, finishes, millwork, floors | RBG-2025-0826 | 33,200.00 | Check 1057 | — |</w:t>
      </w:r>
    </w:p>
    <w:p>
      <w:r>
        <w:t>| — | Ridgeline Buildout Group LLC | Progress payment 4 of 4 — punch list and closeout, contracted and unpaid at Sep 30, 2025 | (pending) | 21,600.00 | — | Due on certificate of completion |</w:t>
      </w:r>
    </w:p>
    <w:p>
      <w:r>
        <w:t>| Jul 14, 2025 | Kestrel Row Holdings LLC | Security deposit under Lease Article 4 | LEASE-DEP-120 | 12,400.00 | Wire | Forfeited on tenant default |</w:t>
      </w:r>
    </w:p>
    <w:p>
      <w:r>
        <w:t>| Jul 14, 2025 | Kestrel Row Holdings LLC | First and last month rent plus estimated operating expenses, lease year 1 | LEASE-RENT-120 | 11,380.00 | Wire | Applied to Aug 2025 and Jul 2026 |</w:t>
      </w:r>
    </w:p>
    <w:p>
      <w:r>
        <w:t>| Aug 4–29, 2025 | Verrick Café Furnishings LLC; Ambrose Steel Fabrication | 34 seats, 11 tables, service counter, back bar, shelving, signage, small wares | VCF-8821, ASF-3390 | 31,250.00 | ACH / card | Installed; custom millwork non-returnable |</w:t>
      </w:r>
    </w:p>
    <w:p>
      <w:r>
        <w:t>| Aug 12, 2025 | Cartline POS Systems Inc. | Two terminals, cash drawer, printers, network install, first-year software | CPS-99213 | 3,820.00 | Card | Hardware non-returnable after 30 days |</w:t>
      </w:r>
    </w:p>
    <w:p>
      <w:r>
        <w:t>| Aug 15 &amp; Sep 9, 2025 | Calderwood Green Coffee Traders; Serra Alta Importers LLC | Opening green coffee inventory — 1,180 kg across six origins | CGC-7712, SAI-2205 | 18,700.00 | ACH | Prepaid; perishable, not returnable |</w:t>
      </w:r>
    </w:p>
    <w:p>
      <w:r>
        <w:t>| Mar–Sep 2025 | City of Hollandsworth; Grayson County; NC Dept. of Revenue; Avondale Mutual Insurance; Halbrook &amp; Sten CPA PLLC; Renfro &amp; Aldrich Immigration Law PLLC | Business privilege license, food establishment permit, tax registrations, first-year insurance premium, accounting setup, entity formation fees | various | 14,900.00 | various | Non-refundable |</w:t>
      </w:r>
    </w:p>
    <w:p>
      <w:r>
        <w:t>| Aug–Sep 2025 | Payroll — D. Ferraro-Klein, A. Bowersock | Pre-opening training and wages through Sep 30, 2025, employer payroll taxes included | payroll registers PR-2025-08, PR-2025-09 | 22,300.00 | ACH | Paid |</w:t>
      </w:r>
    </w:p>
    <w:p>
      <w:r>
        <w:t>3. RECONCILIATION TO CAPITAL CONTRIBUTED</w:t>
      </w:r>
    </w:p>
    <w:p>
      <w:r>
        <w:t>| | USD |</w:t>
      </w:r>
    </w:p>
    <w:p>
      <w:r>
        <w:t>|---|---|</w:t>
      </w:r>
    </w:p>
    <w:p>
      <w:r>
        <w:t>| Capital contributed by the member (Exhibit B) | 336,400.00 |</w:t>
      </w:r>
    </w:p>
    <w:p>
      <w:r>
        <w:t>| Total expended to September 30, 2025 (Section 1) | (294,200.00) |</w:t>
      </w:r>
    </w:p>
    <w:p>
      <w:r>
        <w:t>| Cash balance, operating account, September 30, 2025 | 42,200.00 |</w:t>
      </w:r>
    </w:p>
    <w:p>
      <w:r>
        <w:t>| Memorandum — contractually committed and unpaid (Ridgeline payment 4) | 21,600.00 |</w:t>
      </w:r>
    </w:p>
    <w:p>
      <w:r>
        <w:t>| Memorandum — remaining Base Rent obligation under the Lease, Aug 2026 – Jul 2030 | 249,756.00 |</w:t>
      </w:r>
    </w:p>
    <w:p>
      <w:r>
        <w:t>4. NOTES</w:t>
      </w:r>
    </w:p>
    <w:p>
      <w:r>
        <w:t>1. No expenditure in this schedule is recoverable by the member. All equipment is owned by the Company; the leasehold improvements become the Landlord's property at the end of the Term under Lease § 6.3.</w:t>
      </w:r>
    </w:p>
    <w:p>
      <w:r>
        <w:t>2. The Company holds no financing on any asset listed. No vendor retains a purchase-money security interest.</w:t>
      </w:r>
    </w:p>
    <w:p>
      <w:r>
        <w:t>3. The cash balance of USD 42,200.00 is held in the Company's name for the unpaid buildout balance and first-two-quarter working capital, and is not available for return to the member.</w:t>
      </w:r>
    </w:p>
    <w:p>
      <w:r>
        <w:t>*Prepared by Halbrook &amp; Sten CPA PLLC from the Company's disbursement records and vendor invoices. October 2, 2025.*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