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Sanctioned loan amount prediction</w:t>
      </w:r>
    </w:p>
    <w:p>
      <w:pPr>
        <w:widowControl/>
        <w:spacing w:after="60"/>
      </w:pPr>
      <w:r>
        <w:t>FIT5149 Assessment 1 | Group 43</w:t>
      </w:r>
    </w:p>
    <w:p>
      <w:pPr>
        <w:widowControl/>
      </w:pPr>
      <w:r>
        <w:rPr>
          <w:sz w:val="20"/>
        </w:rPr>
        <w:t>Aditya Palve 35324074 | Eric Andres Acosta Ramirez 32642083</w:t>
      </w:r>
    </w:p>
    <w:p>
      <w:pPr>
        <w:widowControl/>
      </w:pPr>
      <w:r>
        <w:rPr>
          <w:sz w:val="20"/>
        </w:rPr>
        <w:t>Kaggle team TEAM ERIC-ADITYA</w:t>
        <w:br/>
        <w:t>Usernames adityapalve9979 and ericacostaramirez</w:t>
      </w:r>
    </w:p>
    <w:p>
      <w:pPr>
        <w:pStyle w:val="Heading1"/>
      </w:pPr>
      <w:r>
        <w:t>1 Problem and main result</w:t>
      </w:r>
    </w:p>
    <w:p>
      <w:pPr>
        <w:widowControl/>
      </w:pPr>
      <w:r>
        <w:t>We predict the sanctioned amount in AUD for 10,000 unseen loan applications. Our final model is two-stage CatBoost: it estimates approval probability and the likely approved share separately. It achieved mean five-fold RMSE of AUD 33,958.77 and public Kaggle RMSE of AUD 33,096.96. We selected it using internal validation; the private Kaggle score is still unknown.</w:t>
      </w:r>
    </w:p>
    <w:p>
      <w:pPr>
        <w:pStyle w:val="Heading1"/>
      </w:pPr>
      <w:r>
        <w:t>2 What we found in the data</w:t>
      </w:r>
    </w:p>
    <w:p>
      <w:pPr>
        <w:widowControl/>
      </w:pPr>
      <w:r>
        <w:t>The training set has 19,322 rows and 29 columns, including the target. The test set has 28 input columns. We found no duplicate rows or IDs and no IDs shared between the sets. All labelled sanctioned amounts are between zero and the requested amount.</w:t>
      </w:r>
    </w:p>
    <w:p>
      <w:pPr>
        <w:widowControl/>
      </w:pPr>
      <w:r>
        <w:t>There are 5,177 zero-sanction cases, or 26.79% of training rows. Rounded sanctioned-to-requested ratios take eight values: 0%, 65%, 70%, 75%, 80%, 85%, 90% and 100%. This pattern suggested modelling the lending decision and the approved share rather than only the dollar amount.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2160"/>
        <w:gridCol w:w="2160"/>
      </w:tblGrid>
      <w:tr>
        <w:trPr>
          <w:cantSplit/>
          <w:tblHeader/>
        </w:trPr>
        <w:tc>
          <w:tcPr>
            <w:tcW w:type="dxa" w:w="5904"/>
            <w:vAlign w:val="center"/>
            <w:shd w:fill="404040"/>
            <w:tcMar>
              <w:top w:w="65" w:type="dxa"/>
              <w:bottom w:w="65" w:type="dxa"/>
              <w:left w:w="85" w:type="dxa"/>
              <w:right w:w="85" w:type="dxa"/>
            </w:tcMar>
          </w:tcPr>
          <w:p>
            <w:pPr>
              <w:spacing w:after="0" w:line="245" w:lineRule="auto"/>
              <w:jc w:val="left"/>
            </w:pPr>
            <w:r>
              <w:rPr>
                <w:b/>
                <w:color w:val="FFFFFF"/>
                <w:sz w:val="20"/>
              </w:rPr>
              <w:t>Raw missing values</w:t>
            </w:r>
          </w:p>
        </w:tc>
        <w:tc>
          <w:tcPr>
            <w:tcW w:type="dxa" w:w="2160"/>
            <w:vAlign w:val="center"/>
            <w:shd w:fill="404040"/>
            <w:tcMar>
              <w:top w:w="65" w:type="dxa"/>
              <w:bottom w:w="65" w:type="dxa"/>
              <w:left w:w="85" w:type="dxa"/>
              <w:right w:w="85" w:type="dxa"/>
            </w:tcMar>
          </w:tcPr>
          <w:p>
            <w:pPr>
              <w:spacing w:after="0" w:line="245" w:lineRule="auto"/>
              <w:jc w:val="center"/>
            </w:pPr>
            <w:r>
              <w:rPr>
                <w:b/>
                <w:color w:val="FFFFFF"/>
                <w:sz w:val="20"/>
              </w:rPr>
              <w:t>Train</w:t>
            </w:r>
          </w:p>
        </w:tc>
        <w:tc>
          <w:tcPr>
            <w:tcW w:type="dxa" w:w="2160"/>
            <w:vAlign w:val="center"/>
            <w:shd w:fill="404040"/>
            <w:tcMar>
              <w:top w:w="65" w:type="dxa"/>
              <w:bottom w:w="65" w:type="dxa"/>
              <w:left w:w="85" w:type="dxa"/>
              <w:right w:w="85" w:type="dxa"/>
            </w:tcMar>
          </w:tcPr>
          <w:p>
            <w:pPr>
              <w:spacing w:after="0" w:line="245" w:lineRule="auto"/>
              <w:jc w:val="center"/>
            </w:pPr>
            <w:r>
              <w:rPr>
                <w:b/>
                <w:color w:val="FFFFFF"/>
                <w:sz w:val="20"/>
              </w:rPr>
              <w:t>Test</w:t>
            </w:r>
          </w:p>
        </w:tc>
      </w:tr>
      <w:tr>
        <w:trPr>
          <w:cantSplit/>
        </w:trPr>
        <w:tc>
          <w:tcPr>
            <w:tcW w:type="dxa" w:w="5904"/>
            <w:vAlign w:val="center"/>
            <w:shd w:fill="FFFFFF"/>
            <w:tcMar>
              <w:top w:w="65" w:type="dxa"/>
              <w:bottom w:w="65" w:type="dxa"/>
              <w:left w:w="85" w:type="dxa"/>
              <w:right w:w="85" w:type="dxa"/>
            </w:tcMar>
          </w:tcPr>
          <w:p>
            <w:pPr>
              <w:spacing w:after="0" w:line="245" w:lineRule="auto"/>
              <w:jc w:val="left"/>
            </w:pPr>
            <w:r>
              <w:rPr>
                <w:b w:val="0"/>
                <w:color w:val="000000"/>
                <w:sz w:val="20"/>
              </w:rPr>
              <w:t>property_age_years</w:t>
            </w:r>
          </w:p>
        </w:tc>
        <w:tc>
          <w:tcPr>
            <w:tcW w:type="dxa" w:w="2160"/>
            <w:vAlign w:val="center"/>
            <w:shd w:fill="FFFFFF"/>
            <w:tcMar>
              <w:top w:w="65" w:type="dxa"/>
              <w:bottom w:w="65" w:type="dxa"/>
              <w:left w:w="85" w:type="dxa"/>
              <w:right w:w="85" w:type="dxa"/>
            </w:tcMar>
          </w:tcPr>
          <w:p>
            <w:pPr>
              <w:spacing w:after="0" w:line="245" w:lineRule="auto"/>
              <w:jc w:val="center"/>
            </w:pPr>
            <w:r>
              <w:rPr>
                <w:b w:val="0"/>
                <w:color w:val="000000"/>
                <w:sz w:val="20"/>
              </w:rPr>
              <w:t>32.40%</w:t>
            </w:r>
          </w:p>
        </w:tc>
        <w:tc>
          <w:tcPr>
            <w:tcW w:type="dxa" w:w="2160"/>
            <w:vAlign w:val="center"/>
            <w:shd w:fill="FFFFFF"/>
            <w:tcMar>
              <w:top w:w="65" w:type="dxa"/>
              <w:bottom w:w="65" w:type="dxa"/>
              <w:left w:w="85" w:type="dxa"/>
              <w:right w:w="85" w:type="dxa"/>
            </w:tcMar>
          </w:tcPr>
          <w:p>
            <w:pPr>
              <w:spacing w:after="0" w:line="245" w:lineRule="auto"/>
              <w:jc w:val="center"/>
            </w:pPr>
            <w:r>
              <w:rPr>
                <w:b w:val="0"/>
                <w:color w:val="000000"/>
                <w:sz w:val="20"/>
              </w:rPr>
              <w:t>32.62%</w:t>
            </w:r>
          </w:p>
        </w:tc>
      </w:tr>
      <w:tr>
        <w:trPr>
          <w:cantSplit/>
        </w:trPr>
        <w:tc>
          <w:tcPr>
            <w:tcW w:type="dxa" w:w="5904"/>
            <w:vAlign w:val="center"/>
            <w:shd w:fill="F3F4F5"/>
            <w:tcMar>
              <w:top w:w="65" w:type="dxa"/>
              <w:bottom w:w="65" w:type="dxa"/>
              <w:left w:w="85" w:type="dxa"/>
              <w:right w:w="85" w:type="dxa"/>
            </w:tcMar>
          </w:tcPr>
          <w:p>
            <w:pPr>
              <w:spacing w:after="0" w:line="245" w:lineRule="auto"/>
              <w:jc w:val="left"/>
            </w:pPr>
            <w:r>
              <w:rPr>
                <w:b w:val="0"/>
                <w:color w:val="000000"/>
                <w:sz w:val="20"/>
              </w:rPr>
              <w:t>monthly_income_aud</w:t>
            </w:r>
          </w:p>
        </w:tc>
        <w:tc>
          <w:tcPr>
            <w:tcW w:type="dxa" w:w="2160"/>
            <w:vAlign w:val="center"/>
            <w:shd w:fill="F3F4F5"/>
            <w:tcMar>
              <w:top w:w="65" w:type="dxa"/>
              <w:bottom w:w="65" w:type="dxa"/>
              <w:left w:w="85" w:type="dxa"/>
              <w:right w:w="85" w:type="dxa"/>
            </w:tcMar>
          </w:tcPr>
          <w:p>
            <w:pPr>
              <w:spacing w:after="0" w:line="245" w:lineRule="auto"/>
              <w:jc w:val="center"/>
            </w:pPr>
            <w:r>
              <w:rPr>
                <w:b w:val="0"/>
                <w:color w:val="000000"/>
                <w:sz w:val="20"/>
              </w:rPr>
              <w:t>25.69%</w:t>
            </w:r>
          </w:p>
        </w:tc>
        <w:tc>
          <w:tcPr>
            <w:tcW w:type="dxa" w:w="2160"/>
            <w:vAlign w:val="center"/>
            <w:shd w:fill="F3F4F5"/>
            <w:tcMar>
              <w:top w:w="65" w:type="dxa"/>
              <w:bottom w:w="65" w:type="dxa"/>
              <w:left w:w="85" w:type="dxa"/>
              <w:right w:w="85" w:type="dxa"/>
            </w:tcMar>
          </w:tcPr>
          <w:p>
            <w:pPr>
              <w:spacing w:after="0" w:line="245" w:lineRule="auto"/>
              <w:jc w:val="center"/>
            </w:pPr>
            <w:r>
              <w:rPr>
                <w:b w:val="0"/>
                <w:color w:val="000000"/>
                <w:sz w:val="20"/>
              </w:rPr>
              <w:t>24.84%</w:t>
            </w:r>
          </w:p>
        </w:tc>
      </w:tr>
      <w:tr>
        <w:trPr>
          <w:cantSplit/>
        </w:trPr>
        <w:tc>
          <w:tcPr>
            <w:tcW w:type="dxa" w:w="5904"/>
            <w:vAlign w:val="center"/>
            <w:shd w:fill="FFFFFF"/>
            <w:tcMar>
              <w:top w:w="65" w:type="dxa"/>
              <w:bottom w:w="65" w:type="dxa"/>
              <w:left w:w="85" w:type="dxa"/>
              <w:right w:w="85" w:type="dxa"/>
            </w:tcMar>
          </w:tcPr>
          <w:p>
            <w:pPr>
              <w:spacing w:after="0" w:line="245" w:lineRule="auto"/>
              <w:jc w:val="left"/>
            </w:pPr>
            <w:r>
              <w:rPr>
                <w:b w:val="0"/>
                <w:color w:val="000000"/>
                <w:sz w:val="20"/>
              </w:rPr>
              <w:t>annual_income_aud</w:t>
            </w:r>
          </w:p>
        </w:tc>
        <w:tc>
          <w:tcPr>
            <w:tcW w:type="dxa" w:w="2160"/>
            <w:vAlign w:val="center"/>
            <w:shd w:fill="FFFFFF"/>
            <w:tcMar>
              <w:top w:w="65" w:type="dxa"/>
              <w:bottom w:w="65" w:type="dxa"/>
              <w:left w:w="85" w:type="dxa"/>
              <w:right w:w="85" w:type="dxa"/>
            </w:tcMar>
          </w:tcPr>
          <w:p>
            <w:pPr>
              <w:spacing w:after="0" w:line="245" w:lineRule="auto"/>
              <w:jc w:val="center"/>
            </w:pPr>
            <w:r>
              <w:rPr>
                <w:b w:val="0"/>
                <w:color w:val="000000"/>
                <w:sz w:val="20"/>
              </w:rPr>
              <w:t>25.09%</w:t>
            </w:r>
          </w:p>
        </w:tc>
        <w:tc>
          <w:tcPr>
            <w:tcW w:type="dxa" w:w="2160"/>
            <w:vAlign w:val="center"/>
            <w:shd w:fill="FFFFFF"/>
            <w:tcMar>
              <w:top w:w="65" w:type="dxa"/>
              <w:bottom w:w="65" w:type="dxa"/>
              <w:left w:w="85" w:type="dxa"/>
              <w:right w:w="85" w:type="dxa"/>
            </w:tcMar>
          </w:tcPr>
          <w:p>
            <w:pPr>
              <w:spacing w:after="0" w:line="245" w:lineRule="auto"/>
              <w:jc w:val="center"/>
            </w:pPr>
            <w:r>
              <w:rPr>
                <w:b w:val="0"/>
                <w:color w:val="000000"/>
                <w:sz w:val="20"/>
              </w:rPr>
              <w:t>24.85%</w:t>
            </w:r>
          </w:p>
        </w:tc>
      </w:tr>
      <w:tr>
        <w:trPr>
          <w:cantSplit/>
        </w:trPr>
        <w:tc>
          <w:tcPr>
            <w:tcW w:type="dxa" w:w="5904"/>
            <w:vAlign w:val="center"/>
            <w:shd w:fill="F3F4F5"/>
            <w:tcMar>
              <w:top w:w="65" w:type="dxa"/>
              <w:bottom w:w="65" w:type="dxa"/>
              <w:left w:w="85" w:type="dxa"/>
              <w:right w:w="85" w:type="dxa"/>
            </w:tcMar>
          </w:tcPr>
          <w:p>
            <w:pPr>
              <w:spacing w:after="0" w:line="245" w:lineRule="auto"/>
              <w:jc w:val="left"/>
            </w:pPr>
            <w:r>
              <w:rPr>
                <w:b w:val="0"/>
                <w:color w:val="000000"/>
                <w:sz w:val="20"/>
              </w:rPr>
              <w:t>employment_sector</w:t>
            </w:r>
          </w:p>
        </w:tc>
        <w:tc>
          <w:tcPr>
            <w:tcW w:type="dxa" w:w="2160"/>
            <w:vAlign w:val="center"/>
            <w:shd w:fill="F3F4F5"/>
            <w:tcMar>
              <w:top w:w="65" w:type="dxa"/>
              <w:bottom w:w="65" w:type="dxa"/>
              <w:left w:w="85" w:type="dxa"/>
              <w:right w:w="85" w:type="dxa"/>
            </w:tcMar>
          </w:tcPr>
          <w:p>
            <w:pPr>
              <w:spacing w:after="0" w:line="245" w:lineRule="auto"/>
              <w:jc w:val="center"/>
            </w:pPr>
            <w:r>
              <w:rPr>
                <w:b w:val="0"/>
                <w:color w:val="000000"/>
                <w:sz w:val="20"/>
              </w:rPr>
              <w:t>24.36%</w:t>
            </w:r>
          </w:p>
        </w:tc>
        <w:tc>
          <w:tcPr>
            <w:tcW w:type="dxa" w:w="2160"/>
            <w:vAlign w:val="center"/>
            <w:shd w:fill="F3F4F5"/>
            <w:tcMar>
              <w:top w:w="65" w:type="dxa"/>
              <w:bottom w:w="65" w:type="dxa"/>
              <w:left w:w="85" w:type="dxa"/>
              <w:right w:w="85" w:type="dxa"/>
            </w:tcMar>
          </w:tcPr>
          <w:p>
            <w:pPr>
              <w:spacing w:after="0" w:line="245" w:lineRule="auto"/>
              <w:jc w:val="center"/>
            </w:pPr>
            <w:r>
              <w:rPr>
                <w:b w:val="0"/>
                <w:color w:val="000000"/>
                <w:sz w:val="20"/>
              </w:rPr>
              <w:t>24.19%</w:t>
            </w:r>
          </w:p>
        </w:tc>
      </w:tr>
      <w:tr>
        <w:trPr>
          <w:cantSplit/>
        </w:trPr>
        <w:tc>
          <w:tcPr>
            <w:tcW w:type="dxa" w:w="5904"/>
            <w:vAlign w:val="center"/>
            <w:shd w:fill="FFFFFF"/>
            <w:tcMar>
              <w:top w:w="65" w:type="dxa"/>
              <w:bottom w:w="65" w:type="dxa"/>
              <w:left w:w="85" w:type="dxa"/>
              <w:right w:w="85" w:type="dxa"/>
            </w:tcMar>
          </w:tcPr>
          <w:p>
            <w:pPr>
              <w:spacing w:after="0" w:line="245" w:lineRule="auto"/>
              <w:jc w:val="left"/>
            </w:pPr>
            <w:r>
              <w:rPr>
                <w:b w:val="0"/>
                <w:color w:val="000000"/>
                <w:sz w:val="20"/>
              </w:rPr>
              <w:t>credit_rating</w:t>
            </w:r>
          </w:p>
        </w:tc>
        <w:tc>
          <w:tcPr>
            <w:tcW w:type="dxa" w:w="2160"/>
            <w:vAlign w:val="center"/>
            <w:shd w:fill="FFFFFF"/>
            <w:tcMar>
              <w:top w:w="65" w:type="dxa"/>
              <w:bottom w:w="65" w:type="dxa"/>
              <w:left w:w="85" w:type="dxa"/>
              <w:right w:w="85" w:type="dxa"/>
            </w:tcMar>
          </w:tcPr>
          <w:p>
            <w:pPr>
              <w:spacing w:after="0" w:line="245" w:lineRule="auto"/>
              <w:jc w:val="center"/>
            </w:pPr>
            <w:r>
              <w:rPr>
                <w:b w:val="0"/>
                <w:color w:val="000000"/>
                <w:sz w:val="20"/>
              </w:rPr>
              <w:t>20.46%</w:t>
            </w:r>
          </w:p>
        </w:tc>
        <w:tc>
          <w:tcPr>
            <w:tcW w:type="dxa" w:w="2160"/>
            <w:vAlign w:val="center"/>
            <w:shd w:fill="FFFFFF"/>
            <w:tcMar>
              <w:top w:w="65" w:type="dxa"/>
              <w:bottom w:w="65" w:type="dxa"/>
              <w:left w:w="85" w:type="dxa"/>
              <w:right w:w="85" w:type="dxa"/>
            </w:tcMar>
          </w:tcPr>
          <w:p>
            <w:pPr>
              <w:spacing w:after="0" w:line="245" w:lineRule="auto"/>
              <w:jc w:val="center"/>
            </w:pPr>
            <w:r>
              <w:rPr>
                <w:b w:val="0"/>
                <w:color w:val="000000"/>
                <w:sz w:val="20"/>
              </w:rPr>
              <w:t>21.33%</w:t>
            </w:r>
          </w:p>
        </w:tc>
      </w:tr>
    </w:tbl>
    <w:p>
      <w:pPr>
        <w:widowControl/>
        <w:spacing w:after="0"/>
      </w:pPr>
    </w:p>
    <w:p>
      <w:pPr>
        <w:widowControl/>
      </w:pPr>
      <w:r>
        <w:t>The missingness rates are similar across train and test, but this does not mean gaps are random or harmless. We kept missing-value flags so the model can distinguish an unavailable value from an observed one.</w:t>
      </w:r>
    </w:p>
    <w:p>
      <w:pPr>
        <w:widowControl/>
      </w:pPr>
      <w:r>
        <w:t>We also found 406 occurrences of -999: 100 in repayments, 107 in co-applicant status and 199 in property value. These codes were changed to missing. Property age matched annual income exactly in all 11,524 overlapping rows and had no values from 0 to 200, so we dropped its numeric values rather than interpret them as ages.</w:t>
      </w:r>
    </w:p>
    <w:p>
      <w:r>
        <w:br w:type="page"/>
      </w:r>
    </w:p>
    <w:p>
      <w:pPr>
        <w:pStyle w:val="Heading1"/>
      </w:pPr>
      <w:r>
        <w:t>3 Cleaning and feature choices</w:t>
      </w:r>
    </w:p>
    <w:p>
      <w:pPr>
        <w:widowControl/>
      </w:pPr>
      <w:r>
        <w:t>We apply the same row-by-row cleaning to training and test data. Application ID is kept only for the submission. We also exclude property_ref, an internal reference, and the corrupted property-age values. The final matrix contains 49 predictors, including 12 categorical inputs.</w:t>
      </w:r>
    </w:p>
    <w:p>
      <w:pPr>
        <w:widowControl/>
      </w:pPr>
      <w:r>
        <w:t>Annual and monthly income are put on the same annual scale and combined using the median of the available values within each row. We retain the original fields, count the available income sources, and record their relative disagreement. Loan-to-income, loan-to-property-value and repayment-to-monthly-income ratios describe affordability and security; property value minus requested amount measures the remaining property value.</w:t>
      </w:r>
    </w:p>
    <w:p>
      <w:pPr>
        <w:widowControl/>
      </w:pPr>
      <w:r>
        <w:t>Dates are represented by year and sine/cosine terms for month and day of year, keeping the end and start of the calendar close together. CatBoost handles numeric missing values directly. Missing categorical values receive a separate string label. In the earlier Ridge, Random Forest and HGB comparisons, imputation and encoding were fitted inside each training fold; Ridge also used scaling.</w:t>
      </w:r>
    </w:p>
    <w:p>
      <w:pPr>
        <w:widowControl/>
      </w:pPr>
      <w:r>
        <w:t>We checked whether selected preprocessing decisions helped, instead of assuming that more features would improve the score. These are controlled comparisons within the stated model, not estimates of each feature's value in every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84"/>
        <w:gridCol w:w="3240"/>
      </w:tblGrid>
      <w:tr>
        <w:trPr>
          <w:cantSplit/>
          <w:tblHeader/>
        </w:trPr>
        <w:tc>
          <w:tcPr>
            <w:tcW w:type="dxa" w:w="6984"/>
            <w:vAlign w:val="center"/>
            <w:shd w:fill="404040"/>
            <w:tcMar>
              <w:top w:w="65" w:type="dxa"/>
              <w:bottom w:w="65" w:type="dxa"/>
              <w:left w:w="85" w:type="dxa"/>
              <w:right w:w="85" w:type="dxa"/>
            </w:tcMar>
          </w:tcPr>
          <w:p>
            <w:pPr>
              <w:spacing w:after="0" w:line="245" w:lineRule="auto"/>
              <w:jc w:val="left"/>
            </w:pPr>
            <w:r>
              <w:rPr>
                <w:b/>
                <w:color w:val="FFFFFF"/>
                <w:sz w:val="20"/>
              </w:rPr>
              <w:t>Controlled comparison</w:t>
            </w:r>
          </w:p>
        </w:tc>
        <w:tc>
          <w:tcPr>
            <w:tcW w:type="dxa" w:w="3240"/>
            <w:vAlign w:val="center"/>
            <w:shd w:fill="404040"/>
            <w:tcMar>
              <w:top w:w="65" w:type="dxa"/>
              <w:bottom w:w="65" w:type="dxa"/>
              <w:left w:w="85" w:type="dxa"/>
              <w:right w:w="85" w:type="dxa"/>
            </w:tcMar>
          </w:tcPr>
          <w:p>
            <w:pPr>
              <w:spacing w:after="0" w:line="245" w:lineRule="auto"/>
              <w:jc w:val="center"/>
            </w:pPr>
            <w:r>
              <w:rPr>
                <w:b/>
                <w:color w:val="FFFFFF"/>
                <w:sz w:val="20"/>
              </w:rPr>
              <w:t>Mean fold RMSE in AUD</w:t>
            </w:r>
          </w:p>
        </w:tc>
      </w:tr>
      <w:tr>
        <w:trPr>
          <w:cantSplit/>
        </w:trPr>
        <w:tc>
          <w:tcPr>
            <w:tcW w:type="dxa" w:w="6984"/>
            <w:vAlign w:val="center"/>
            <w:shd w:fill="FFFFFF"/>
            <w:tcMar>
              <w:top w:w="65" w:type="dxa"/>
              <w:bottom w:w="65" w:type="dxa"/>
              <w:left w:w="85" w:type="dxa"/>
              <w:right w:w="85" w:type="dxa"/>
            </w:tcMar>
          </w:tcPr>
          <w:p>
            <w:pPr>
              <w:spacing w:after="0" w:line="245" w:lineRule="auto"/>
              <w:jc w:val="left"/>
            </w:pPr>
            <w:r>
              <w:rPr>
                <w:b w:val="0"/>
                <w:color w:val="000000"/>
                <w:sz w:val="20"/>
              </w:rPr>
              <w:t>HGB with cleaned raw features</w:t>
            </w:r>
          </w:p>
        </w:tc>
        <w:tc>
          <w:tcPr>
            <w:tcW w:type="dxa" w:w="3240"/>
            <w:vAlign w:val="center"/>
            <w:shd w:fill="FFFFFF"/>
            <w:tcMar>
              <w:top w:w="65" w:type="dxa"/>
              <w:bottom w:w="65" w:type="dxa"/>
              <w:left w:w="85" w:type="dxa"/>
              <w:right w:w="85" w:type="dxa"/>
            </w:tcMar>
          </w:tcPr>
          <w:p>
            <w:pPr>
              <w:spacing w:after="0" w:line="245" w:lineRule="auto"/>
              <w:jc w:val="center"/>
            </w:pPr>
            <w:r>
              <w:rPr>
                <w:b w:val="0"/>
                <w:color w:val="000000"/>
                <w:sz w:val="20"/>
              </w:rPr>
              <w:t>36,111</w:t>
            </w:r>
          </w:p>
        </w:tc>
      </w:tr>
      <w:tr>
        <w:trPr>
          <w:cantSplit/>
        </w:trPr>
        <w:tc>
          <w:tcPr>
            <w:tcW w:type="dxa" w:w="6984"/>
            <w:vAlign w:val="center"/>
            <w:shd w:fill="F3F4F5"/>
            <w:tcMar>
              <w:top w:w="65" w:type="dxa"/>
              <w:bottom w:w="65" w:type="dxa"/>
              <w:left w:w="85" w:type="dxa"/>
              <w:right w:w="85" w:type="dxa"/>
            </w:tcMar>
          </w:tcPr>
          <w:p>
            <w:pPr>
              <w:spacing w:after="0" w:line="245" w:lineRule="auto"/>
              <w:jc w:val="left"/>
            </w:pPr>
            <w:r>
              <w:rPr>
                <w:b w:val="0"/>
                <w:color w:val="000000"/>
                <w:sz w:val="20"/>
              </w:rPr>
              <w:t>HGB with ratios and missing flags</w:t>
            </w:r>
          </w:p>
        </w:tc>
        <w:tc>
          <w:tcPr>
            <w:tcW w:type="dxa" w:w="3240"/>
            <w:vAlign w:val="center"/>
            <w:shd w:fill="F3F4F5"/>
            <w:tcMar>
              <w:top w:w="65" w:type="dxa"/>
              <w:bottom w:w="65" w:type="dxa"/>
              <w:left w:w="85" w:type="dxa"/>
              <w:right w:w="85" w:type="dxa"/>
            </w:tcMar>
          </w:tcPr>
          <w:p>
            <w:pPr>
              <w:spacing w:after="0" w:line="245" w:lineRule="auto"/>
              <w:jc w:val="center"/>
            </w:pPr>
            <w:r>
              <w:rPr>
                <w:b w:val="0"/>
                <w:color w:val="000000"/>
                <w:sz w:val="20"/>
              </w:rPr>
              <w:t>36,065</w:t>
            </w:r>
          </w:p>
        </w:tc>
      </w:tr>
      <w:tr>
        <w:trPr>
          <w:cantSplit/>
        </w:trPr>
        <w:tc>
          <w:tcPr>
            <w:tcW w:type="dxa" w:w="6984"/>
            <w:vAlign w:val="center"/>
            <w:shd w:fill="FFFFFF"/>
            <w:tcMar>
              <w:top w:w="65" w:type="dxa"/>
              <w:bottom w:w="65" w:type="dxa"/>
              <w:left w:w="85" w:type="dxa"/>
              <w:right w:w="85" w:type="dxa"/>
            </w:tcMar>
          </w:tcPr>
          <w:p>
            <w:pPr>
              <w:spacing w:after="0" w:line="245" w:lineRule="auto"/>
              <w:jc w:val="left"/>
            </w:pPr>
            <w:r>
              <w:rPr>
                <w:b w:val="0"/>
                <w:color w:val="000000"/>
                <w:sz w:val="20"/>
              </w:rPr>
              <w:t>HGB also using property age as an income backup</w:t>
            </w:r>
          </w:p>
        </w:tc>
        <w:tc>
          <w:tcPr>
            <w:tcW w:type="dxa" w:w="3240"/>
            <w:vAlign w:val="center"/>
            <w:shd w:fill="FFFFFF"/>
            <w:tcMar>
              <w:top w:w="65" w:type="dxa"/>
              <w:bottom w:w="65" w:type="dxa"/>
              <w:left w:w="85" w:type="dxa"/>
              <w:right w:w="85" w:type="dxa"/>
            </w:tcMar>
          </w:tcPr>
          <w:p>
            <w:pPr>
              <w:spacing w:after="0" w:line="245" w:lineRule="auto"/>
              <w:jc w:val="center"/>
            </w:pPr>
            <w:r>
              <w:rPr>
                <w:b w:val="0"/>
                <w:color w:val="000000"/>
                <w:sz w:val="20"/>
              </w:rPr>
              <w:t>36,074</w:t>
            </w:r>
          </w:p>
        </w:tc>
      </w:tr>
      <w:tr>
        <w:trPr>
          <w:cantSplit/>
        </w:trPr>
        <w:tc>
          <w:tcPr>
            <w:tcW w:type="dxa" w:w="6984"/>
            <w:vAlign w:val="center"/>
            <w:shd w:fill="F3F4F5"/>
            <w:tcMar>
              <w:top w:w="65" w:type="dxa"/>
              <w:bottom w:w="65" w:type="dxa"/>
              <w:left w:w="85" w:type="dxa"/>
              <w:right w:w="85" w:type="dxa"/>
            </w:tcMar>
          </w:tcPr>
          <w:p>
            <w:pPr>
              <w:spacing w:after="0" w:line="245" w:lineRule="auto"/>
              <w:jc w:val="left"/>
            </w:pPr>
            <w:r>
              <w:rPr>
                <w:b w:val="0"/>
                <w:color w:val="000000"/>
                <w:sz w:val="20"/>
              </w:rPr>
              <w:t>Random Forest with / without property_ref</w:t>
            </w:r>
          </w:p>
        </w:tc>
        <w:tc>
          <w:tcPr>
            <w:tcW w:type="dxa" w:w="3240"/>
            <w:vAlign w:val="center"/>
            <w:shd w:fill="F3F4F5"/>
            <w:tcMar>
              <w:top w:w="65" w:type="dxa"/>
              <w:bottom w:w="65" w:type="dxa"/>
              <w:left w:w="85" w:type="dxa"/>
              <w:right w:w="85" w:type="dxa"/>
            </w:tcMar>
          </w:tcPr>
          <w:p>
            <w:pPr>
              <w:spacing w:after="0" w:line="245" w:lineRule="auto"/>
              <w:jc w:val="center"/>
            </w:pPr>
            <w:r>
              <w:rPr>
                <w:b w:val="0"/>
                <w:color w:val="000000"/>
                <w:sz w:val="20"/>
              </w:rPr>
              <w:t>35,973 / 35,965</w:t>
            </w:r>
          </w:p>
        </w:tc>
      </w:tr>
    </w:tbl>
    <w:p>
      <w:pPr>
        <w:widowControl/>
        <w:spacing w:after="0"/>
      </w:pPr>
    </w:p>
    <w:p>
      <w:pPr>
        <w:widowControl/>
      </w:pPr>
      <w:r>
        <w:t>The ratios and flags improved HGB by only AUD 46. Adding the income backup made it slightly worse. Removing property_ref changed Random Forest by just AUD 8. We kept the simpler choices, but these small differences do not establish meaningful or statistically significant gains.</w:t>
      </w:r>
    </w:p>
    <w:p>
      <w:pPr>
        <w:pStyle w:val="Heading1"/>
      </w:pPr>
      <w:r>
        <w:t>4 Validation and error measures</w:t>
      </w:r>
    </w:p>
    <w:p>
      <w:pPr>
        <w:widowControl/>
      </w:pPr>
      <w:r>
        <w:t>We use five shuffled StratifiedKFold splits with seed 42, balanced by the observed sanction-rate groups. Both stages train only on the fitting rows of each fold. The true sanction rate is never an input feature. Every application receives a held-out prediction, and the same folds are reused across candidates.</w:t>
      </w:r>
    </w:p>
    <w:p>
      <w:pPr>
        <w:widowControl/>
      </w:pPr>
      <w:r>
        <w:t>RMSE in AUD is the selection metric because it is used by Kaggle and penalises large dollar mistakes. MAE describes the average absolute error and provides another view. MAPE would be unsuitable with 26.79% zero targets. We report mean fold RMSE; the final global OOF RMSE, calculated over all held-out predictions together, is AUD 33,975.51. Repeated model comparisons can make development scores optimistic.</w:t>
      </w:r>
    </w:p>
    <w:p>
      <w:r>
        <w:br w:type="page"/>
      </w:r>
    </w:p>
    <w:p>
      <w:pPr>
        <w:pStyle w:val="Heading1"/>
      </w:pPr>
      <w:r>
        <w:t>5 Models and final selection</w:t>
      </w:r>
    </w:p>
    <w:p>
      <w:pPr>
        <w:widowControl/>
      </w:pPr>
      <w:r>
        <w:t>We began with Ridge, Random Forest and Histogram Gradient Boosting (HGB), covering a linear model, bagged trees and boosted trees. We then tested sanction-rate prediction and CatBoost. The table separates the initial direct-amount models from the later target-aware models; all use the original five folds.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84"/>
        <w:gridCol w:w="3240"/>
      </w:tblGrid>
      <w:tr>
        <w:trPr>
          <w:cantSplit/>
          <w:tblHeader/>
        </w:trPr>
        <w:tc>
          <w:tcPr>
            <w:tcW w:type="dxa" w:w="6984"/>
            <w:vAlign w:val="center"/>
            <w:shd w:fill="404040"/>
            <w:tcMar>
              <w:top w:w="65" w:type="dxa"/>
              <w:bottom w:w="65" w:type="dxa"/>
              <w:left w:w="85" w:type="dxa"/>
              <w:right w:w="85" w:type="dxa"/>
            </w:tcMar>
          </w:tcPr>
          <w:p>
            <w:pPr>
              <w:spacing w:after="0" w:line="245" w:lineRule="auto"/>
              <w:jc w:val="left"/>
            </w:pPr>
            <w:r>
              <w:rPr>
                <w:b/>
                <w:color w:val="FFFFFF"/>
                <w:sz w:val="20"/>
              </w:rPr>
              <w:t>Model or formulation</w:t>
            </w:r>
          </w:p>
        </w:tc>
        <w:tc>
          <w:tcPr>
            <w:tcW w:type="dxa" w:w="3240"/>
            <w:vAlign w:val="center"/>
            <w:shd w:fill="404040"/>
            <w:tcMar>
              <w:top w:w="65" w:type="dxa"/>
              <w:bottom w:w="65" w:type="dxa"/>
              <w:left w:w="85" w:type="dxa"/>
              <w:right w:w="85" w:type="dxa"/>
            </w:tcMar>
          </w:tcPr>
          <w:p>
            <w:pPr>
              <w:spacing w:after="0" w:line="245" w:lineRule="auto"/>
              <w:jc w:val="center"/>
            </w:pPr>
            <w:r>
              <w:rPr>
                <w:b/>
                <w:color w:val="FFFFFF"/>
                <w:sz w:val="20"/>
              </w:rPr>
              <w:t>Mean fold RMSE in AUD</w:t>
            </w:r>
          </w:p>
        </w:tc>
      </w:tr>
      <w:tr>
        <w:trPr>
          <w:cantSplit/>
        </w:trPr>
        <w:tc>
          <w:tcPr>
            <w:tcW w:type="dxa" w:w="6984"/>
            <w:vAlign w:val="center"/>
            <w:shd w:fill="FFFFFF"/>
            <w:tcMar>
              <w:top w:w="65" w:type="dxa"/>
              <w:bottom w:w="65" w:type="dxa"/>
              <w:left w:w="85" w:type="dxa"/>
              <w:right w:w="85" w:type="dxa"/>
            </w:tcMar>
          </w:tcPr>
          <w:p>
            <w:pPr>
              <w:spacing w:after="0" w:line="245" w:lineRule="auto"/>
              <w:jc w:val="left"/>
            </w:pPr>
            <w:r>
              <w:rPr>
                <w:b w:val="0"/>
                <w:color w:val="000000"/>
                <w:sz w:val="20"/>
              </w:rPr>
              <w:t>Ridge with prediction bounds</w:t>
            </w:r>
          </w:p>
        </w:tc>
        <w:tc>
          <w:tcPr>
            <w:tcW w:type="dxa" w:w="3240"/>
            <w:vAlign w:val="center"/>
            <w:shd w:fill="FFFFFF"/>
            <w:tcMar>
              <w:top w:w="65" w:type="dxa"/>
              <w:bottom w:w="65" w:type="dxa"/>
              <w:left w:w="85" w:type="dxa"/>
              <w:right w:w="85" w:type="dxa"/>
            </w:tcMar>
          </w:tcPr>
          <w:p>
            <w:pPr>
              <w:spacing w:after="0" w:line="245" w:lineRule="auto"/>
              <w:jc w:val="center"/>
            </w:pPr>
            <w:r>
              <w:rPr>
                <w:b w:val="0"/>
                <w:color w:val="000000"/>
                <w:sz w:val="20"/>
              </w:rPr>
              <w:t>43,306</w:t>
            </w:r>
          </w:p>
        </w:tc>
      </w:tr>
      <w:tr>
        <w:trPr>
          <w:cantSplit/>
        </w:trPr>
        <w:tc>
          <w:tcPr>
            <w:tcW w:type="dxa" w:w="6984"/>
            <w:vAlign w:val="center"/>
            <w:shd w:fill="F3F4F5"/>
            <w:tcMar>
              <w:top w:w="65" w:type="dxa"/>
              <w:bottom w:w="65" w:type="dxa"/>
              <w:left w:w="85" w:type="dxa"/>
              <w:right w:w="85" w:type="dxa"/>
            </w:tcMar>
          </w:tcPr>
          <w:p>
            <w:pPr>
              <w:spacing w:after="0" w:line="245" w:lineRule="auto"/>
              <w:jc w:val="left"/>
            </w:pPr>
            <w:r>
              <w:rPr>
                <w:b w:val="0"/>
                <w:color w:val="000000"/>
                <w:sz w:val="20"/>
              </w:rPr>
              <w:t>Random Forest after excluding property_ref</w:t>
            </w:r>
          </w:p>
        </w:tc>
        <w:tc>
          <w:tcPr>
            <w:tcW w:type="dxa" w:w="3240"/>
            <w:vAlign w:val="center"/>
            <w:shd w:fill="F3F4F5"/>
            <w:tcMar>
              <w:top w:w="65" w:type="dxa"/>
              <w:bottom w:w="65" w:type="dxa"/>
              <w:left w:w="85" w:type="dxa"/>
              <w:right w:w="85" w:type="dxa"/>
            </w:tcMar>
          </w:tcPr>
          <w:p>
            <w:pPr>
              <w:spacing w:after="0" w:line="245" w:lineRule="auto"/>
              <w:jc w:val="center"/>
            </w:pPr>
            <w:r>
              <w:rPr>
                <w:b w:val="0"/>
                <w:color w:val="000000"/>
                <w:sz w:val="20"/>
              </w:rPr>
              <w:t>35,965</w:t>
            </w:r>
          </w:p>
        </w:tc>
      </w:tr>
      <w:tr>
        <w:trPr>
          <w:cantSplit/>
        </w:trPr>
        <w:tc>
          <w:tcPr>
            <w:tcW w:type="dxa" w:w="6984"/>
            <w:vAlign w:val="center"/>
            <w:shd w:fill="FFFFFF"/>
            <w:tcMar>
              <w:top w:w="65" w:type="dxa"/>
              <w:bottom w:w="65" w:type="dxa"/>
              <w:left w:w="85" w:type="dxa"/>
              <w:right w:w="85" w:type="dxa"/>
            </w:tcMar>
          </w:tcPr>
          <w:p>
            <w:pPr>
              <w:spacing w:after="0" w:line="245" w:lineRule="auto"/>
              <w:jc w:val="left"/>
            </w:pPr>
            <w:r>
              <w:rPr>
                <w:b w:val="0"/>
                <w:color w:val="000000"/>
                <w:sz w:val="20"/>
              </w:rPr>
              <w:t>HGB predicting the sanction rate</w:t>
            </w:r>
          </w:p>
        </w:tc>
        <w:tc>
          <w:tcPr>
            <w:tcW w:type="dxa" w:w="3240"/>
            <w:vAlign w:val="center"/>
            <w:shd w:fill="FFFFFF"/>
            <w:tcMar>
              <w:top w:w="65" w:type="dxa"/>
              <w:bottom w:w="65" w:type="dxa"/>
              <w:left w:w="85" w:type="dxa"/>
              <w:right w:w="85" w:type="dxa"/>
            </w:tcMar>
          </w:tcPr>
          <w:p>
            <w:pPr>
              <w:spacing w:after="0" w:line="245" w:lineRule="auto"/>
              <w:jc w:val="center"/>
            </w:pPr>
            <w:r>
              <w:rPr>
                <w:b w:val="0"/>
                <w:color w:val="000000"/>
                <w:sz w:val="20"/>
              </w:rPr>
              <w:t>34,812</w:t>
            </w:r>
          </w:p>
        </w:tc>
      </w:tr>
      <w:tr>
        <w:trPr>
          <w:cantSplit/>
        </w:trPr>
        <w:tc>
          <w:tcPr>
            <w:tcW w:type="dxa" w:w="6984"/>
            <w:vAlign w:val="center"/>
            <w:shd w:fill="F3F4F5"/>
            <w:tcMar>
              <w:top w:w="65" w:type="dxa"/>
              <w:bottom w:w="65" w:type="dxa"/>
              <w:left w:w="85" w:type="dxa"/>
              <w:right w:w="85" w:type="dxa"/>
            </w:tcMar>
          </w:tcPr>
          <w:p>
            <w:pPr>
              <w:spacing w:after="0" w:line="245" w:lineRule="auto"/>
              <w:jc w:val="left"/>
            </w:pPr>
            <w:r>
              <w:rPr>
                <w:b w:val="0"/>
                <w:color w:val="000000"/>
                <w:sz w:val="20"/>
              </w:rPr>
              <w:t>HGB using expected sanction-tier probabilities</w:t>
            </w:r>
          </w:p>
        </w:tc>
        <w:tc>
          <w:tcPr>
            <w:tcW w:type="dxa" w:w="3240"/>
            <w:vAlign w:val="center"/>
            <w:shd w:fill="F3F4F5"/>
            <w:tcMar>
              <w:top w:w="65" w:type="dxa"/>
              <w:bottom w:w="65" w:type="dxa"/>
              <w:left w:w="85" w:type="dxa"/>
              <w:right w:w="85" w:type="dxa"/>
            </w:tcMar>
          </w:tcPr>
          <w:p>
            <w:pPr>
              <w:spacing w:after="0" w:line="245" w:lineRule="auto"/>
              <w:jc w:val="center"/>
            </w:pPr>
            <w:r>
              <w:rPr>
                <w:b w:val="0"/>
                <w:color w:val="000000"/>
                <w:sz w:val="20"/>
              </w:rPr>
              <w:t>34,625</w:t>
            </w:r>
          </w:p>
        </w:tc>
      </w:tr>
      <w:tr>
        <w:trPr>
          <w:cantSplit/>
        </w:trPr>
        <w:tc>
          <w:tcPr>
            <w:tcW w:type="dxa" w:w="6984"/>
            <w:vAlign w:val="center"/>
            <w:shd w:fill="FFFFFF"/>
            <w:tcMar>
              <w:top w:w="65" w:type="dxa"/>
              <w:bottom w:w="65" w:type="dxa"/>
              <w:left w:w="85" w:type="dxa"/>
              <w:right w:w="85" w:type="dxa"/>
            </w:tcMar>
          </w:tcPr>
          <w:p>
            <w:pPr>
              <w:spacing w:after="0" w:line="245" w:lineRule="auto"/>
              <w:jc w:val="left"/>
            </w:pPr>
            <w:r>
              <w:rPr>
                <w:b w:val="0"/>
                <w:color w:val="000000"/>
                <w:sz w:val="20"/>
              </w:rPr>
              <w:t>Single CatBoost sanction-rate regressor</w:t>
            </w:r>
          </w:p>
        </w:tc>
        <w:tc>
          <w:tcPr>
            <w:tcW w:type="dxa" w:w="3240"/>
            <w:vAlign w:val="center"/>
            <w:shd w:fill="FFFFFF"/>
            <w:tcMar>
              <w:top w:w="65" w:type="dxa"/>
              <w:bottom w:w="65" w:type="dxa"/>
              <w:left w:w="85" w:type="dxa"/>
              <w:right w:w="85" w:type="dxa"/>
            </w:tcMar>
          </w:tcPr>
          <w:p>
            <w:pPr>
              <w:spacing w:after="0" w:line="245" w:lineRule="auto"/>
              <w:jc w:val="center"/>
            </w:pPr>
            <w:r>
              <w:rPr>
                <w:b w:val="0"/>
                <w:color w:val="000000"/>
                <w:sz w:val="20"/>
              </w:rPr>
              <w:t>34,099.76</w:t>
            </w:r>
          </w:p>
        </w:tc>
      </w:tr>
      <w:tr>
        <w:trPr>
          <w:cantSplit/>
        </w:trPr>
        <w:tc>
          <w:tcPr>
            <w:tcW w:type="dxa" w:w="6984"/>
            <w:vAlign w:val="center"/>
            <w:shd w:fill="F3F4F5"/>
            <w:tcMar>
              <w:top w:w="65" w:type="dxa"/>
              <w:bottom w:w="65" w:type="dxa"/>
              <w:left w:w="85" w:type="dxa"/>
              <w:right w:w="85" w:type="dxa"/>
            </w:tcMar>
          </w:tcPr>
          <w:p>
            <w:pPr>
              <w:spacing w:after="0" w:line="245" w:lineRule="auto"/>
              <w:jc w:val="left"/>
            </w:pPr>
            <w:r>
              <w:rPr>
                <w:b w:val="0"/>
                <w:color w:val="000000"/>
                <w:sz w:val="20"/>
              </w:rPr>
              <w:t>Two-stage CatBoost selected for attempt 4</w:t>
            </w:r>
          </w:p>
        </w:tc>
        <w:tc>
          <w:tcPr>
            <w:tcW w:type="dxa" w:w="3240"/>
            <w:vAlign w:val="center"/>
            <w:shd w:fill="F3F4F5"/>
            <w:tcMar>
              <w:top w:w="65" w:type="dxa"/>
              <w:bottom w:w="65" w:type="dxa"/>
              <w:left w:w="85" w:type="dxa"/>
              <w:right w:w="85" w:type="dxa"/>
            </w:tcMar>
          </w:tcPr>
          <w:p>
            <w:pPr>
              <w:spacing w:after="0" w:line="245" w:lineRule="auto"/>
              <w:jc w:val="center"/>
            </w:pPr>
            <w:r>
              <w:rPr>
                <w:b w:val="0"/>
                <w:color w:val="000000"/>
                <w:sz w:val="20"/>
              </w:rPr>
              <w:t>33,958.77</w:t>
            </w:r>
          </w:p>
        </w:tc>
      </w:tr>
      <w:tr>
        <w:trPr>
          <w:cantSplit/>
        </w:trPr>
        <w:tc>
          <w:tcPr>
            <w:tcW w:type="dxa" w:w="6984"/>
            <w:vAlign w:val="center"/>
            <w:shd w:fill="FFFFFF"/>
            <w:tcMar>
              <w:top w:w="65" w:type="dxa"/>
              <w:bottom w:w="65" w:type="dxa"/>
              <w:left w:w="85" w:type="dxa"/>
              <w:right w:w="85" w:type="dxa"/>
            </w:tcMar>
          </w:tcPr>
          <w:p>
            <w:pPr>
              <w:spacing w:after="0" w:line="245" w:lineRule="auto"/>
              <w:jc w:val="left"/>
            </w:pPr>
            <w:r>
              <w:rPr>
                <w:b w:val="0"/>
                <w:color w:val="000000"/>
                <w:sz w:val="20"/>
              </w:rPr>
              <w:t>Equal average of three two-stage models</w:t>
            </w:r>
          </w:p>
        </w:tc>
        <w:tc>
          <w:tcPr>
            <w:tcW w:type="dxa" w:w="3240"/>
            <w:vAlign w:val="center"/>
            <w:shd w:fill="FFFFFF"/>
            <w:tcMar>
              <w:top w:w="65" w:type="dxa"/>
              <w:bottom w:w="65" w:type="dxa"/>
              <w:left w:w="85" w:type="dxa"/>
              <w:right w:w="85" w:type="dxa"/>
            </w:tcMar>
          </w:tcPr>
          <w:p>
            <w:pPr>
              <w:spacing w:after="0" w:line="245" w:lineRule="auto"/>
              <w:jc w:val="center"/>
            </w:pPr>
            <w:r>
              <w:rPr>
                <w:b w:val="0"/>
                <w:color w:val="000000"/>
                <w:sz w:val="20"/>
              </w:rPr>
              <w:t>33,989.17</w:t>
            </w:r>
          </w:p>
        </w:tc>
      </w:tr>
    </w:tbl>
    <w:p>
      <w:pPr>
        <w:widowControl/>
        <w:spacing w:after="0"/>
      </w:pPr>
    </w:p>
    <w:p>
      <w:pPr>
        <w:widowControl/>
      </w:pPr>
      <w:r>
        <w:t>For the selected model, a CatBoost classifier learns whether the amount is positive. A second CatBoost regressor learns the rounded sanctioned-to-requested ratio on approved fitting rows only. We multiply approval probability, predicted positive rate and requested amount. Rates and amounts are bounded to their valid ranges. Keeping probabilities avoids forcing an uncertain case into a hard approve/reject decision.</w:t>
      </w:r>
    </w:p>
    <w:p>
      <w:pPr>
        <w:widowControl/>
      </w:pPr>
      <w:r>
        <w:t>The classifier uses Logloss, depth 5 and 1,200 iterations. The rate regressor uses RMSE, depth 4 and 800 iterations. Both use learning rate 0.03, L2 regularisation 10, random seed 42 and six CPU threads. The objectives follow the CatBoost documentation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960"/>
        <w:gridCol w:w="3960"/>
      </w:tblGrid>
      <w:tr>
        <w:trPr>
          <w:cantSplit/>
          <w:tblHeader/>
        </w:trPr>
        <w:tc>
          <w:tcPr>
            <w:tcW w:type="dxa" w:w="2304"/>
            <w:vAlign w:val="center"/>
            <w:shd w:fill="404040"/>
            <w:tcMar>
              <w:top w:w="65" w:type="dxa"/>
              <w:bottom w:w="65" w:type="dxa"/>
              <w:left w:w="85" w:type="dxa"/>
              <w:right w:w="85" w:type="dxa"/>
            </w:tcMar>
          </w:tcPr>
          <w:p>
            <w:pPr>
              <w:spacing w:after="0" w:line="245" w:lineRule="auto"/>
              <w:jc w:val="left"/>
            </w:pPr>
            <w:r>
              <w:rPr>
                <w:b/>
                <w:color w:val="FFFFFF"/>
                <w:sz w:val="20"/>
              </w:rPr>
              <w:t>Partition seed</w:t>
            </w:r>
          </w:p>
        </w:tc>
        <w:tc>
          <w:tcPr>
            <w:tcW w:type="dxa" w:w="3960"/>
            <w:vAlign w:val="center"/>
            <w:shd w:fill="404040"/>
            <w:tcMar>
              <w:top w:w="65" w:type="dxa"/>
              <w:bottom w:w="65" w:type="dxa"/>
              <w:left w:w="85" w:type="dxa"/>
              <w:right w:w="85" w:type="dxa"/>
            </w:tcMar>
          </w:tcPr>
          <w:p>
            <w:pPr>
              <w:spacing w:after="0" w:line="245" w:lineRule="auto"/>
              <w:jc w:val="center"/>
            </w:pPr>
            <w:r>
              <w:rPr>
                <w:b/>
                <w:color w:val="FFFFFF"/>
                <w:sz w:val="20"/>
              </w:rPr>
              <w:t>Single CatBoost</w:t>
            </w:r>
          </w:p>
        </w:tc>
        <w:tc>
          <w:tcPr>
            <w:tcW w:type="dxa" w:w="3960"/>
            <w:vAlign w:val="center"/>
            <w:shd w:fill="404040"/>
            <w:tcMar>
              <w:top w:w="65" w:type="dxa"/>
              <w:bottom w:w="65" w:type="dxa"/>
              <w:left w:w="85" w:type="dxa"/>
              <w:right w:w="85" w:type="dxa"/>
            </w:tcMar>
          </w:tcPr>
          <w:p>
            <w:pPr>
              <w:spacing w:after="0" w:line="245" w:lineRule="auto"/>
              <w:jc w:val="center"/>
            </w:pPr>
            <w:r>
              <w:rPr>
                <w:b/>
                <w:color w:val="FFFFFF"/>
                <w:sz w:val="20"/>
              </w:rPr>
              <w:t>Two-stage CatBoost</w:t>
            </w:r>
          </w:p>
        </w:tc>
      </w:tr>
      <w:tr>
        <w:trPr>
          <w:cantSplit/>
        </w:trPr>
        <w:tc>
          <w:tcPr>
            <w:tcW w:type="dxa" w:w="2304"/>
            <w:vAlign w:val="center"/>
            <w:shd w:fill="FFFFFF"/>
            <w:tcMar>
              <w:top w:w="65" w:type="dxa"/>
              <w:bottom w:w="65" w:type="dxa"/>
              <w:left w:w="85" w:type="dxa"/>
              <w:right w:w="85" w:type="dxa"/>
            </w:tcMar>
          </w:tcPr>
          <w:p>
            <w:pPr>
              <w:spacing w:after="0" w:line="245" w:lineRule="auto"/>
              <w:jc w:val="left"/>
            </w:pPr>
            <w:r>
              <w:rPr>
                <w:b w:val="0"/>
                <w:color w:val="000000"/>
                <w:sz w:val="20"/>
              </w:rPr>
              <w:t>42</w:t>
            </w:r>
          </w:p>
        </w:tc>
        <w:tc>
          <w:tcPr>
            <w:tcW w:type="dxa" w:w="3960"/>
            <w:vAlign w:val="center"/>
            <w:shd w:fill="FFFFFF"/>
            <w:tcMar>
              <w:top w:w="65" w:type="dxa"/>
              <w:bottom w:w="65" w:type="dxa"/>
              <w:left w:w="85" w:type="dxa"/>
              <w:right w:w="85" w:type="dxa"/>
            </w:tcMar>
          </w:tcPr>
          <w:p>
            <w:pPr>
              <w:spacing w:after="0" w:line="245" w:lineRule="auto"/>
              <w:jc w:val="center"/>
            </w:pPr>
            <w:r>
              <w:rPr>
                <w:b w:val="0"/>
                <w:color w:val="000000"/>
                <w:sz w:val="20"/>
              </w:rPr>
              <w:t>34,099.76</w:t>
            </w:r>
          </w:p>
        </w:tc>
        <w:tc>
          <w:tcPr>
            <w:tcW w:type="dxa" w:w="3960"/>
            <w:vAlign w:val="center"/>
            <w:shd w:fill="FFFFFF"/>
            <w:tcMar>
              <w:top w:w="65" w:type="dxa"/>
              <w:bottom w:w="65" w:type="dxa"/>
              <w:left w:w="85" w:type="dxa"/>
              <w:right w:w="85" w:type="dxa"/>
            </w:tcMar>
          </w:tcPr>
          <w:p>
            <w:pPr>
              <w:spacing w:after="0" w:line="245" w:lineRule="auto"/>
              <w:jc w:val="center"/>
            </w:pPr>
            <w:r>
              <w:rPr>
                <w:b w:val="0"/>
                <w:color w:val="000000"/>
                <w:sz w:val="20"/>
              </w:rPr>
              <w:t>33,958.77</w:t>
            </w:r>
          </w:p>
        </w:tc>
      </w:tr>
      <w:tr>
        <w:trPr>
          <w:cantSplit/>
        </w:trPr>
        <w:tc>
          <w:tcPr>
            <w:tcW w:type="dxa" w:w="2304"/>
            <w:vAlign w:val="center"/>
            <w:shd w:fill="F3F4F5"/>
            <w:tcMar>
              <w:top w:w="65" w:type="dxa"/>
              <w:bottom w:w="65" w:type="dxa"/>
              <w:left w:w="85" w:type="dxa"/>
              <w:right w:w="85" w:type="dxa"/>
            </w:tcMar>
          </w:tcPr>
          <w:p>
            <w:pPr>
              <w:spacing w:after="0" w:line="245" w:lineRule="auto"/>
              <w:jc w:val="left"/>
            </w:pPr>
            <w:r>
              <w:rPr>
                <w:b w:val="0"/>
                <w:color w:val="000000"/>
                <w:sz w:val="20"/>
              </w:rPr>
              <w:t>2026</w:t>
            </w:r>
          </w:p>
        </w:tc>
        <w:tc>
          <w:tcPr>
            <w:tcW w:type="dxa" w:w="3960"/>
            <w:vAlign w:val="center"/>
            <w:shd w:fill="F3F4F5"/>
            <w:tcMar>
              <w:top w:w="65" w:type="dxa"/>
              <w:bottom w:w="65" w:type="dxa"/>
              <w:left w:w="85" w:type="dxa"/>
              <w:right w:w="85" w:type="dxa"/>
            </w:tcMar>
          </w:tcPr>
          <w:p>
            <w:pPr>
              <w:spacing w:after="0" w:line="245" w:lineRule="auto"/>
              <w:jc w:val="center"/>
            </w:pPr>
            <w:r>
              <w:rPr>
                <w:b w:val="0"/>
                <w:color w:val="000000"/>
                <w:sz w:val="20"/>
              </w:rPr>
              <w:t>34,323.40</w:t>
            </w:r>
          </w:p>
        </w:tc>
        <w:tc>
          <w:tcPr>
            <w:tcW w:type="dxa" w:w="3960"/>
            <w:vAlign w:val="center"/>
            <w:shd w:fill="F3F4F5"/>
            <w:tcMar>
              <w:top w:w="65" w:type="dxa"/>
              <w:bottom w:w="65" w:type="dxa"/>
              <w:left w:w="85" w:type="dxa"/>
              <w:right w:w="85" w:type="dxa"/>
            </w:tcMar>
          </w:tcPr>
          <w:p>
            <w:pPr>
              <w:spacing w:after="0" w:line="245" w:lineRule="auto"/>
              <w:jc w:val="center"/>
            </w:pPr>
            <w:r>
              <w:rPr>
                <w:b w:val="0"/>
                <w:color w:val="000000"/>
                <w:sz w:val="20"/>
              </w:rPr>
              <w:t>34,119.05</w:t>
            </w:r>
          </w:p>
        </w:tc>
      </w:tr>
    </w:tbl>
    <w:p>
      <w:pPr>
        <w:widowControl/>
        <w:spacing w:after="0"/>
      </w:pPr>
    </w:p>
    <w:p>
      <w:pPr>
        <w:widowControl/>
      </w:pPr>
      <w:r>
        <w:t>Two-stage CatBoost improved all five paired folds in both partitions, lowering mean RMSE by AUD 141 and AUD 204 respectively. Its fold standard deviation on the original split was AUD 1,194. These are modest gains, not proof of significance. The second partition reuses the same applications and is only a stability check.</w:t>
      </w:r>
    </w:p>
    <w:p>
      <w:pPr>
        <w:widowControl/>
      </w:pPr>
      <w:r>
        <w:t>A bounded comparison of 15 later configurations also tested deeper trees, more iterations, request-based weights, smaller feature sets, direct-amount CatBoost, tier classification and XGBoost. None beat the selected model on the original folds. Two fixed 50/50 blends also failed to improve global OOF RMSE. The last three-seed average was AUD 30 worse on split 42 and AUD 38 better on split 2026, effectively a tie. We retained the simpler two-stage model; no blend weights were fitted to the public leaderboard.</w:t>
      </w:r>
    </w:p>
    <w:p>
      <w:r>
        <w:br w:type="page"/>
      </w:r>
    </w:p>
    <w:p>
      <w:pPr>
        <w:pStyle w:val="Heading1"/>
      </w:pPr>
      <w:r>
        <w:t>6 Feature influence and model errors</w:t>
      </w:r>
    </w:p>
    <w:p>
      <w:pPr>
        <w:widowControl/>
      </w:pPr>
      <w:r>
        <w:t>We considered both relationships in the data and changes in held-out prediction error. Pearson correlations with sanctioned amount were 0.740 for requested amount, 0.375 for credit rating and 0.269 for co-applicant status. These are associations, not causal effects, and dollar relationships can partly reflect the size of the loan request.</w:t>
      </w:r>
    </w:p>
    <w:p>
      <w:pPr>
        <w:widowControl/>
      </w:pPr>
      <w:r>
        <w:t>For the final model, we shuffled five inputs highlighted by the EDA, one at a time in validation rows, without refitting. We repeated each shuffle three times per fold. The table reports mean RMSE increases and the standard deviation of the five fold averages; the standard deviation is not a confidence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952"/>
        <w:gridCol w:w="2592"/>
      </w:tblGrid>
      <w:tr>
        <w:trPr>
          <w:cantSplit/>
          <w:tblHeader/>
        </w:trPr>
        <w:tc>
          <w:tcPr>
            <w:tcW w:type="dxa" w:w="4680"/>
            <w:vAlign w:val="center"/>
            <w:shd w:fill="404040"/>
            <w:tcMar>
              <w:top w:w="65" w:type="dxa"/>
              <w:bottom w:w="65" w:type="dxa"/>
              <w:left w:w="85" w:type="dxa"/>
              <w:right w:w="85" w:type="dxa"/>
            </w:tcMar>
          </w:tcPr>
          <w:p>
            <w:pPr>
              <w:spacing w:after="0" w:line="245" w:lineRule="auto"/>
              <w:jc w:val="left"/>
            </w:pPr>
            <w:r>
              <w:rPr>
                <w:b/>
                <w:color w:val="FFFFFF"/>
                <w:sz w:val="20"/>
              </w:rPr>
              <w:t>Input shuffled</w:t>
            </w:r>
          </w:p>
        </w:tc>
        <w:tc>
          <w:tcPr>
            <w:tcW w:type="dxa" w:w="2952"/>
            <w:vAlign w:val="center"/>
            <w:shd w:fill="404040"/>
            <w:tcMar>
              <w:top w:w="65" w:type="dxa"/>
              <w:bottom w:w="65" w:type="dxa"/>
              <w:left w:w="85" w:type="dxa"/>
              <w:right w:w="85" w:type="dxa"/>
            </w:tcMar>
          </w:tcPr>
          <w:p>
            <w:pPr>
              <w:spacing w:after="0" w:line="245" w:lineRule="auto"/>
              <w:jc w:val="center"/>
            </w:pPr>
            <w:r>
              <w:rPr>
                <w:b/>
                <w:color w:val="FFFFFF"/>
                <w:sz w:val="20"/>
              </w:rPr>
              <w:t>RMSE increase AUD</w:t>
            </w:r>
          </w:p>
        </w:tc>
        <w:tc>
          <w:tcPr>
            <w:tcW w:type="dxa" w:w="2592"/>
            <w:vAlign w:val="center"/>
            <w:shd w:fill="404040"/>
            <w:tcMar>
              <w:top w:w="65" w:type="dxa"/>
              <w:bottom w:w="65" w:type="dxa"/>
              <w:left w:w="85" w:type="dxa"/>
              <w:right w:w="85" w:type="dxa"/>
            </w:tcMar>
          </w:tcPr>
          <w:p>
            <w:pPr>
              <w:spacing w:after="0" w:line="245" w:lineRule="auto"/>
              <w:jc w:val="center"/>
            </w:pPr>
            <w:r>
              <w:rPr>
                <w:b/>
                <w:color w:val="FFFFFF"/>
                <w:sz w:val="20"/>
              </w:rPr>
              <w:t>Fold SD AUD</w:t>
            </w:r>
          </w:p>
        </w:tc>
      </w:tr>
      <w:tr>
        <w:trPr>
          <w:cantSplit/>
        </w:trPr>
        <w:tc>
          <w:tcPr>
            <w:tcW w:type="dxa" w:w="4680"/>
            <w:vAlign w:val="center"/>
            <w:shd w:fill="FFFFFF"/>
            <w:tcMar>
              <w:top w:w="65" w:type="dxa"/>
              <w:bottom w:w="65" w:type="dxa"/>
              <w:left w:w="85" w:type="dxa"/>
              <w:right w:w="85" w:type="dxa"/>
            </w:tcMar>
          </w:tcPr>
          <w:p>
            <w:pPr>
              <w:spacing w:after="0" w:line="245" w:lineRule="auto"/>
              <w:jc w:val="left"/>
            </w:pPr>
            <w:r>
              <w:rPr>
                <w:b w:val="0"/>
                <w:color w:val="000000"/>
                <w:sz w:val="20"/>
              </w:rPr>
              <w:t>Requested amount</w:t>
            </w:r>
          </w:p>
        </w:tc>
        <w:tc>
          <w:tcPr>
            <w:tcW w:type="dxa" w:w="2952"/>
            <w:vAlign w:val="center"/>
            <w:shd w:fill="FFFFFF"/>
            <w:tcMar>
              <w:top w:w="65" w:type="dxa"/>
              <w:bottom w:w="65" w:type="dxa"/>
              <w:left w:w="85" w:type="dxa"/>
              <w:right w:w="85" w:type="dxa"/>
            </w:tcMar>
          </w:tcPr>
          <w:p>
            <w:pPr>
              <w:spacing w:after="0" w:line="245" w:lineRule="auto"/>
              <w:jc w:val="center"/>
            </w:pPr>
            <w:r>
              <w:rPr>
                <w:b w:val="0"/>
                <w:color w:val="000000"/>
                <w:sz w:val="20"/>
              </w:rPr>
              <w:t>51,199</w:t>
            </w:r>
          </w:p>
        </w:tc>
        <w:tc>
          <w:tcPr>
            <w:tcW w:type="dxa" w:w="2592"/>
            <w:vAlign w:val="center"/>
            <w:shd w:fill="FFFFFF"/>
            <w:tcMar>
              <w:top w:w="65" w:type="dxa"/>
              <w:bottom w:w="65" w:type="dxa"/>
              <w:left w:w="85" w:type="dxa"/>
              <w:right w:w="85" w:type="dxa"/>
            </w:tcMar>
          </w:tcPr>
          <w:p>
            <w:pPr>
              <w:spacing w:after="0" w:line="245" w:lineRule="auto"/>
              <w:jc w:val="center"/>
            </w:pPr>
            <w:r>
              <w:rPr>
                <w:b w:val="0"/>
                <w:color w:val="000000"/>
                <w:sz w:val="20"/>
              </w:rPr>
              <w:t>1,842</w:t>
            </w:r>
          </w:p>
        </w:tc>
      </w:tr>
      <w:tr>
        <w:trPr>
          <w:cantSplit/>
        </w:trPr>
        <w:tc>
          <w:tcPr>
            <w:tcW w:type="dxa" w:w="4680"/>
            <w:vAlign w:val="center"/>
            <w:shd w:fill="F3F4F5"/>
            <w:tcMar>
              <w:top w:w="65" w:type="dxa"/>
              <w:bottom w:w="65" w:type="dxa"/>
              <w:left w:w="85" w:type="dxa"/>
              <w:right w:w="85" w:type="dxa"/>
            </w:tcMar>
          </w:tcPr>
          <w:p>
            <w:pPr>
              <w:spacing w:after="0" w:line="245" w:lineRule="auto"/>
              <w:jc w:val="left"/>
            </w:pPr>
            <w:r>
              <w:rPr>
                <w:b w:val="0"/>
                <w:color w:val="000000"/>
                <w:sz w:val="20"/>
              </w:rPr>
              <w:t>Credit rating</w:t>
            </w:r>
          </w:p>
        </w:tc>
        <w:tc>
          <w:tcPr>
            <w:tcW w:type="dxa" w:w="2952"/>
            <w:vAlign w:val="center"/>
            <w:shd w:fill="F3F4F5"/>
            <w:tcMar>
              <w:top w:w="65" w:type="dxa"/>
              <w:bottom w:w="65" w:type="dxa"/>
              <w:left w:w="85" w:type="dxa"/>
              <w:right w:w="85" w:type="dxa"/>
            </w:tcMar>
          </w:tcPr>
          <w:p>
            <w:pPr>
              <w:spacing w:after="0" w:line="245" w:lineRule="auto"/>
              <w:jc w:val="center"/>
            </w:pPr>
            <w:r>
              <w:rPr>
                <w:b w:val="0"/>
                <w:color w:val="000000"/>
                <w:sz w:val="20"/>
              </w:rPr>
              <w:t>20,198</w:t>
            </w:r>
          </w:p>
        </w:tc>
        <w:tc>
          <w:tcPr>
            <w:tcW w:type="dxa" w:w="2592"/>
            <w:vAlign w:val="center"/>
            <w:shd w:fill="F3F4F5"/>
            <w:tcMar>
              <w:top w:w="65" w:type="dxa"/>
              <w:bottom w:w="65" w:type="dxa"/>
              <w:left w:w="85" w:type="dxa"/>
              <w:right w:w="85" w:type="dxa"/>
            </w:tcMar>
          </w:tcPr>
          <w:p>
            <w:pPr>
              <w:spacing w:after="0" w:line="245" w:lineRule="auto"/>
              <w:jc w:val="center"/>
            </w:pPr>
            <w:r>
              <w:rPr>
                <w:b w:val="0"/>
                <w:color w:val="000000"/>
                <w:sz w:val="20"/>
              </w:rPr>
              <w:t>1,873</w:t>
            </w:r>
          </w:p>
        </w:tc>
      </w:tr>
      <w:tr>
        <w:trPr>
          <w:cantSplit/>
        </w:trPr>
        <w:tc>
          <w:tcPr>
            <w:tcW w:type="dxa" w:w="4680"/>
            <w:vAlign w:val="center"/>
            <w:shd w:fill="FFFFFF"/>
            <w:tcMar>
              <w:top w:w="65" w:type="dxa"/>
              <w:bottom w:w="65" w:type="dxa"/>
              <w:left w:w="85" w:type="dxa"/>
              <w:right w:w="85" w:type="dxa"/>
            </w:tcMar>
          </w:tcPr>
          <w:p>
            <w:pPr>
              <w:spacing w:after="0" w:line="245" w:lineRule="auto"/>
              <w:jc w:val="left"/>
            </w:pPr>
            <w:r>
              <w:rPr>
                <w:b w:val="0"/>
                <w:color w:val="000000"/>
                <w:sz w:val="20"/>
              </w:rPr>
              <w:t>Co-applicant status</w:t>
            </w:r>
          </w:p>
        </w:tc>
        <w:tc>
          <w:tcPr>
            <w:tcW w:type="dxa" w:w="2952"/>
            <w:vAlign w:val="center"/>
            <w:shd w:fill="FFFFFF"/>
            <w:tcMar>
              <w:top w:w="65" w:type="dxa"/>
              <w:bottom w:w="65" w:type="dxa"/>
              <w:left w:w="85" w:type="dxa"/>
              <w:right w:w="85" w:type="dxa"/>
            </w:tcMar>
          </w:tcPr>
          <w:p>
            <w:pPr>
              <w:spacing w:after="0" w:line="245" w:lineRule="auto"/>
              <w:jc w:val="center"/>
            </w:pPr>
            <w:r>
              <w:rPr>
                <w:b w:val="0"/>
                <w:color w:val="000000"/>
                <w:sz w:val="20"/>
              </w:rPr>
              <w:t>17,953</w:t>
            </w:r>
          </w:p>
        </w:tc>
        <w:tc>
          <w:tcPr>
            <w:tcW w:type="dxa" w:w="2592"/>
            <w:vAlign w:val="center"/>
            <w:shd w:fill="FFFFFF"/>
            <w:tcMar>
              <w:top w:w="65" w:type="dxa"/>
              <w:bottom w:w="65" w:type="dxa"/>
              <w:left w:w="85" w:type="dxa"/>
              <w:right w:w="85" w:type="dxa"/>
            </w:tcMar>
          </w:tcPr>
          <w:p>
            <w:pPr>
              <w:spacing w:after="0" w:line="245" w:lineRule="auto"/>
              <w:jc w:val="center"/>
            </w:pPr>
            <w:r>
              <w:rPr>
                <w:b w:val="0"/>
                <w:color w:val="000000"/>
                <w:sz w:val="20"/>
              </w:rPr>
              <w:t>904</w:t>
            </w:r>
          </w:p>
        </w:tc>
      </w:tr>
      <w:tr>
        <w:trPr>
          <w:cantSplit/>
        </w:trPr>
        <w:tc>
          <w:tcPr>
            <w:tcW w:type="dxa" w:w="4680"/>
            <w:vAlign w:val="center"/>
            <w:shd w:fill="F3F4F5"/>
            <w:tcMar>
              <w:top w:w="65" w:type="dxa"/>
              <w:bottom w:w="65" w:type="dxa"/>
              <w:left w:w="85" w:type="dxa"/>
              <w:right w:w="85" w:type="dxa"/>
            </w:tcMar>
          </w:tcPr>
          <w:p>
            <w:pPr>
              <w:spacing w:after="0" w:line="245" w:lineRule="auto"/>
              <w:jc w:val="left"/>
            </w:pPr>
            <w:r>
              <w:rPr>
                <w:b w:val="0"/>
                <w:color w:val="000000"/>
                <w:sz w:val="20"/>
              </w:rPr>
              <w:t>Income consistency</w:t>
            </w:r>
          </w:p>
        </w:tc>
        <w:tc>
          <w:tcPr>
            <w:tcW w:type="dxa" w:w="2952"/>
            <w:vAlign w:val="center"/>
            <w:shd w:fill="F3F4F5"/>
            <w:tcMar>
              <w:top w:w="65" w:type="dxa"/>
              <w:bottom w:w="65" w:type="dxa"/>
              <w:left w:w="85" w:type="dxa"/>
              <w:right w:w="85" w:type="dxa"/>
            </w:tcMar>
          </w:tcPr>
          <w:p>
            <w:pPr>
              <w:spacing w:after="0" w:line="245" w:lineRule="auto"/>
              <w:jc w:val="center"/>
            </w:pPr>
            <w:r>
              <w:rPr>
                <w:b w:val="0"/>
                <w:color w:val="000000"/>
                <w:sz w:val="20"/>
              </w:rPr>
              <w:t>1,356</w:t>
            </w:r>
          </w:p>
        </w:tc>
        <w:tc>
          <w:tcPr>
            <w:tcW w:type="dxa" w:w="2592"/>
            <w:vAlign w:val="center"/>
            <w:shd w:fill="F3F4F5"/>
            <w:tcMar>
              <w:top w:w="65" w:type="dxa"/>
              <w:bottom w:w="65" w:type="dxa"/>
              <w:left w:w="85" w:type="dxa"/>
              <w:right w:w="85" w:type="dxa"/>
            </w:tcMar>
          </w:tcPr>
          <w:p>
            <w:pPr>
              <w:spacing w:after="0" w:line="245" w:lineRule="auto"/>
              <w:jc w:val="center"/>
            </w:pPr>
            <w:r>
              <w:rPr>
                <w:b w:val="0"/>
                <w:color w:val="000000"/>
                <w:sz w:val="20"/>
              </w:rPr>
              <w:t>489</w:t>
            </w:r>
          </w:p>
        </w:tc>
      </w:tr>
      <w:tr>
        <w:trPr>
          <w:cantSplit/>
        </w:trPr>
        <w:tc>
          <w:tcPr>
            <w:tcW w:type="dxa" w:w="4680"/>
            <w:vAlign w:val="center"/>
            <w:shd w:fill="FFFFFF"/>
            <w:tcMar>
              <w:top w:w="65" w:type="dxa"/>
              <w:bottom w:w="65" w:type="dxa"/>
              <w:left w:w="85" w:type="dxa"/>
              <w:right w:w="85" w:type="dxa"/>
            </w:tcMar>
          </w:tcPr>
          <w:p>
            <w:pPr>
              <w:spacing w:after="0" w:line="245" w:lineRule="auto"/>
              <w:jc w:val="left"/>
            </w:pPr>
            <w:r>
              <w:rPr>
                <w:b w:val="0"/>
                <w:color w:val="000000"/>
                <w:sz w:val="20"/>
              </w:rPr>
              <w:t>Applicant age</w:t>
            </w:r>
          </w:p>
        </w:tc>
        <w:tc>
          <w:tcPr>
            <w:tcW w:type="dxa" w:w="2952"/>
            <w:vAlign w:val="center"/>
            <w:shd w:fill="FFFFFF"/>
            <w:tcMar>
              <w:top w:w="65" w:type="dxa"/>
              <w:bottom w:w="65" w:type="dxa"/>
              <w:left w:w="85" w:type="dxa"/>
              <w:right w:w="85" w:type="dxa"/>
            </w:tcMar>
          </w:tcPr>
          <w:p>
            <w:pPr>
              <w:spacing w:after="0" w:line="245" w:lineRule="auto"/>
              <w:jc w:val="center"/>
            </w:pPr>
            <w:r>
              <w:rPr>
                <w:b w:val="0"/>
                <w:color w:val="000000"/>
                <w:sz w:val="20"/>
              </w:rPr>
              <w:t>60</w:t>
            </w:r>
          </w:p>
        </w:tc>
        <w:tc>
          <w:tcPr>
            <w:tcW w:type="dxa" w:w="2592"/>
            <w:vAlign w:val="center"/>
            <w:shd w:fill="FFFFFF"/>
            <w:tcMar>
              <w:top w:w="65" w:type="dxa"/>
              <w:bottom w:w="65" w:type="dxa"/>
              <w:left w:w="85" w:type="dxa"/>
              <w:right w:w="85" w:type="dxa"/>
            </w:tcMar>
          </w:tcPr>
          <w:p>
            <w:pPr>
              <w:spacing w:after="0" w:line="245" w:lineRule="auto"/>
              <w:jc w:val="center"/>
            </w:pPr>
            <w:r>
              <w:rPr>
                <w:b w:val="0"/>
                <w:color w:val="000000"/>
                <w:sz w:val="20"/>
              </w:rPr>
              <w:t>41</w:t>
            </w:r>
          </w:p>
        </w:tc>
      </w:tr>
    </w:tbl>
    <w:p>
      <w:pPr>
        <w:widowControl/>
        <w:spacing w:after="0"/>
      </w:pPr>
    </w:p>
    <w:p>
      <w:pPr>
        <w:widowControl/>
      </w:pPr>
      <w:r>
        <w:t>Credit rating and co-applicant status matter for estimating the lending decision, while requested amount sets its dollar scale. Shuffling requested amount also changes the final conversion to AUD, so its effect describes the whole prediction process. Income consistency has a smaller effect and age very little in this model. These checks cover only five inputs; correlated features may share information, so they are not a complete ranking or a causal test.</w:t>
      </w:r>
    </w:p>
    <w:p>
      <w:pPr>
        <w:spacing w:after="60"/>
      </w:pPr>
      <w:r>
        <w:drawing>
          <wp:inline xmlns:a="http://schemas.openxmlformats.org/drawingml/2006/main" xmlns:pic="http://schemas.openxmlformats.org/drawingml/2006/picture">
            <wp:extent cx="6126480" cy="1971961"/>
            <wp:docPr id="1" name="Picture 1"/>
            <wp:cNvGraphicFramePr>
              <a:graphicFrameLocks noChangeAspect="1"/>
            </wp:cNvGraphicFramePr>
            <a:graphic>
              <a:graphicData uri="http://schemas.openxmlformats.org/drawingml/2006/picture">
                <pic:pic>
                  <pic:nvPicPr>
                    <pic:cNvPr id="0" name="final_error_by_request.png"/>
                    <pic:cNvPicPr/>
                  </pic:nvPicPr>
                  <pic:blipFill>
                    <a:blip r:embed="rId10"/>
                    <a:stretch>
                      <a:fillRect/>
                    </a:stretch>
                  </pic:blipFill>
                  <pic:spPr>
                    <a:xfrm>
                      <a:off x="0" y="0"/>
                      <a:ext cx="6126480" cy="1971961"/>
                    </a:xfrm>
                    <a:prstGeom prst="rect"/>
                  </pic:spPr>
                </pic:pic>
              </a:graphicData>
            </a:graphic>
          </wp:inline>
        </w:drawing>
      </w:r>
    </w:p>
    <w:p>
      <w:pPr>
        <w:pStyle w:val="Caption"/>
        <w:widowControl/>
      </w:pPr>
      <w:r>
        <w:t>Figure 1  Final-model OOF error by requested-amount quintile. Each group has 3,864 or 3,865 rows.</w:t>
      </w:r>
    </w:p>
    <w:p>
      <w:pPr>
        <w:widowControl/>
      </w:pPr>
      <w:r>
        <w:t>Errors rise from AUD 9,014 in the smallest request group to AUD 59,394 in the largest. Rejected applications have RMSE of AUD 58,765 (n = 5,177), versus AUD 17,690 for approved applications (n = 14,145). Missing credit ratings also mark a harder group: RMSE is AUD 40,738 (n = 3,953), compared with AUD 32,006 when ratings are available (n = 15,369). These diagnostics use the final model, not the earlier Random Forest.</w:t>
      </w:r>
    </w:p>
    <w:p>
      <w:r>
        <w:br w:type="page"/>
      </w:r>
    </w:p>
    <w:p>
      <w:pPr>
        <w:pStyle w:val="Heading1"/>
      </w:pPr>
      <w:r>
        <w:t>7 Kaggle results and limitations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480"/>
        <w:gridCol w:w="2808"/>
      </w:tblGrid>
      <w:tr>
        <w:trPr>
          <w:cantSplit/>
          <w:tblHeader/>
        </w:trPr>
        <w:tc>
          <w:tcPr>
            <w:tcW w:type="dxa" w:w="936"/>
            <w:vAlign w:val="center"/>
            <w:shd w:fill="404040"/>
            <w:tcMar>
              <w:top w:w="65" w:type="dxa"/>
              <w:bottom w:w="65" w:type="dxa"/>
              <w:left w:w="85" w:type="dxa"/>
              <w:right w:w="85" w:type="dxa"/>
            </w:tcMar>
          </w:tcPr>
          <w:p>
            <w:pPr>
              <w:spacing w:after="0" w:line="245" w:lineRule="auto"/>
              <w:jc w:val="left"/>
            </w:pPr>
            <w:r>
              <w:rPr>
                <w:b/>
                <w:color w:val="FFFFFF"/>
                <w:sz w:val="20"/>
              </w:rPr>
              <w:t>Attempt</w:t>
            </w:r>
          </w:p>
        </w:tc>
        <w:tc>
          <w:tcPr>
            <w:tcW w:type="dxa" w:w="6480"/>
            <w:vAlign w:val="center"/>
            <w:shd w:fill="404040"/>
            <w:tcMar>
              <w:top w:w="65" w:type="dxa"/>
              <w:bottom w:w="65" w:type="dxa"/>
              <w:left w:w="85" w:type="dxa"/>
              <w:right w:w="85" w:type="dxa"/>
            </w:tcMar>
          </w:tcPr>
          <w:p>
            <w:pPr>
              <w:spacing w:after="0" w:line="245" w:lineRule="auto"/>
              <w:jc w:val="center"/>
            </w:pPr>
            <w:r>
              <w:rPr>
                <w:b/>
                <w:color w:val="FFFFFF"/>
                <w:sz w:val="20"/>
              </w:rPr>
              <w:t>Model</w:t>
            </w:r>
          </w:p>
        </w:tc>
        <w:tc>
          <w:tcPr>
            <w:tcW w:type="dxa" w:w="2808"/>
            <w:vAlign w:val="center"/>
            <w:shd w:fill="404040"/>
            <w:tcMar>
              <w:top w:w="65" w:type="dxa"/>
              <w:bottom w:w="65" w:type="dxa"/>
              <w:left w:w="85" w:type="dxa"/>
              <w:right w:w="85" w:type="dxa"/>
            </w:tcMar>
          </w:tcPr>
          <w:p>
            <w:pPr>
              <w:spacing w:after="0" w:line="245" w:lineRule="auto"/>
              <w:jc w:val="center"/>
            </w:pPr>
            <w:r>
              <w:rPr>
                <w:b/>
                <w:color w:val="FFFFFF"/>
                <w:sz w:val="20"/>
              </w:rPr>
              <w:t>Public RMSE</w:t>
            </w:r>
          </w:p>
        </w:tc>
      </w:tr>
      <w:tr>
        <w:trPr>
          <w:cantSplit/>
        </w:trPr>
        <w:tc>
          <w:tcPr>
            <w:tcW w:type="dxa" w:w="936"/>
            <w:vAlign w:val="center"/>
            <w:shd w:fill="FFFFFF"/>
            <w:tcMar>
              <w:top w:w="65" w:type="dxa"/>
              <w:bottom w:w="65" w:type="dxa"/>
              <w:left w:w="85" w:type="dxa"/>
              <w:right w:w="85" w:type="dxa"/>
            </w:tcMar>
          </w:tcPr>
          <w:p>
            <w:pPr>
              <w:spacing w:after="0" w:line="245" w:lineRule="auto"/>
              <w:jc w:val="left"/>
            </w:pPr>
            <w:r>
              <w:rPr>
                <w:b w:val="0"/>
                <w:color w:val="000000"/>
                <w:sz w:val="20"/>
              </w:rPr>
              <w:t>1</w:t>
            </w:r>
          </w:p>
        </w:tc>
        <w:tc>
          <w:tcPr>
            <w:tcW w:type="dxa" w:w="6480"/>
            <w:vAlign w:val="center"/>
            <w:shd w:fill="FFFFFF"/>
            <w:tcMar>
              <w:top w:w="65" w:type="dxa"/>
              <w:bottom w:w="65" w:type="dxa"/>
              <w:left w:w="85" w:type="dxa"/>
              <w:right w:w="85" w:type="dxa"/>
            </w:tcMar>
          </w:tcPr>
          <w:p>
            <w:pPr>
              <w:spacing w:after="0" w:line="245" w:lineRule="auto"/>
              <w:jc w:val="center"/>
            </w:pPr>
            <w:r>
              <w:rPr>
                <w:b w:val="0"/>
                <w:color w:val="000000"/>
                <w:sz w:val="20"/>
              </w:rPr>
              <w:t>Random Forest</w:t>
            </w:r>
          </w:p>
        </w:tc>
        <w:tc>
          <w:tcPr>
            <w:tcW w:type="dxa" w:w="2808"/>
            <w:vAlign w:val="center"/>
            <w:shd w:fill="FFFFFF"/>
            <w:tcMar>
              <w:top w:w="65" w:type="dxa"/>
              <w:bottom w:w="65" w:type="dxa"/>
              <w:left w:w="85" w:type="dxa"/>
              <w:right w:w="85" w:type="dxa"/>
            </w:tcMar>
          </w:tcPr>
          <w:p>
            <w:pPr>
              <w:spacing w:after="0" w:line="245" w:lineRule="auto"/>
              <w:jc w:val="center"/>
            </w:pPr>
            <w:r>
              <w:rPr>
                <w:b w:val="0"/>
                <w:color w:val="000000"/>
                <w:sz w:val="20"/>
              </w:rPr>
              <w:t>35,514.14046</w:t>
            </w:r>
          </w:p>
        </w:tc>
      </w:tr>
      <w:tr>
        <w:trPr>
          <w:cantSplit/>
        </w:trPr>
        <w:tc>
          <w:tcPr>
            <w:tcW w:type="dxa" w:w="936"/>
            <w:vAlign w:val="center"/>
            <w:shd w:fill="F3F4F5"/>
            <w:tcMar>
              <w:top w:w="65" w:type="dxa"/>
              <w:bottom w:w="65" w:type="dxa"/>
              <w:left w:w="85" w:type="dxa"/>
              <w:right w:w="85" w:type="dxa"/>
            </w:tcMar>
          </w:tcPr>
          <w:p>
            <w:pPr>
              <w:spacing w:after="0" w:line="245" w:lineRule="auto"/>
              <w:jc w:val="left"/>
            </w:pPr>
            <w:r>
              <w:rPr>
                <w:b w:val="0"/>
                <w:color w:val="000000"/>
                <w:sz w:val="20"/>
              </w:rPr>
              <w:t>2</w:t>
            </w:r>
          </w:p>
        </w:tc>
        <w:tc>
          <w:tcPr>
            <w:tcW w:type="dxa" w:w="6480"/>
            <w:vAlign w:val="center"/>
            <w:shd w:fill="F3F4F5"/>
            <w:tcMar>
              <w:top w:w="65" w:type="dxa"/>
              <w:bottom w:w="65" w:type="dxa"/>
              <w:left w:w="85" w:type="dxa"/>
              <w:right w:w="85" w:type="dxa"/>
            </w:tcMar>
          </w:tcPr>
          <w:p>
            <w:pPr>
              <w:spacing w:after="0" w:line="245" w:lineRule="auto"/>
              <w:jc w:val="center"/>
            </w:pPr>
            <w:r>
              <w:rPr>
                <w:b w:val="0"/>
                <w:color w:val="000000"/>
                <w:sz w:val="20"/>
              </w:rPr>
              <w:t>Single CatBoost rate model</w:t>
            </w:r>
          </w:p>
        </w:tc>
        <w:tc>
          <w:tcPr>
            <w:tcW w:type="dxa" w:w="2808"/>
            <w:vAlign w:val="center"/>
            <w:shd w:fill="F3F4F5"/>
            <w:tcMar>
              <w:top w:w="65" w:type="dxa"/>
              <w:bottom w:w="65" w:type="dxa"/>
              <w:left w:w="85" w:type="dxa"/>
              <w:right w:w="85" w:type="dxa"/>
            </w:tcMar>
          </w:tcPr>
          <w:p>
            <w:pPr>
              <w:spacing w:after="0" w:line="245" w:lineRule="auto"/>
              <w:jc w:val="center"/>
            </w:pPr>
            <w:r>
              <w:rPr>
                <w:b w:val="0"/>
                <w:color w:val="000000"/>
                <w:sz w:val="20"/>
              </w:rPr>
              <w:t>33,510.57914</w:t>
            </w:r>
          </w:p>
        </w:tc>
      </w:tr>
      <w:tr>
        <w:trPr>
          <w:cantSplit/>
        </w:trPr>
        <w:tc>
          <w:tcPr>
            <w:tcW w:type="dxa" w:w="936"/>
            <w:vAlign w:val="center"/>
            <w:shd w:fill="FFFFFF"/>
            <w:tcMar>
              <w:top w:w="65" w:type="dxa"/>
              <w:bottom w:w="65" w:type="dxa"/>
              <w:left w:w="85" w:type="dxa"/>
              <w:right w:w="85" w:type="dxa"/>
            </w:tcMar>
          </w:tcPr>
          <w:p>
            <w:pPr>
              <w:spacing w:after="0" w:line="245" w:lineRule="auto"/>
              <w:jc w:val="left"/>
            </w:pPr>
            <w:r>
              <w:rPr>
                <w:b w:val="0"/>
                <w:color w:val="000000"/>
                <w:sz w:val="20"/>
              </w:rPr>
              <w:t>3</w:t>
            </w:r>
          </w:p>
        </w:tc>
        <w:tc>
          <w:tcPr>
            <w:tcW w:type="dxa" w:w="6480"/>
            <w:vAlign w:val="center"/>
            <w:shd w:fill="FFFFFF"/>
            <w:tcMar>
              <w:top w:w="65" w:type="dxa"/>
              <w:bottom w:w="65" w:type="dxa"/>
              <w:left w:w="85" w:type="dxa"/>
              <w:right w:w="85" w:type="dxa"/>
            </w:tcMar>
          </w:tcPr>
          <w:p>
            <w:pPr>
              <w:spacing w:after="0" w:line="245" w:lineRule="auto"/>
              <w:jc w:val="center"/>
            </w:pPr>
            <w:r>
              <w:rPr>
                <w:b w:val="0"/>
                <w:color w:val="000000"/>
                <w:sz w:val="20"/>
              </w:rPr>
              <w:t>Same formulation in clean implementation</w:t>
            </w:r>
          </w:p>
        </w:tc>
        <w:tc>
          <w:tcPr>
            <w:tcW w:type="dxa" w:w="2808"/>
            <w:vAlign w:val="center"/>
            <w:shd w:fill="FFFFFF"/>
            <w:tcMar>
              <w:top w:w="65" w:type="dxa"/>
              <w:bottom w:w="65" w:type="dxa"/>
              <w:left w:w="85" w:type="dxa"/>
              <w:right w:w="85" w:type="dxa"/>
            </w:tcMar>
          </w:tcPr>
          <w:p>
            <w:pPr>
              <w:spacing w:after="0" w:line="245" w:lineRule="auto"/>
              <w:jc w:val="center"/>
            </w:pPr>
            <w:r>
              <w:rPr>
                <w:b w:val="0"/>
                <w:color w:val="000000"/>
                <w:sz w:val="20"/>
              </w:rPr>
              <w:t>33,510.57914</w:t>
            </w:r>
          </w:p>
        </w:tc>
      </w:tr>
      <w:tr>
        <w:trPr>
          <w:cantSplit/>
        </w:trPr>
        <w:tc>
          <w:tcPr>
            <w:tcW w:type="dxa" w:w="936"/>
            <w:vAlign w:val="center"/>
            <w:shd w:fill="F3F4F5"/>
            <w:tcMar>
              <w:top w:w="65" w:type="dxa"/>
              <w:bottom w:w="65" w:type="dxa"/>
              <w:left w:w="85" w:type="dxa"/>
              <w:right w:w="85" w:type="dxa"/>
            </w:tcMar>
          </w:tcPr>
          <w:p>
            <w:pPr>
              <w:spacing w:after="0" w:line="245" w:lineRule="auto"/>
              <w:jc w:val="left"/>
            </w:pPr>
            <w:r>
              <w:rPr>
                <w:b w:val="0"/>
                <w:color w:val="000000"/>
                <w:sz w:val="20"/>
              </w:rPr>
              <w:t>4</w:t>
            </w:r>
          </w:p>
        </w:tc>
        <w:tc>
          <w:tcPr>
            <w:tcW w:type="dxa" w:w="6480"/>
            <w:vAlign w:val="center"/>
            <w:shd w:fill="F3F4F5"/>
            <w:tcMar>
              <w:top w:w="65" w:type="dxa"/>
              <w:bottom w:w="65" w:type="dxa"/>
              <w:left w:w="85" w:type="dxa"/>
              <w:right w:w="85" w:type="dxa"/>
            </w:tcMar>
          </w:tcPr>
          <w:p>
            <w:pPr>
              <w:spacing w:after="0" w:line="245" w:lineRule="auto"/>
              <w:jc w:val="center"/>
            </w:pPr>
            <w:r>
              <w:rPr>
                <w:b w:val="0"/>
                <w:color w:val="000000"/>
                <w:sz w:val="20"/>
              </w:rPr>
              <w:t>Two-stage CatBoost</w:t>
            </w:r>
          </w:p>
        </w:tc>
        <w:tc>
          <w:tcPr>
            <w:tcW w:type="dxa" w:w="2808"/>
            <w:vAlign w:val="center"/>
            <w:shd w:fill="F3F4F5"/>
            <w:tcMar>
              <w:top w:w="65" w:type="dxa"/>
              <w:bottom w:w="65" w:type="dxa"/>
              <w:left w:w="85" w:type="dxa"/>
              <w:right w:w="85" w:type="dxa"/>
            </w:tcMar>
          </w:tcPr>
          <w:p>
            <w:pPr>
              <w:spacing w:after="0" w:line="245" w:lineRule="auto"/>
              <w:jc w:val="center"/>
            </w:pPr>
            <w:r>
              <w:rPr>
                <w:b w:val="0"/>
                <w:color w:val="000000"/>
                <w:sz w:val="20"/>
              </w:rPr>
              <w:t>33,096.96156</w:t>
            </w:r>
          </w:p>
        </w:tc>
      </w:tr>
      <w:tr>
        <w:trPr>
          <w:cantSplit/>
        </w:trPr>
        <w:tc>
          <w:tcPr>
            <w:tcW w:type="dxa" w:w="936"/>
            <w:vAlign w:val="center"/>
            <w:shd w:fill="FFFFFF"/>
            <w:tcMar>
              <w:top w:w="65" w:type="dxa"/>
              <w:bottom w:w="65" w:type="dxa"/>
              <w:left w:w="85" w:type="dxa"/>
              <w:right w:w="85" w:type="dxa"/>
            </w:tcMar>
          </w:tcPr>
          <w:p>
            <w:pPr>
              <w:spacing w:after="0" w:line="245" w:lineRule="auto"/>
              <w:jc w:val="left"/>
            </w:pPr>
            <w:r>
              <w:rPr>
                <w:b w:val="0"/>
                <w:color w:val="000000"/>
                <w:sz w:val="20"/>
              </w:rPr>
              <w:t>5</w:t>
            </w:r>
          </w:p>
        </w:tc>
        <w:tc>
          <w:tcPr>
            <w:tcW w:type="dxa" w:w="6480"/>
            <w:vAlign w:val="center"/>
            <w:shd w:fill="FFFFFF"/>
            <w:tcMar>
              <w:top w:w="65" w:type="dxa"/>
              <w:bottom w:w="65" w:type="dxa"/>
              <w:left w:w="85" w:type="dxa"/>
              <w:right w:w="85" w:type="dxa"/>
            </w:tcMar>
          </w:tcPr>
          <w:p>
            <w:pPr>
              <w:spacing w:after="0" w:line="245" w:lineRule="auto"/>
              <w:jc w:val="center"/>
            </w:pPr>
            <w:r>
              <w:rPr>
                <w:b w:val="0"/>
                <w:color w:val="000000"/>
                <w:sz w:val="20"/>
              </w:rPr>
              <w:t>Three-seed two-stage average</w:t>
            </w:r>
          </w:p>
        </w:tc>
        <w:tc>
          <w:tcPr>
            <w:tcW w:type="dxa" w:w="2808"/>
            <w:vAlign w:val="center"/>
            <w:shd w:fill="FFFFFF"/>
            <w:tcMar>
              <w:top w:w="65" w:type="dxa"/>
              <w:bottom w:w="65" w:type="dxa"/>
              <w:left w:w="85" w:type="dxa"/>
              <w:right w:w="85" w:type="dxa"/>
            </w:tcMar>
          </w:tcPr>
          <w:p>
            <w:pPr>
              <w:spacing w:after="0" w:line="245" w:lineRule="auto"/>
              <w:jc w:val="center"/>
            </w:pPr>
            <w:r>
              <w:rPr>
                <w:b w:val="0"/>
                <w:color w:val="000000"/>
                <w:sz w:val="20"/>
              </w:rPr>
              <w:t>33,119.70974</w:t>
            </w:r>
          </w:p>
        </w:tc>
      </w:tr>
    </w:tbl>
    <w:p>
      <w:pPr>
        <w:widowControl/>
        <w:spacing w:after="0"/>
      </w:pPr>
    </w:p>
    <w:p>
      <w:pPr>
        <w:widowControl/>
      </w:pPr>
      <w:r>
        <w:t>Attempt 4 improved public RMSE by AUD 413.62 over the earlier CatBoost and was in position 19 in our screenshot. Attempt 5 was AUD 22.75 worse. Positions can change. The public score uses only 2,000 test rows; the private score on the other 8,000 determines the competition marks and was unknown when this report was written.</w:t>
      </w:r>
    </w:p>
    <w:p>
      <w:pPr>
        <w:widowControl/>
      </w:pPr>
      <w:r>
        <w:t>Attempt 4's public RMSE is AUD 861.81 below its mean fold RMSE. Different samples can produce different errors, especially when a few large loans dominate RMSE. We do not treat this gap as evidence of a further improvement. The model was chosen from cross-validation before attempt 4 was uploaded. The historical attempt 1 CV log was AUD 35,956; the later saved Random Forest run is AUD 35,965, so these are not presented as one identical run.</w:t>
      </w:r>
    </w:p>
    <w:p>
      <w:pPr>
        <w:pStyle w:val="Heading2"/>
      </w:pPr>
      <w:r>
        <w:t>Limits of the final model</w:t>
      </w:r>
    </w:p>
    <w:p>
      <w:pPr>
        <w:widowControl/>
      </w:pPr>
      <w:r>
        <w:t>The final OOF MAE is AUD 16,850.52, much lower than RMSE because large mistakes receive extra weight under squared error. If we prioritised MAE, we might choose a different model. For example, the earlier hard-tier HGB had MAE around AUD 14,447 but RMSE around AUD 39,443. A lower typical absolute error did not make it better for the competition metric.</w:t>
      </w:r>
    </w:p>
    <w:p>
      <w:pPr>
        <w:widowControl/>
      </w:pPr>
      <w:r>
        <w:t>The model still struggles with rejection uncertainty, large loans and missing credit ratings. The 85%, 90% and 100% tiers have only 42, 50 and 40 examples, so their behaviour is poorly supported. We would want better input data, temporal and external validation, and checks across applicant groups before considering any real use. This course dataset is synthetic; the model should not be treated as a causal measure of creditworthiness or a ready lending system.</w:t>
      </w:r>
    </w:p>
    <w:p>
      <w:pPr>
        <w:pStyle w:val="Heading2"/>
      </w:pPr>
      <w:r>
        <w:t>Reproducibility and conclusion</w:t>
      </w:r>
    </w:p>
    <w:p>
      <w:pPr>
        <w:widowControl/>
      </w:pPr>
      <w:r>
        <w:t>FIT5149_A1_final.ipynb was run from a fresh kernel and reproduced submission.csv byte for byte, with 10,000 valid rows. The run used Python 3.11.15, pandas 3.0.5, NumPy 2.4.6, scikit-learn 1.9.0 and CatBoost 1.2.10. The README records setup and paths. Earlier comparisons are retained in development files. We keep attempt 4 because it improved the original CatBoost in both validation partitions, while the final averaging experiment did not show a clear gain.</w:t>
      </w:r>
    </w:p>
    <w:p>
      <w:pPr>
        <w:pStyle w:val="Heading2"/>
      </w:pPr>
      <w:r>
        <w:t>Method references</w:t>
      </w:r>
    </w:p>
    <w:p>
      <w:pPr>
        <w:pStyle w:val="Caption"/>
        <w:widowControl/>
      </w:pPr>
      <w:r>
        <w:t>[1] CatBoost documentation. Classification objectives, Logloss. https://catboost.ai/docs/en/concepts/loss-functions-classification</w:t>
        <w:br/>
        <w:t>[2] CatBoost documentation. Regression objectives, RMSE. https://catboost.ai/docs/en/concepts/loss-functions-regression</w:t>
      </w:r>
    </w:p>
    <w:p w14:paraId="01BDD164" w14:textId="77777777" w:rsidR="008124A7" w:rsidRPr="008D5B6C" w:rsidRDefault="00000000" w:rsidP="008D5B6C">
      <w:pPr>
        <w:pStyle w:val="Appendix_Heading1"/>
        <w:pageBreakBefore w:val="1"/>
      </w:pPr>
      <w:r w:rsidRPr="008D5B6C">
        <w:t xml:space="preserve">Project plan </w:t>
      </w:r>
      <w:r w:rsidRPr="008D5B6C">
        <w:rPr>
          <w:color w:val="000000" w:themeColor="text1"/>
        </w:rPr>
        <w:t>and</w:t>
      </w:r>
      <w:r w:rsidRPr="008D5B6C">
        <w:t xml:space="preserve"> work division</w:t>
      </w:r>
    </w:p>
    <w:p w14:paraId="32D3E58E" w14:textId="77777777" w:rsidR="008D5B6C" w:rsidRPr="008D5B6C" w:rsidRDefault="00000000" w:rsidP="008D5B6C">
      <w:pPr>
        <w:rPr>
          <w:b/>
          <w:bCs/>
          <w:sz w:val="24"/>
          <w:szCs w:val="24"/>
        </w:rPr>
      </w:pPr>
      <w:r w:rsidRPr="008D5B6C">
        <w:rPr>
          <w:b/>
          <w:bCs/>
          <w:sz w:val="24"/>
          <w:szCs w:val="24"/>
        </w:rPr>
        <w:t xml:space="preserve">FIT5149 Assessment 1 </w:t>
      </w:r>
    </w:p>
    <w:p w14:paraId="6A16A891" w14:textId="677B336A" w:rsidR="008124A7" w:rsidRPr="008D5B6C" w:rsidRDefault="00000000" w:rsidP="008D5B6C">
      <w:pPr>
        <w:rPr>
          <w:b/>
          <w:bCs/>
          <w:sz w:val="24"/>
          <w:szCs w:val="24"/>
        </w:rPr>
      </w:pPr>
      <w:r w:rsidRPr="008D5B6C">
        <w:rPr>
          <w:b/>
          <w:bCs/>
          <w:sz w:val="24"/>
          <w:szCs w:val="24"/>
        </w:rPr>
        <w:t>Group 43</w:t>
      </w:r>
      <w:r w:rsidR="008D5B6C" w:rsidRPr="008D5B6C">
        <w:rPr>
          <w:b/>
          <w:bCs/>
          <w:sz w:val="24"/>
          <w:szCs w:val="24"/>
        </w:rPr>
        <w:t xml:space="preserve"> -</w:t>
      </w:r>
      <w:r w:rsidRPr="008D5B6C">
        <w:rPr>
          <w:b/>
          <w:bCs/>
          <w:sz w:val="24"/>
          <w:szCs w:val="24"/>
        </w:rPr>
        <w:t xml:space="preserve"> TEAM ERIC-ADITYA</w:t>
      </w:r>
    </w:p>
    <w:p w14:paraId="024DA836" w14:textId="77777777" w:rsidR="008124A7" w:rsidRPr="008D5B6C" w:rsidRDefault="00000000" w:rsidP="008D5B6C">
      <w:r w:rsidRPr="008D5B6C">
        <w:t>We agreed on an equal overall contribution of 50% each. We worked on different parts of the assignment and shared our progress through GitHub and WhatsApp.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1"/>
        <w:gridCol w:w="3958"/>
        <w:gridCol w:w="2955"/>
      </w:tblGrid>
      <w:tr w:rsidR="008124A7" w:rsidRPr="008D5B6C" w14:paraId="702136B4" w14:textId="77777777" w:rsidTr="008D5B6C">
        <w:trPr>
          <w:trHeight w:val="20"/>
        </w:trPr>
        <w:tc>
          <w:tcPr>
            <w:tcW w:w="1678" w:type="pct"/>
            <w:shd w:val="clear" w:color="auto" w:fill="C6D9F1" w:themeFill="text2" w:themeFillTint="33"/>
            <w:tcMar>
              <w:top w:w="90" w:type="dxa"/>
              <w:left w:w="90" w:type="dxa"/>
              <w:bottom w:w="90" w:type="dxa"/>
              <w:right w:w="90" w:type="dxa"/>
            </w:tcMar>
            <w:vAlign w:val="center"/>
          </w:tcPr>
          <w:p w14:paraId="783AC873" w14:textId="77777777" w:rsidR="008124A7" w:rsidRPr="008D5B6C" w:rsidRDefault="00000000" w:rsidP="008D5B6C">
            <w:pPr>
              <w:spacing w:after="0"/>
              <w:jc w:val="center"/>
              <w:rPr>
                <w:b/>
                <w:bCs/>
              </w:rPr>
            </w:pPr>
            <w:r w:rsidRPr="008D5B6C">
              <w:rPr>
                <w:b/>
                <w:bCs/>
              </w:rPr>
              <w:t>Group member</w:t>
            </w:r>
          </w:p>
        </w:tc>
        <w:tc>
          <w:tcPr>
            <w:tcW w:w="1902" w:type="pct"/>
            <w:shd w:val="clear" w:color="auto" w:fill="C6D9F1" w:themeFill="text2" w:themeFillTint="33"/>
            <w:tcMar>
              <w:top w:w="90" w:type="dxa"/>
              <w:left w:w="90" w:type="dxa"/>
              <w:bottom w:w="90" w:type="dxa"/>
              <w:right w:w="90" w:type="dxa"/>
            </w:tcMar>
            <w:vAlign w:val="center"/>
          </w:tcPr>
          <w:p w14:paraId="0228E3C3" w14:textId="77777777" w:rsidR="008124A7" w:rsidRPr="008D5B6C" w:rsidRDefault="00000000" w:rsidP="008D5B6C">
            <w:pPr>
              <w:spacing w:after="0"/>
              <w:jc w:val="center"/>
              <w:rPr>
                <w:b/>
                <w:bCs/>
              </w:rPr>
            </w:pPr>
            <w:r w:rsidRPr="008D5B6C">
              <w:rPr>
                <w:b/>
                <w:bCs/>
              </w:rPr>
              <w:t>Student ID</w:t>
            </w:r>
          </w:p>
        </w:tc>
        <w:tc>
          <w:tcPr>
            <w:tcW w:w="1420" w:type="pct"/>
            <w:shd w:val="clear" w:color="auto" w:fill="C6D9F1" w:themeFill="text2" w:themeFillTint="33"/>
            <w:tcMar>
              <w:top w:w="90" w:type="dxa"/>
              <w:left w:w="90" w:type="dxa"/>
              <w:bottom w:w="90" w:type="dxa"/>
              <w:right w:w="90" w:type="dxa"/>
            </w:tcMar>
            <w:vAlign w:val="center"/>
          </w:tcPr>
          <w:p w14:paraId="75B65D2B" w14:textId="77777777" w:rsidR="008124A7" w:rsidRPr="008D5B6C" w:rsidRDefault="00000000" w:rsidP="008D5B6C">
            <w:pPr>
              <w:spacing w:after="0"/>
              <w:jc w:val="center"/>
              <w:rPr>
                <w:b/>
                <w:bCs/>
              </w:rPr>
            </w:pPr>
            <w:r w:rsidRPr="008D5B6C">
              <w:rPr>
                <w:b/>
                <w:bCs/>
              </w:rPr>
              <w:t>Contribution</w:t>
            </w:r>
          </w:p>
        </w:tc>
      </w:tr>
      <w:tr w:rsidR="008124A7" w:rsidRPr="008D5B6C" w14:paraId="08F03C9B" w14:textId="77777777" w:rsidTr="008D5B6C">
        <w:tc>
          <w:tcPr>
            <w:tcW w:w="1678" w:type="pct"/>
            <w:shd w:val="clear" w:color="auto" w:fill="FFFFFF"/>
            <w:tcMar>
              <w:top w:w="90" w:type="dxa"/>
              <w:left w:w="90" w:type="dxa"/>
              <w:bottom w:w="90" w:type="dxa"/>
              <w:right w:w="90" w:type="dxa"/>
            </w:tcMar>
            <w:vAlign w:val="center"/>
          </w:tcPr>
          <w:p w14:paraId="453C805D" w14:textId="77777777" w:rsidR="008124A7" w:rsidRPr="008D5B6C" w:rsidRDefault="00000000" w:rsidP="008D5B6C">
            <w:pPr>
              <w:spacing w:after="0"/>
              <w:jc w:val="center"/>
            </w:pPr>
            <w:r w:rsidRPr="008D5B6C">
              <w:t xml:space="preserve">Aditya </w:t>
            </w:r>
            <w:proofErr w:type="spellStart"/>
            <w:r w:rsidRPr="008D5B6C">
              <w:t>Palve</w:t>
            </w:r>
            <w:proofErr w:type="spellEnd"/>
          </w:p>
        </w:tc>
        <w:tc>
          <w:tcPr>
            <w:tcW w:w="1902" w:type="pct"/>
            <w:shd w:val="clear" w:color="auto" w:fill="FFFFFF"/>
            <w:tcMar>
              <w:top w:w="90" w:type="dxa"/>
              <w:left w:w="90" w:type="dxa"/>
              <w:bottom w:w="90" w:type="dxa"/>
              <w:right w:w="90" w:type="dxa"/>
            </w:tcMar>
            <w:vAlign w:val="center"/>
          </w:tcPr>
          <w:p w14:paraId="3D155C0F" w14:textId="77777777" w:rsidR="008124A7" w:rsidRPr="008D5B6C" w:rsidRDefault="00000000" w:rsidP="008D5B6C">
            <w:pPr>
              <w:spacing w:after="0"/>
              <w:jc w:val="center"/>
            </w:pPr>
            <w:r w:rsidRPr="008D5B6C">
              <w:t>35324074</w:t>
            </w:r>
          </w:p>
        </w:tc>
        <w:tc>
          <w:tcPr>
            <w:tcW w:w="1420" w:type="pct"/>
            <w:shd w:val="clear" w:color="auto" w:fill="FFFFFF"/>
            <w:tcMar>
              <w:top w:w="90" w:type="dxa"/>
              <w:left w:w="90" w:type="dxa"/>
              <w:bottom w:w="90" w:type="dxa"/>
              <w:right w:w="90" w:type="dxa"/>
            </w:tcMar>
            <w:vAlign w:val="center"/>
          </w:tcPr>
          <w:p w14:paraId="777970FB" w14:textId="77777777" w:rsidR="008124A7" w:rsidRPr="008D5B6C" w:rsidRDefault="00000000" w:rsidP="008D5B6C">
            <w:pPr>
              <w:spacing w:after="0"/>
              <w:jc w:val="center"/>
            </w:pPr>
            <w:r w:rsidRPr="008D5B6C">
              <w:t>50%</w:t>
            </w:r>
          </w:p>
        </w:tc>
      </w:tr>
      <w:tr w:rsidR="008124A7" w:rsidRPr="008D5B6C" w14:paraId="78164612" w14:textId="77777777" w:rsidTr="008D5B6C">
        <w:tc>
          <w:tcPr>
            <w:tcW w:w="1678" w:type="pct"/>
            <w:shd w:val="clear" w:color="auto" w:fill="F3F4F5"/>
            <w:tcMar>
              <w:top w:w="90" w:type="dxa"/>
              <w:left w:w="90" w:type="dxa"/>
              <w:bottom w:w="90" w:type="dxa"/>
              <w:right w:w="90" w:type="dxa"/>
            </w:tcMar>
            <w:vAlign w:val="center"/>
          </w:tcPr>
          <w:p w14:paraId="0351BDAF" w14:textId="77777777" w:rsidR="008124A7" w:rsidRPr="008D5B6C" w:rsidRDefault="00000000" w:rsidP="008D5B6C">
            <w:pPr>
              <w:spacing w:after="0"/>
              <w:jc w:val="center"/>
            </w:pPr>
            <w:r w:rsidRPr="008D5B6C">
              <w:t>Eric Andres Acosta Ramirez</w:t>
            </w:r>
          </w:p>
        </w:tc>
        <w:tc>
          <w:tcPr>
            <w:tcW w:w="1902" w:type="pct"/>
            <w:shd w:val="clear" w:color="auto" w:fill="F3F4F5"/>
            <w:tcMar>
              <w:top w:w="90" w:type="dxa"/>
              <w:left w:w="90" w:type="dxa"/>
              <w:bottom w:w="90" w:type="dxa"/>
              <w:right w:w="90" w:type="dxa"/>
            </w:tcMar>
            <w:vAlign w:val="center"/>
          </w:tcPr>
          <w:p w14:paraId="71E69EF7" w14:textId="77777777" w:rsidR="008124A7" w:rsidRPr="008D5B6C" w:rsidRDefault="00000000" w:rsidP="008D5B6C">
            <w:pPr>
              <w:spacing w:after="0"/>
              <w:jc w:val="center"/>
            </w:pPr>
            <w:r w:rsidRPr="008D5B6C">
              <w:t>32642083</w:t>
            </w:r>
          </w:p>
        </w:tc>
        <w:tc>
          <w:tcPr>
            <w:tcW w:w="1420" w:type="pct"/>
            <w:shd w:val="clear" w:color="auto" w:fill="F3F4F5"/>
            <w:tcMar>
              <w:top w:w="90" w:type="dxa"/>
              <w:left w:w="90" w:type="dxa"/>
              <w:bottom w:w="90" w:type="dxa"/>
              <w:right w:w="90" w:type="dxa"/>
            </w:tcMar>
            <w:vAlign w:val="center"/>
          </w:tcPr>
          <w:p w14:paraId="376D5302" w14:textId="77777777" w:rsidR="008124A7" w:rsidRPr="008D5B6C" w:rsidRDefault="00000000" w:rsidP="008D5B6C">
            <w:pPr>
              <w:spacing w:after="0"/>
              <w:jc w:val="center"/>
            </w:pPr>
            <w:r w:rsidRPr="008D5B6C">
              <w:t>50%</w:t>
            </w:r>
          </w:p>
        </w:tc>
      </w:tr>
    </w:tbl>
    <w:p w14:paraId="098B1249" w14:textId="77777777" w:rsidR="008124A7" w:rsidRPr="008D5B6C" w:rsidRDefault="00000000" w:rsidP="008D5B6C">
      <w:pPr>
        <w:pStyle w:val="Appendix_Heading1"/>
      </w:pPr>
      <w:r w:rsidRPr="008D5B6C">
        <w:t>Work division</w:t>
      </w:r>
    </w:p>
    <w:p w14:paraId="374923A8" w14:textId="77777777" w:rsidR="008124A7" w:rsidRPr="008D5B6C" w:rsidRDefault="00000000" w:rsidP="008D5B6C">
      <w:r w:rsidRPr="008D5B6C">
        <w:t>Eric worked on the EDA, missing and invalid values, preprocessing, and the first Random Forest submission. He also organised the repository and worked on the later two-stage CatBoost and three-seed experiments, prediction checks, and the updated report, with AI assistance.</w:t>
      </w:r>
    </w:p>
    <w:p w14:paraId="0BE9B329" w14:textId="77777777" w:rsidR="008124A7" w:rsidRPr="008D5B6C" w:rsidRDefault="00000000" w:rsidP="008D5B6C">
      <w:r w:rsidRPr="008D5B6C">
        <w:t>Aditya developed the initial CatBoost approach and prepared the notebooks used for attempts 2 and 3. He also prepared the first PDF report and shared his model results and suggestions for further experiments.</w:t>
      </w:r>
    </w:p>
    <w:p w14:paraId="1F8AD82E" w14:textId="77777777" w:rsidR="008124A7" w:rsidRPr="008D5B6C" w:rsidRDefault="00000000" w:rsidP="008D5B6C">
      <w:r w:rsidRPr="008D5B6C">
        <w:t>We discussed the results and next steps together. The 50/50 split reflects our agreed overall contribution, rather than the number of commits or Kaggle uploads made by each member.</w:t>
      </w:r>
    </w:p>
    <w:p w14:paraId="2C941D9A" w14:textId="77777777" w:rsidR="008124A7" w:rsidRPr="008D5B6C" w:rsidRDefault="00000000" w:rsidP="008D5B6C">
      <w:pPr>
        <w:pStyle w:val="Appendix_Heading1"/>
      </w:pPr>
      <w:r w:rsidRPr="008D5B6C">
        <w:t>Project plan and progress</w:t>
      </w:r>
    </w:p>
    <w:p w14:paraId="49405BF6" w14:textId="77777777" w:rsidR="008124A7" w:rsidRPr="008D5B6C" w:rsidRDefault="00000000" w:rsidP="008D5B6C">
      <w:pPr>
        <w:pStyle w:val="Appendix_ListNumber"/>
      </w:pPr>
      <w:r w:rsidRPr="008D5B6C">
        <w:t>Data preparation: inspect the data, identify missing or invalid values, and agree on the cleaning steps. The findings are recorded in the analysis notebook.</w:t>
      </w:r>
    </w:p>
    <w:p w14:paraId="4514BCFD" w14:textId="77777777" w:rsidR="008124A7" w:rsidRPr="008D5B6C" w:rsidRDefault="00000000" w:rsidP="008D5B6C">
      <w:pPr>
        <w:pStyle w:val="Appendix_ListNumber"/>
      </w:pPr>
      <w:r w:rsidRPr="008D5B6C">
        <w:t>Model development: compare initial models, test CatBoost and later variations, and record validation and Kaggle results. The selected implementation reproduces attempt 4.</w:t>
      </w:r>
    </w:p>
    <w:p w14:paraId="47A320D5" w14:textId="77777777" w:rsidR="008124A7" w:rsidRPr="008D5B6C" w:rsidRDefault="00000000" w:rsidP="008D5B6C">
      <w:pPr>
        <w:pStyle w:val="Appendix_ListNumber"/>
      </w:pPr>
      <w:r w:rsidRPr="008D5B6C">
        <w:t>Reporting: bring together the EDA findings, model comparisons and final diagnostics. The updated report is ready for both members to review.</w:t>
      </w:r>
    </w:p>
    <w:p w14:paraId="582F6CEF" w14:textId="77777777" w:rsidR="008124A7" w:rsidRPr="008D5B6C" w:rsidRDefault="00000000" w:rsidP="008D5B6C">
      <w:pPr>
        <w:pStyle w:val="Appendix_ListNumber"/>
      </w:pPr>
      <w:r w:rsidRPr="008D5B6C">
        <w:t>Final checks before submission: review this work statement, sign the cover sheet, complete the AI documents, check the nominated Kaggle entry, and verify the report and ZIP before uploading them.</w:t>
      </w:r>
    </w:p>
    <w:p w14:paraId="2E72F9B2" w14:textId="77777777" w:rsidR="008124A7" w:rsidRPr="008D5B6C" w:rsidRDefault="00000000" w:rsidP="008D5B6C">
      <w:pPr>
        <w:pStyle w:val="Appendix_Heading1"/>
      </w:pPr>
      <w:r w:rsidRPr="008D5B6C">
        <w:t>Use of AI tools</w:t>
      </w:r>
    </w:p>
    <w:p w14:paraId="0BE1F896" w14:textId="34CA30F2" w:rsidR="008124A7" w:rsidRPr="008D5B6C" w:rsidRDefault="008D5B6C" w:rsidP="008D5B6C">
      <w:r w:rsidRPr="008D5B6C">
        <w:t>AI assistance was used during the coding process and to investigate new approaches for interpreting the models. The separate AI declaration and chat history document accurately describe how AI was used throughout the work.</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43 | FIT5149 Assessment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xmlns:w15="http://schemas.microsoft.com/office/word/2012/wordml" w:abstractNumId="9"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xmlns:w15="http://schemas.microsoft.com/office/word/2012/wordml" w:abstractNumId="1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xmlns:w15="http://schemas.microsoft.com/office/word/2012/wordml" w:abstractNumId="11" w15:restartNumberingAfterBreak="0">
    <w:nsid w:val="FFFFFF7E"/>
    <w:multiLevelType w:val="singleLevel"/>
    <w:tmpl w:val="FB12693A"/>
    <w:lvl w:ilvl="0">
      <w:start w:val="1"/>
      <w:numFmt w:val="decimal"/>
      <w:pStyle w:val="Appendix_ListNumber3"/>
      <w:lvlText w:val="%1."/>
      <w:lvlJc w:val="left"/>
      <w:pPr>
        <w:tabs>
          <w:tab w:val="num" w:pos="1080"/>
        </w:tabs>
        <w:ind w:left="1080" w:hanging="360"/>
      </w:pPr>
    </w:lvl>
  </w:abstractNum>
  <w:abstractNum xmlns:w15="http://schemas.microsoft.com/office/word/2012/wordml" w:abstractNumId="12" w15:restartNumberingAfterBreak="0">
    <w:nsid w:val="FFFFFF7F"/>
    <w:multiLevelType w:val="singleLevel"/>
    <w:tmpl w:val="38441652"/>
    <w:lvl w:ilvl="0">
      <w:start w:val="1"/>
      <w:numFmt w:val="decimal"/>
      <w:pStyle w:val="Appendix_ListNumber2"/>
      <w:lvlText w:val="%1."/>
      <w:lvlJc w:val="left"/>
      <w:pPr>
        <w:tabs>
          <w:tab w:val="num" w:pos="720"/>
        </w:tabs>
        <w:ind w:left="720" w:hanging="360"/>
      </w:pPr>
    </w:lvl>
  </w:abstractNum>
  <w:abstractNum xmlns:w15="http://schemas.microsoft.com/office/word/2012/wordml" w:abstractNumId="13"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xmlns:w15="http://schemas.microsoft.com/office/word/2012/wordml" w:abstractNumId="14" w15:restartNumberingAfterBreak="0">
    <w:nsid w:val="FFFFFF82"/>
    <w:multiLevelType w:val="singleLevel"/>
    <w:tmpl w:val="F3EAFDEC"/>
    <w:lvl w:ilvl="0">
      <w:start w:val="1"/>
      <w:numFmt w:val="bullet"/>
      <w:pStyle w:val="Appendix_ListBullet3"/>
      <w:lvlText w:val=""/>
      <w:lvlJc w:val="left"/>
      <w:pPr>
        <w:tabs>
          <w:tab w:val="num" w:pos="1080"/>
        </w:tabs>
        <w:ind w:left="1080" w:hanging="360"/>
      </w:pPr>
      <w:rPr>
        <w:rFonts w:ascii="Symbol" w:hAnsi="Symbol" w:hint="default"/>
      </w:rPr>
    </w:lvl>
  </w:abstractNum>
  <w:abstractNum xmlns:w15="http://schemas.microsoft.com/office/word/2012/wordml" w:abstractNumId="15" w15:restartNumberingAfterBreak="0">
    <w:nsid w:val="FFFFFF83"/>
    <w:multiLevelType w:val="singleLevel"/>
    <w:tmpl w:val="3D1EFFD4"/>
    <w:lvl w:ilvl="0">
      <w:start w:val="1"/>
      <w:numFmt w:val="bullet"/>
      <w:pStyle w:val="Appendix_ListBullet2"/>
      <w:lvlText w:val=""/>
      <w:lvlJc w:val="left"/>
      <w:pPr>
        <w:tabs>
          <w:tab w:val="num" w:pos="720"/>
        </w:tabs>
        <w:ind w:left="720" w:hanging="360"/>
      </w:pPr>
      <w:rPr>
        <w:rFonts w:ascii="Symbol" w:hAnsi="Symbol" w:hint="default"/>
      </w:rPr>
    </w:lvl>
  </w:abstractNum>
  <w:abstractNum xmlns:w15="http://schemas.microsoft.com/office/word/2012/wordml" w:abstractNumId="16" w15:restartNumberingAfterBreak="0">
    <w:nsid w:val="FFFFFF88"/>
    <w:multiLevelType w:val="singleLevel"/>
    <w:tmpl w:val="D0A62B40"/>
    <w:lvl w:ilvl="0">
      <w:start w:val="1"/>
      <w:numFmt w:val="decimal"/>
      <w:pStyle w:val="Appendix_ListNumber"/>
      <w:lvlText w:val="%1."/>
      <w:lvlJc w:val="left"/>
      <w:pPr>
        <w:tabs>
          <w:tab w:val="num" w:pos="360"/>
        </w:tabs>
        <w:ind w:left="360" w:hanging="360"/>
      </w:pPr>
    </w:lvl>
  </w:abstractNum>
  <w:abstractNum xmlns:w15="http://schemas.microsoft.com/office/word/2012/wordml" w:abstractNumId="17" w15:restartNumberingAfterBreak="0">
    <w:nsid w:val="FFFFFF89"/>
    <w:multiLevelType w:val="singleLevel"/>
    <w:tmpl w:val="29761A62"/>
    <w:lvl w:ilvl="0">
      <w:start w:val="1"/>
      <w:numFmt w:val="bullet"/>
      <w:pStyle w:val="Appendix_ListBullet"/>
      <w:lvlText w:val=""/>
      <w:lvlJc w:val="left"/>
      <w:pPr>
        <w:tabs>
          <w:tab w:val="num" w:pos="360"/>
        </w:tabs>
        <w:ind w:left="360" w:hanging="360"/>
      </w:pPr>
      <w:rPr>
        <w:rFonts w:ascii="Symbol" w:hAnsi="Symbol" w:hint="default"/>
      </w:rPr>
    </w:lvl>
  </w:abstractNum>
  <w:num xmlns:w16cid="http://schemas.microsoft.com/office/word/2016/wordml/cid" w:numId="10" w16cid:durableId="1264453870">
    <w:abstractNumId w:val="17"/>
  </w:num>
  <w:num xmlns:w16cid="http://schemas.microsoft.com/office/word/2016/wordml/cid" w:numId="11" w16cid:durableId="701170925">
    <w:abstractNumId w:val="15"/>
  </w:num>
  <w:num xmlns:w16cid="http://schemas.microsoft.com/office/word/2016/wordml/cid" w:numId="12" w16cid:durableId="1935900528">
    <w:abstractNumId w:val="14"/>
  </w:num>
  <w:num xmlns:w16cid="http://schemas.microsoft.com/office/word/2016/wordml/cid" w:numId="13" w16cid:durableId="725109826">
    <w:abstractNumId w:val="13"/>
  </w:num>
  <w:num xmlns:w16cid="http://schemas.microsoft.com/office/word/2016/wordml/cid" w:numId="14" w16cid:durableId="1169297141">
    <w:abstractNumId w:val="16"/>
  </w:num>
  <w:num xmlns:w16cid="http://schemas.microsoft.com/office/word/2016/wordml/cid" w:numId="15" w16cid:durableId="1352216872">
    <w:abstractNumId w:val="12"/>
  </w:num>
  <w:num xmlns:w16cid="http://schemas.microsoft.com/office/word/2016/wordml/cid" w:numId="16" w16cid:durableId="2082946552">
    <w:abstractNumId w:val="11"/>
  </w:num>
  <w:num xmlns:w16cid="http://schemas.microsoft.com/office/word/2016/wordml/cid" w:numId="17" w16cid:durableId="244073696">
    <w:abstractNumId w:val="10"/>
  </w:num>
  <w:num xmlns:w16cid="http://schemas.microsoft.com/office/word/2016/wordml/cid" w:numId="18" w16cid:durableId="1451708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val="0"/>
      <w:bCs/>
      <w:i w:val="0"/>
      <w:color w:val="000000"/>
      <w:sz w:val="19"/>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ppendix_Normal">
    <w:name w:val="Appendix Normal"/>
    <w:qFormat/>
    <w:rsid w:val="008D5B6C"/>
    <w:pPr>
      <w:spacing w:after="120" w:line="257" w:lineRule="auto"/>
    </w:pPr>
    <w:rPr>
      <w:rFonts w:ascii="Arial" w:hAnsi="Arial" w:cs="Arial"/>
      <w:color w:val="000000"/>
    </w:rPr>
  </w:style>
  <w:style w:type="paragraph" w:styleId="Appendix_Heading1">
    <w:name w:val="Appendix heading 1"/>
    <w:basedOn w:val="Appendix_Title"/>
    <w:next w:val="Appendix_Normal"/>
    <w:link w:val="Appendix_Heading1Char"/>
    <w:uiPriority w:val="9"/>
    <w:qFormat/>
    <w:rsid w:val="008D5B6C"/>
    <w:pPr>
      <w:spacing w:before="240" w:after="240"/>
      <w:outlineLvl w:val="0"/>
    </w:pPr>
    <w:rPr>
      <w:rFonts w:ascii="Arial" w:hAnsi="Arial" w:cs="Arial"/>
      <w:sz w:val="32"/>
      <w:szCs w:val="32"/>
    </w:rPr>
  </w:style>
  <w:style w:type="paragraph" w:styleId="Appendix_Heading2">
    <w:name w:val="Appendix heading 2"/>
    <w:basedOn w:val="Appendix_Normal"/>
    <w:next w:val="Appendix_Normal"/>
    <w:link w:val="Appendix_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Appendix_Heading3">
    <w:name w:val="Appendix heading 3"/>
    <w:basedOn w:val="Appendix_Normal"/>
    <w:next w:val="Appendix_Normal"/>
    <w:link w:val="Appendix_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ppendix_Heading4">
    <w:name w:val="Appendix heading 4"/>
    <w:basedOn w:val="Appendix_Normal"/>
    <w:next w:val="Appendix_Normal"/>
    <w:link w:val="Appendix_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ppendix_Heading5">
    <w:name w:val="Appendix heading 5"/>
    <w:basedOn w:val="Appendix_Normal"/>
    <w:next w:val="Appendix_Normal"/>
    <w:link w:val="Appendix_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ppendix_Heading6">
    <w:name w:val="Appendix heading 6"/>
    <w:basedOn w:val="Appendix_Normal"/>
    <w:next w:val="Appendix_Normal"/>
    <w:link w:val="Appendix_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ppendix_Heading7">
    <w:name w:val="Appendix heading 7"/>
    <w:basedOn w:val="Appendix_Normal"/>
    <w:next w:val="Appendix_Normal"/>
    <w:link w:val="Appendix_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ppendix_Heading8">
    <w:name w:val="Appendix heading 8"/>
    <w:basedOn w:val="Appendix_Normal"/>
    <w:next w:val="Appendix_Normal"/>
    <w:link w:val="Appendix_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ppendix_Heading9">
    <w:name w:val="Appendix heading 9"/>
    <w:basedOn w:val="Appendix_Normal"/>
    <w:next w:val="Appendix_Normal"/>
    <w:link w:val="Appendix_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Appendix_DefaultParagraphFont">
    <w:name w:val="Appendix Default Paragraph Font"/>
    <w:uiPriority w:val="1"/>
    <w:semiHidden/>
    <w:unhideWhenUsed/>
  </w:style>
  <w:style w:type="table" w:styleId="Appendix_TableNormal">
    <w:name w:val="Appendix Normal Table"/>
    <w:uiPriority w:val="99"/>
    <w:semiHidden/>
    <w:unhideWhenUsed/>
    <w:tblPr>
      <w:tblInd w:w="0" w:type="dxa"/>
      <w:tblCellMar>
        <w:top w:w="0" w:type="dxa"/>
        <w:left w:w="108" w:type="dxa"/>
        <w:bottom w:w="0" w:type="dxa"/>
        <w:right w:w="108" w:type="dxa"/>
      </w:tblCellMar>
    </w:tblPr>
  </w:style>
  <w:style w:type="numbering" w:styleId="Appendix_NoList">
    <w:name w:val="Appendix No List"/>
    <w:uiPriority w:val="99"/>
    <w:semiHidden/>
    <w:unhideWhenUsed/>
  </w:style>
  <w:style w:type="paragraph" w:styleId="Appendix_Header">
    <w:name w:val="Appendix header"/>
    <w:basedOn w:val="Appendix_Normal"/>
    <w:link w:val="Appendix_HeaderChar"/>
    <w:uiPriority w:val="99"/>
    <w:unhideWhenUsed/>
    <w:rsid w:val="00E618BF"/>
    <w:pPr>
      <w:tabs>
        <w:tab w:val="center" w:pos="4680"/>
        <w:tab w:val="right" w:pos="9360"/>
      </w:tabs>
      <w:spacing w:after="0" w:line="240" w:lineRule="auto"/>
    </w:pPr>
  </w:style>
  <w:style w:type="character" w:customStyle="1" w:styleId="Appendix_HeaderChar">
    <w:name w:val="Appendix Header Char"/>
    <w:basedOn w:val="Appendix_DefaultParagraphFont"/>
    <w:link w:val="Appendix_Header"/>
    <w:uiPriority w:val="99"/>
    <w:rsid w:val="00E618BF"/>
  </w:style>
  <w:style w:type="paragraph" w:styleId="Appendix_Footer">
    <w:name w:val="Appendix footer"/>
    <w:basedOn w:val="Appendix_Normal"/>
    <w:link w:val="Appendix_FooterChar"/>
    <w:uiPriority w:val="99"/>
    <w:unhideWhenUsed/>
    <w:rsid w:val="00E618BF"/>
    <w:pPr>
      <w:tabs>
        <w:tab w:val="center" w:pos="4680"/>
        <w:tab w:val="right" w:pos="9360"/>
      </w:tabs>
      <w:spacing w:after="0" w:line="240" w:lineRule="auto"/>
    </w:pPr>
  </w:style>
  <w:style w:type="character" w:customStyle="1" w:styleId="Appendix_FooterChar">
    <w:name w:val="Appendix Footer Char"/>
    <w:basedOn w:val="Appendix_DefaultParagraphFont"/>
    <w:link w:val="Appendix_Footer"/>
    <w:uiPriority w:val="99"/>
    <w:rsid w:val="00E618BF"/>
  </w:style>
  <w:style w:type="paragraph" w:styleId="Appendix_NoSpacing">
    <w:name w:val="Appendix No Spacing"/>
    <w:uiPriority w:val="1"/>
    <w:qFormat/>
    <w:rsid w:val="00FC693F"/>
    <w:pPr>
      <w:spacing w:after="0" w:line="240" w:lineRule="auto"/>
    </w:pPr>
  </w:style>
  <w:style w:type="character" w:customStyle="1" w:styleId="Appendix_Heading1Char">
    <w:name w:val="Appendix Heading 1 Char"/>
    <w:basedOn w:val="Appendix_DefaultParagraphFont"/>
    <w:link w:val="Appendix_Heading1"/>
    <w:uiPriority w:val="9"/>
    <w:rsid w:val="008D5B6C"/>
    <w:rPr>
      <w:rFonts w:ascii="Arial" w:eastAsiaTheme="majorEastAsia" w:hAnsi="Arial" w:cs="Arial"/>
      <w:b/>
      <w:color w:val="000000"/>
      <w:spacing w:val="5"/>
      <w:kern w:val="28"/>
      <w:sz w:val="32"/>
      <w:szCs w:val="32"/>
    </w:rPr>
  </w:style>
  <w:style w:type="character" w:customStyle="1" w:styleId="Appendix_Heading2Char">
    <w:name w:val="Appendix Heading 2 Char"/>
    <w:basedOn w:val="Appendix_DefaultParagraphFont"/>
    <w:link w:val="Appendix_Heading2"/>
    <w:uiPriority w:val="9"/>
    <w:rsid w:val="00FC693F"/>
    <w:rPr>
      <w:rFonts w:asciiTheme="majorHAnsi" w:eastAsiaTheme="majorEastAsia" w:hAnsiTheme="majorHAnsi" w:cstheme="majorBidi"/>
      <w:b/>
      <w:bCs/>
      <w:color w:val="4F81BD" w:themeColor="accent1"/>
      <w:sz w:val="26"/>
      <w:szCs w:val="26"/>
    </w:rPr>
  </w:style>
  <w:style w:type="character" w:customStyle="1" w:styleId="Appendix_Heading3Char">
    <w:name w:val="Appendix Heading 3 Char"/>
    <w:basedOn w:val="Appendix_DefaultParagraphFont"/>
    <w:link w:val="Appendix_Heading3"/>
    <w:uiPriority w:val="9"/>
    <w:rsid w:val="00FC693F"/>
    <w:rPr>
      <w:rFonts w:asciiTheme="majorHAnsi" w:eastAsiaTheme="majorEastAsia" w:hAnsiTheme="majorHAnsi" w:cstheme="majorBidi"/>
      <w:b/>
      <w:bCs/>
      <w:color w:val="4F81BD" w:themeColor="accent1"/>
    </w:rPr>
  </w:style>
  <w:style w:type="paragraph" w:styleId="Appendix_Title">
    <w:name w:val="Appendix Title"/>
    <w:basedOn w:val="Appendix_Normal"/>
    <w:next w:val="Appendix_Normal"/>
    <w:link w:val="Appendix_TitleChar"/>
    <w:uiPriority w:val="10"/>
    <w:qFormat/>
    <w:rsid w:val="00FC693F"/>
    <w:pPr>
      <w:spacing w:line="240" w:lineRule="auto"/>
      <w:contextualSpacing/>
    </w:pPr>
    <w:rPr>
      <w:rFonts w:asciiTheme="majorHAnsi" w:eastAsiaTheme="majorEastAsia" w:hAnsiTheme="majorHAnsi" w:cstheme="majorBidi"/>
      <w:b/>
      <w:spacing w:val="5"/>
      <w:kern w:val="28"/>
      <w:sz w:val="36"/>
      <w:szCs w:val="52"/>
    </w:rPr>
  </w:style>
  <w:style w:type="character" w:customStyle="1" w:styleId="Appendix_TitleChar">
    <w:name w:val="Appendix Title Char"/>
    <w:basedOn w:val="Appendix_DefaultParagraphFont"/>
    <w:link w:val="Appendix_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ppendix_Subtitle">
    <w:name w:val="Appendix Subtitle"/>
    <w:basedOn w:val="Appendix_Normal"/>
    <w:next w:val="Appendix_Normal"/>
    <w:link w:val="Appendix_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ppendix_SubtitleChar">
    <w:name w:val="Appendix Subtitle Char"/>
    <w:basedOn w:val="Appendix_DefaultParagraphFont"/>
    <w:link w:val="Appendix_Subtitle"/>
    <w:uiPriority w:val="11"/>
    <w:rsid w:val="00FC693F"/>
    <w:rPr>
      <w:rFonts w:asciiTheme="majorHAnsi" w:eastAsiaTheme="majorEastAsia" w:hAnsiTheme="majorHAnsi" w:cstheme="majorBidi"/>
      <w:i/>
      <w:iCs/>
      <w:color w:val="4F81BD" w:themeColor="accent1"/>
      <w:spacing w:val="15"/>
      <w:sz w:val="24"/>
      <w:szCs w:val="24"/>
    </w:rPr>
  </w:style>
  <w:style w:type="paragraph" w:styleId="Appendix_ListParagraph">
    <w:name w:val="Appendix List Paragraph"/>
    <w:basedOn w:val="Appendix_Normal"/>
    <w:uiPriority w:val="34"/>
    <w:qFormat/>
    <w:rsid w:val="00FC693F"/>
    <w:pPr>
      <w:ind w:left="720"/>
      <w:contextualSpacing/>
    </w:pPr>
  </w:style>
  <w:style w:type="paragraph" w:styleId="Appendix_BodyText">
    <w:name w:val="Appendix Body Text"/>
    <w:basedOn w:val="Appendix_Normal"/>
    <w:link w:val="Appendix_BodyTextChar"/>
    <w:uiPriority w:val="99"/>
    <w:unhideWhenUsed/>
    <w:rsid w:val="00AA1D8D"/>
  </w:style>
  <w:style w:type="character" w:customStyle="1" w:styleId="Appendix_BodyTextChar">
    <w:name w:val="Appendix Body Text Char"/>
    <w:basedOn w:val="Appendix_DefaultParagraphFont"/>
    <w:link w:val="Appendix_BodyText"/>
    <w:uiPriority w:val="99"/>
    <w:rsid w:val="00AA1D8D"/>
  </w:style>
  <w:style w:type="paragraph" w:styleId="Appendix_BodyText2">
    <w:name w:val="Appendix Body Text 2"/>
    <w:basedOn w:val="Appendix_Normal"/>
    <w:link w:val="Appendix_BodyText2Char"/>
    <w:uiPriority w:val="99"/>
    <w:unhideWhenUsed/>
    <w:rsid w:val="00AA1D8D"/>
    <w:pPr>
      <w:spacing w:line="480" w:lineRule="auto"/>
    </w:pPr>
  </w:style>
  <w:style w:type="character" w:customStyle="1" w:styleId="Appendix_BodyText2Char">
    <w:name w:val="Appendix Body Text 2 Char"/>
    <w:basedOn w:val="Appendix_DefaultParagraphFont"/>
    <w:link w:val="Appendix_BodyText2"/>
    <w:uiPriority w:val="99"/>
    <w:rsid w:val="00AA1D8D"/>
  </w:style>
  <w:style w:type="paragraph" w:styleId="Appendix_BodyText3">
    <w:name w:val="Appendix Body Text 3"/>
    <w:basedOn w:val="Appendix_Normal"/>
    <w:link w:val="Appendix_BodyText3Char"/>
    <w:uiPriority w:val="99"/>
    <w:unhideWhenUsed/>
    <w:rsid w:val="00AA1D8D"/>
    <w:rPr>
      <w:sz w:val="16"/>
      <w:szCs w:val="16"/>
    </w:rPr>
  </w:style>
  <w:style w:type="character" w:customStyle="1" w:styleId="Appendix_BodyText3Char">
    <w:name w:val="Appendix Body Text 3 Char"/>
    <w:basedOn w:val="Appendix_DefaultParagraphFont"/>
    <w:link w:val="Appendix_BodyText3"/>
    <w:uiPriority w:val="99"/>
    <w:rsid w:val="00AA1D8D"/>
    <w:rPr>
      <w:sz w:val="16"/>
      <w:szCs w:val="16"/>
    </w:rPr>
  </w:style>
  <w:style w:type="paragraph" w:styleId="Appendix_List">
    <w:name w:val="Appendix List"/>
    <w:basedOn w:val="Appendix_Normal"/>
    <w:uiPriority w:val="99"/>
    <w:unhideWhenUsed/>
    <w:rsid w:val="00AA1D8D"/>
    <w:pPr>
      <w:ind w:left="360" w:hanging="360"/>
      <w:contextualSpacing/>
    </w:pPr>
  </w:style>
  <w:style w:type="paragraph" w:styleId="Appendix_List2">
    <w:name w:val="Appendix List 2"/>
    <w:basedOn w:val="Appendix_Normal"/>
    <w:uiPriority w:val="99"/>
    <w:unhideWhenUsed/>
    <w:rsid w:val="00326F90"/>
    <w:pPr>
      <w:ind w:left="720" w:hanging="360"/>
      <w:contextualSpacing/>
    </w:pPr>
  </w:style>
  <w:style w:type="paragraph" w:styleId="Appendix_List3">
    <w:name w:val="Appendix List 3"/>
    <w:basedOn w:val="Appendix_Normal"/>
    <w:uiPriority w:val="99"/>
    <w:unhideWhenUsed/>
    <w:rsid w:val="00326F90"/>
    <w:pPr>
      <w:ind w:left="1080" w:hanging="360"/>
      <w:contextualSpacing/>
    </w:pPr>
  </w:style>
  <w:style w:type="paragraph" w:styleId="Appendix_ListBullet">
    <w:name w:val="Appendix List Bullet"/>
    <w:basedOn w:val="Appendix_Normal"/>
    <w:uiPriority w:val="99"/>
    <w:unhideWhenUsed/>
    <w:rsid w:val="00326F90"/>
    <w:pPr>
      <w:numPr>
        <w:numId w:val="10"/>
      </w:numPr>
      <w:contextualSpacing/>
    </w:pPr>
  </w:style>
  <w:style w:type="paragraph" w:styleId="Appendix_ListBullet2">
    <w:name w:val="Appendix List Bullet 2"/>
    <w:basedOn w:val="Appendix_Normal"/>
    <w:uiPriority w:val="99"/>
    <w:unhideWhenUsed/>
    <w:rsid w:val="00326F90"/>
    <w:pPr>
      <w:numPr>
        <w:numId w:val="11"/>
      </w:numPr>
      <w:contextualSpacing/>
    </w:pPr>
  </w:style>
  <w:style w:type="paragraph" w:styleId="Appendix_ListBullet3">
    <w:name w:val="Appendix List Bullet 3"/>
    <w:basedOn w:val="Appendix_Normal"/>
    <w:uiPriority w:val="99"/>
    <w:unhideWhenUsed/>
    <w:rsid w:val="00326F90"/>
    <w:pPr>
      <w:numPr>
        <w:numId w:val="12"/>
      </w:numPr>
      <w:contextualSpacing/>
    </w:pPr>
  </w:style>
  <w:style w:type="paragraph" w:styleId="Appendix_ListNumber">
    <w:name w:val="Appendix List Number"/>
    <w:basedOn w:val="Appendix_Normal"/>
    <w:uiPriority w:val="99"/>
    <w:unhideWhenUsed/>
    <w:rsid w:val="00326F90"/>
    <w:pPr>
      <w:numPr>
        <w:numId w:val="14"/>
      </w:numPr>
      <w:contextualSpacing/>
    </w:pPr>
  </w:style>
  <w:style w:type="paragraph" w:styleId="Appendix_ListNumber2">
    <w:name w:val="Appendix List Number 2"/>
    <w:basedOn w:val="Appendix_Normal"/>
    <w:uiPriority w:val="99"/>
    <w:unhideWhenUsed/>
    <w:rsid w:val="0029639D"/>
    <w:pPr>
      <w:numPr>
        <w:numId w:val="15"/>
      </w:numPr>
      <w:contextualSpacing/>
    </w:pPr>
  </w:style>
  <w:style w:type="paragraph" w:styleId="Appendix_ListNumber3">
    <w:name w:val="Appendix List Number 3"/>
    <w:basedOn w:val="Appendix_Normal"/>
    <w:uiPriority w:val="99"/>
    <w:unhideWhenUsed/>
    <w:rsid w:val="0029639D"/>
    <w:pPr>
      <w:numPr>
        <w:numId w:val="16"/>
      </w:numPr>
      <w:contextualSpacing/>
    </w:pPr>
  </w:style>
  <w:style w:type="paragraph" w:styleId="Appendix_ListContinue">
    <w:name w:val="Appendix List Continue"/>
    <w:basedOn w:val="Appendix_Normal"/>
    <w:uiPriority w:val="99"/>
    <w:unhideWhenUsed/>
    <w:rsid w:val="0029639D"/>
    <w:pPr>
      <w:ind w:left="360"/>
      <w:contextualSpacing/>
    </w:pPr>
  </w:style>
  <w:style w:type="paragraph" w:styleId="Appendix_ListContinue2">
    <w:name w:val="Appendix List Continue 2"/>
    <w:basedOn w:val="Appendix_Normal"/>
    <w:uiPriority w:val="99"/>
    <w:unhideWhenUsed/>
    <w:rsid w:val="0029639D"/>
    <w:pPr>
      <w:ind w:left="720"/>
      <w:contextualSpacing/>
    </w:pPr>
  </w:style>
  <w:style w:type="paragraph" w:styleId="Appendix_ListContinue3">
    <w:name w:val="Appendix List Continue 3"/>
    <w:basedOn w:val="Appendix_Normal"/>
    <w:uiPriority w:val="99"/>
    <w:unhideWhenUsed/>
    <w:rsid w:val="0029639D"/>
    <w:pPr>
      <w:ind w:left="1080"/>
      <w:contextualSpacing/>
    </w:pPr>
  </w:style>
  <w:style w:type="paragraph" w:styleId="Appendix_MacroText">
    <w:name w:val="Appendix macro"/>
    <w:link w:val="Appendix_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ppendix_MacroTextChar">
    <w:name w:val="Appendix Macro Text Char"/>
    <w:basedOn w:val="Appendix_DefaultParagraphFont"/>
    <w:link w:val="Appendix_MacroText"/>
    <w:uiPriority w:val="99"/>
    <w:rsid w:val="0029639D"/>
    <w:rPr>
      <w:rFonts w:ascii="Courier" w:hAnsi="Courier"/>
      <w:sz w:val="20"/>
      <w:szCs w:val="20"/>
    </w:rPr>
  </w:style>
  <w:style w:type="paragraph" w:styleId="Appendix_Quote">
    <w:name w:val="Appendix Quote"/>
    <w:basedOn w:val="Appendix_Normal"/>
    <w:next w:val="Appendix_Normal"/>
    <w:link w:val="Appendix_QuoteChar"/>
    <w:uiPriority w:val="29"/>
    <w:qFormat/>
    <w:rsid w:val="00FC693F"/>
    <w:rPr>
      <w:i/>
      <w:iCs/>
      <w:color w:val="000000" w:themeColor="text1"/>
    </w:rPr>
  </w:style>
  <w:style w:type="character" w:customStyle="1" w:styleId="Appendix_QuoteChar">
    <w:name w:val="Appendix Quote Char"/>
    <w:basedOn w:val="Appendix_DefaultParagraphFont"/>
    <w:link w:val="Appendix_Quote"/>
    <w:uiPriority w:val="29"/>
    <w:rsid w:val="00FC693F"/>
    <w:rPr>
      <w:i/>
      <w:iCs/>
      <w:color w:val="000000" w:themeColor="text1"/>
    </w:rPr>
  </w:style>
  <w:style w:type="character" w:customStyle="1" w:styleId="Appendix_Heading4Char">
    <w:name w:val="Appendix Heading 4 Char"/>
    <w:basedOn w:val="Appendix_DefaultParagraphFont"/>
    <w:link w:val="Appendix_Heading4"/>
    <w:uiPriority w:val="9"/>
    <w:semiHidden/>
    <w:rsid w:val="00FC693F"/>
    <w:rPr>
      <w:rFonts w:asciiTheme="majorHAnsi" w:eastAsiaTheme="majorEastAsia" w:hAnsiTheme="majorHAnsi" w:cstheme="majorBidi"/>
      <w:b/>
      <w:bCs/>
      <w:i/>
      <w:iCs/>
      <w:color w:val="4F81BD" w:themeColor="accent1"/>
    </w:rPr>
  </w:style>
  <w:style w:type="character" w:customStyle="1" w:styleId="Appendix_Heading5Char">
    <w:name w:val="Appendix Heading 5 Char"/>
    <w:basedOn w:val="Appendix_DefaultParagraphFont"/>
    <w:link w:val="Appendix_Heading5"/>
    <w:uiPriority w:val="9"/>
    <w:semiHidden/>
    <w:rsid w:val="00FC693F"/>
    <w:rPr>
      <w:rFonts w:asciiTheme="majorHAnsi" w:eastAsiaTheme="majorEastAsia" w:hAnsiTheme="majorHAnsi" w:cstheme="majorBidi"/>
      <w:color w:val="243F60" w:themeColor="accent1" w:themeShade="7F"/>
    </w:rPr>
  </w:style>
  <w:style w:type="character" w:customStyle="1" w:styleId="Appendix_Heading6Char">
    <w:name w:val="Appendix Heading 6 Char"/>
    <w:basedOn w:val="Appendix_DefaultParagraphFont"/>
    <w:link w:val="Appendix_Heading6"/>
    <w:uiPriority w:val="9"/>
    <w:semiHidden/>
    <w:rsid w:val="00FC693F"/>
    <w:rPr>
      <w:rFonts w:asciiTheme="majorHAnsi" w:eastAsiaTheme="majorEastAsia" w:hAnsiTheme="majorHAnsi" w:cstheme="majorBidi"/>
      <w:i/>
      <w:iCs/>
      <w:color w:val="243F60" w:themeColor="accent1" w:themeShade="7F"/>
    </w:rPr>
  </w:style>
  <w:style w:type="character" w:customStyle="1" w:styleId="Appendix_Heading7Char">
    <w:name w:val="Appendix Heading 7 Char"/>
    <w:basedOn w:val="Appendix_DefaultParagraphFont"/>
    <w:link w:val="Appendix_Heading7"/>
    <w:uiPriority w:val="9"/>
    <w:semiHidden/>
    <w:rsid w:val="00FC693F"/>
    <w:rPr>
      <w:rFonts w:asciiTheme="majorHAnsi" w:eastAsiaTheme="majorEastAsia" w:hAnsiTheme="majorHAnsi" w:cstheme="majorBidi"/>
      <w:i/>
      <w:iCs/>
      <w:color w:val="404040" w:themeColor="text1" w:themeTint="BF"/>
    </w:rPr>
  </w:style>
  <w:style w:type="character" w:customStyle="1" w:styleId="Appendix_Heading8Char">
    <w:name w:val="Appendix Heading 8 Char"/>
    <w:basedOn w:val="Appendix_DefaultParagraphFont"/>
    <w:link w:val="Appendix_Heading8"/>
    <w:uiPriority w:val="9"/>
    <w:semiHidden/>
    <w:rsid w:val="00FC693F"/>
    <w:rPr>
      <w:rFonts w:asciiTheme="majorHAnsi" w:eastAsiaTheme="majorEastAsia" w:hAnsiTheme="majorHAnsi" w:cstheme="majorBidi"/>
      <w:color w:val="4F81BD" w:themeColor="accent1"/>
      <w:sz w:val="20"/>
      <w:szCs w:val="20"/>
    </w:rPr>
  </w:style>
  <w:style w:type="character" w:customStyle="1" w:styleId="Appendix_Heading9Char">
    <w:name w:val="Appendix Heading 9 Char"/>
    <w:basedOn w:val="Appendix_DefaultParagraphFont"/>
    <w:link w:val="Appendix_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Appendix_Caption">
    <w:name w:val="Appendix caption"/>
    <w:basedOn w:val="Appendix_Normal"/>
    <w:next w:val="Appendix_Normal"/>
    <w:uiPriority w:val="35"/>
    <w:semiHidden/>
    <w:unhideWhenUsed/>
    <w:qFormat/>
    <w:rsid w:val="00FC693F"/>
    <w:pPr>
      <w:spacing w:line="240" w:lineRule="auto"/>
    </w:pPr>
    <w:rPr>
      <w:bCs/>
      <w:sz w:val="19"/>
      <w:szCs w:val="18"/>
    </w:rPr>
  </w:style>
  <w:style w:type="character" w:styleId="Appendix_Strong">
    <w:name w:val="Appendix Strong"/>
    <w:basedOn w:val="Appendix_DefaultParagraphFont"/>
    <w:uiPriority w:val="22"/>
    <w:qFormat/>
    <w:rsid w:val="00FC693F"/>
    <w:rPr>
      <w:b/>
      <w:bCs/>
    </w:rPr>
  </w:style>
  <w:style w:type="character" w:styleId="Appendix_Emphasis">
    <w:name w:val="Appendix Emphasis"/>
    <w:basedOn w:val="Appendix_DefaultParagraphFont"/>
    <w:uiPriority w:val="20"/>
    <w:qFormat/>
    <w:rsid w:val="00FC693F"/>
    <w:rPr>
      <w:i/>
      <w:iCs/>
    </w:rPr>
  </w:style>
  <w:style w:type="paragraph" w:styleId="Appendix_IntenseQuote">
    <w:name w:val="Appendix Intense Quote"/>
    <w:basedOn w:val="Appendix_Normal"/>
    <w:next w:val="Appendix_Normal"/>
    <w:link w:val="Appendix_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ppendix_IntenseQuoteChar">
    <w:name w:val="Appendix Intense Quote Char"/>
    <w:basedOn w:val="Appendix_DefaultParagraphFont"/>
    <w:link w:val="Appendix_IntenseQuote"/>
    <w:uiPriority w:val="30"/>
    <w:rsid w:val="00FC693F"/>
    <w:rPr>
      <w:b/>
      <w:bCs/>
      <w:i/>
      <w:iCs/>
      <w:color w:val="4F81BD" w:themeColor="accent1"/>
    </w:rPr>
  </w:style>
  <w:style w:type="character" w:styleId="Appendix_SubtleEmphasis">
    <w:name w:val="Appendix Subtle Emphasis"/>
    <w:basedOn w:val="Appendix_DefaultParagraphFont"/>
    <w:uiPriority w:val="19"/>
    <w:qFormat/>
    <w:rsid w:val="00FC693F"/>
    <w:rPr>
      <w:i/>
      <w:iCs/>
      <w:color w:val="808080" w:themeColor="text1" w:themeTint="7F"/>
    </w:rPr>
  </w:style>
  <w:style w:type="character" w:styleId="Appendix_IntenseEmphasis">
    <w:name w:val="Appendix Intense Emphasis"/>
    <w:basedOn w:val="Appendix_DefaultParagraphFont"/>
    <w:uiPriority w:val="21"/>
    <w:qFormat/>
    <w:rsid w:val="00FC693F"/>
    <w:rPr>
      <w:b/>
      <w:bCs/>
      <w:i/>
      <w:iCs/>
      <w:color w:val="4F81BD" w:themeColor="accent1"/>
    </w:rPr>
  </w:style>
  <w:style w:type="character" w:styleId="Appendix_SubtleReference">
    <w:name w:val="Appendix Subtle Reference"/>
    <w:basedOn w:val="Appendix_DefaultParagraphFont"/>
    <w:uiPriority w:val="31"/>
    <w:qFormat/>
    <w:rsid w:val="00FC693F"/>
    <w:rPr>
      <w:smallCaps/>
      <w:color w:val="C0504D" w:themeColor="accent2"/>
      <w:u w:val="single"/>
    </w:rPr>
  </w:style>
  <w:style w:type="character" w:styleId="Appendix_IntenseReference">
    <w:name w:val="Appendix Intense Reference"/>
    <w:basedOn w:val="Appendix_DefaultParagraphFont"/>
    <w:uiPriority w:val="32"/>
    <w:qFormat/>
    <w:rsid w:val="00FC693F"/>
    <w:rPr>
      <w:b/>
      <w:bCs/>
      <w:smallCaps/>
      <w:color w:val="C0504D" w:themeColor="accent2"/>
      <w:spacing w:val="5"/>
      <w:u w:val="single"/>
    </w:rPr>
  </w:style>
  <w:style w:type="character" w:styleId="Appendix_BookTitle">
    <w:name w:val="Appendix Book Title"/>
    <w:basedOn w:val="Appendix_DefaultParagraphFont"/>
    <w:uiPriority w:val="33"/>
    <w:qFormat/>
    <w:rsid w:val="00FC693F"/>
    <w:rPr>
      <w:b/>
      <w:bCs/>
      <w:smallCaps/>
      <w:spacing w:val="5"/>
    </w:rPr>
  </w:style>
  <w:style w:type="paragraph" w:styleId="Appendix_TOCHeading">
    <w:name w:val="Appendix TOC Heading"/>
    <w:basedOn w:val="Appendix_Heading1"/>
    <w:next w:val="Appendix_Normal"/>
    <w:uiPriority w:val="39"/>
    <w:semiHidden/>
    <w:unhideWhenUsed/>
    <w:qFormat/>
    <w:rsid w:val="00FC693F"/>
    <w:pPr>
      <w:outlineLvl w:val="9"/>
    </w:pPr>
  </w:style>
  <w:style w:type="table" w:styleId="Appendix_TableGrid">
    <w:name w:val="Appendix Table Grid"/>
    <w:basedOn w:val="Appendix_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ppendix_LightShading">
    <w:name w:val="Appendix Light Shading"/>
    <w:basedOn w:val="Appendix_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ppendix_LightShading-Accent1">
    <w:name w:val="Appendix Light Shading Accent 1"/>
    <w:basedOn w:val="Appendix_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ppendix_LightShading-Accent2">
    <w:name w:val="Appendix Light Shading Accent 2"/>
    <w:basedOn w:val="Appendix_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ppendix_LightShading-Accent3">
    <w:name w:val="Appendix Light Shading Accent 3"/>
    <w:basedOn w:val="Appendix_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ppendix_LightShading-Accent4">
    <w:name w:val="Appendix Light Shading Accent 4"/>
    <w:basedOn w:val="Appendix_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ppendix_LightShading-Accent5">
    <w:name w:val="Appendix Light Shading Accent 5"/>
    <w:basedOn w:val="Appendix_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ppendix_LightShading-Accent6">
    <w:name w:val="Appendix Light Shading Accent 6"/>
    <w:basedOn w:val="Appendix_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ppendix_LightList">
    <w:name w:val="Appendix Light List"/>
    <w:basedOn w:val="Appendix_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ppendix_LightList-Accent1">
    <w:name w:val="Appendix Light List Accent 1"/>
    <w:basedOn w:val="Appendix_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ppendix_LightList-Accent2">
    <w:name w:val="Appendix Light List Accent 2"/>
    <w:basedOn w:val="Appendix_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ppendix_LightList-Accent3">
    <w:name w:val="Appendix Light List Accent 3"/>
    <w:basedOn w:val="Appendix_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ppendix_LightList-Accent4">
    <w:name w:val="Appendix Light List Accent 4"/>
    <w:basedOn w:val="Appendix_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ppendix_LightList-Accent5">
    <w:name w:val="Appendix Light List Accent 5"/>
    <w:basedOn w:val="Appendix_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ppendix_LightList-Accent6">
    <w:name w:val="Appendix Light List Accent 6"/>
    <w:basedOn w:val="Appendix_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ppendix_LightGrid">
    <w:name w:val="Appendix Light Grid"/>
    <w:basedOn w:val="Appendix_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ppendix_LightGrid-Accent1">
    <w:name w:val="Appendix Light Grid Accent 1"/>
    <w:basedOn w:val="Appendix_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ppendix_LightGrid-Accent2">
    <w:name w:val="Appendix Light Grid Accent 2"/>
    <w:basedOn w:val="Appendix_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ppendix_LightGrid-Accent3">
    <w:name w:val="Appendix Light Grid Accent 3"/>
    <w:basedOn w:val="Appendix_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ppendix_LightGrid-Accent4">
    <w:name w:val="Appendix Light Grid Accent 4"/>
    <w:basedOn w:val="Appendix_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ppendix_LightGrid-Accent5">
    <w:name w:val="Appendix Light Grid Accent 5"/>
    <w:basedOn w:val="Appendix_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ppendix_LightGrid-Accent6">
    <w:name w:val="Appendix Light Grid Accent 6"/>
    <w:basedOn w:val="Appendix_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ppendix_MediumShading1">
    <w:name w:val="Appendix Medium Shading 1"/>
    <w:basedOn w:val="Appendix_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Appendix_MediumShading1-Accent1">
    <w:name w:val="Appendix Medium Shading 1 Accent 1"/>
    <w:basedOn w:val="Appendix_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Appendix_MediumShading1-Accent2">
    <w:name w:val="Appendix Medium Shading 1 Accent 2"/>
    <w:basedOn w:val="Appendix_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Appendix_MediumShading1-Accent3">
    <w:name w:val="Appendix Medium Shading 1 Accent 3"/>
    <w:basedOn w:val="Appendix_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Appendix_MediumShading1-Accent4">
    <w:name w:val="Appendix Medium Shading 1 Accent 4"/>
    <w:basedOn w:val="Appendix_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Appendix_MediumShading1-Accent5">
    <w:name w:val="Appendix Medium Shading 1 Accent 5"/>
    <w:basedOn w:val="Appendix_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Appendix_MediumShading1-Accent6">
    <w:name w:val="Appendix Medium Shading 1 Accent 6"/>
    <w:basedOn w:val="Appendix_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Appendix_MediumShading2">
    <w:name w:val="Appendix Medium Shading 2"/>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Shading2-Accent1">
    <w:name w:val="Appendix Medium Shading 2 Accent 1"/>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Shading2-Accent2">
    <w:name w:val="Appendix Medium Shading 2 Accent 2"/>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Shading2-Accent3">
    <w:name w:val="Appendix Medium Shading 2 Accent 3"/>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Shading2-Accent4">
    <w:name w:val="Appendix Medium Shading 2 Accent 4"/>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Shading2-Accent5">
    <w:name w:val="Appendix Medium Shading 2 Accent 5"/>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Shading2-Accent6">
    <w:name w:val="Appendix Medium Shading 2 Accent 6"/>
    <w:basedOn w:val="Appendix_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ppendix_MediumList1">
    <w:name w:val="Appendix Medium List 1"/>
    <w:basedOn w:val="Appendix_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Appendix_MediumList1-Accent1">
    <w:name w:val="Appendix Medium List 1 Accent 1"/>
    <w:basedOn w:val="Appendix_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Appendix_MediumList1-Accent2">
    <w:name w:val="Appendix Medium List 1 Accent 2"/>
    <w:basedOn w:val="Appendix_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Appendix_MediumList1-Accent3">
    <w:name w:val="Appendix Medium List 1 Accent 3"/>
    <w:basedOn w:val="Appendix_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Appendix_MediumList1-Accent4">
    <w:name w:val="Appendix Medium List 1 Accent 4"/>
    <w:basedOn w:val="Appendix_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Appendix_MediumList1-Accent5">
    <w:name w:val="Appendix Medium List 1 Accent 5"/>
    <w:basedOn w:val="Appendix_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Appendix_MediumList1-Accent6">
    <w:name w:val="Appendix Medium List 1 Accent 6"/>
    <w:basedOn w:val="Appendix_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Appendix_MediumList2">
    <w:name w:val="Appendix Medium List 2"/>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List2-Accent1">
    <w:name w:val="Appendix Medium List 2 Accent 1"/>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List2-Accent2">
    <w:name w:val="Appendix Medium List 2 Accent 2"/>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List2-Accent3">
    <w:name w:val="Appendix Medium List 2 Accent 3"/>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List2-Accent4">
    <w:name w:val="Appendix Medium List 2 Accent 4"/>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List2-Accent5">
    <w:name w:val="Appendix Medium List 2 Accent 5"/>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List2-Accent6">
    <w:name w:val="Appendix Medium List 2 Accent 6"/>
    <w:basedOn w:val="Appendi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ppendix_MediumGrid1">
    <w:name w:val="Appendix Medium Grid 1"/>
    <w:basedOn w:val="Appendix_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Appendix_MediumGrid1-Accent1">
    <w:name w:val="Appendix Medium Grid 1 Accent 1"/>
    <w:basedOn w:val="Appendix_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Appendix_MediumGrid1-Accent2">
    <w:name w:val="Appendix Medium Grid 1 Accent 2"/>
    <w:basedOn w:val="Appendix_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Appendix_MediumGrid1-Accent3">
    <w:name w:val="Appendix Medium Grid 1 Accent 3"/>
    <w:basedOn w:val="Appendix_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ppendix_MediumGrid1-Accent4">
    <w:name w:val="Appendix Medium Grid 1 Accent 4"/>
    <w:basedOn w:val="Appendix_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Appendix_MediumGrid1-Accent5">
    <w:name w:val="Appendix Medium Grid 1 Accent 5"/>
    <w:basedOn w:val="Appendix_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Appendix_MediumGrid1-Accent6">
    <w:name w:val="Appendix Medium Grid 1 Accent 6"/>
    <w:basedOn w:val="Appendix_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ppendix_MediumGrid2">
    <w:name w:val="Appendix Medium Grid 2"/>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Appendix_MediumGrid2-Accent1">
    <w:name w:val="Appendix Medium Grid 2 Accent 1"/>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Appendix_MediumGrid2-Accent2">
    <w:name w:val="Appendix Medium Grid 2 Accent 2"/>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Appendix_MediumGrid2-Accent3">
    <w:name w:val="Appendix Medium Grid 2 Accent 3"/>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Appendix_MediumGrid2-Accent4">
    <w:name w:val="Appendix Medium Grid 2 Accent 4"/>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Appendix_MediumGrid2-Accent5">
    <w:name w:val="Appendix Medium Grid 2 Accent 5"/>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Appendix_MediumGrid2-Accent6">
    <w:name w:val="Appendix Medium Grid 2 Accent 6"/>
    <w:basedOn w:val="Appendi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Appendix_MediumGrid3">
    <w:name w:val="Appendix Medium Grid 3"/>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ppendix_MediumGrid3-Accent1">
    <w:name w:val="Appendix Medium Grid 3 Accent 1"/>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Appendix_MediumGrid3-Accent2">
    <w:name w:val="Appendix Medium Grid 3 Accent 2"/>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Appendix_MediumGrid3-Accent3">
    <w:name w:val="Appendix Medium Grid 3 Accent 3"/>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Appendix_MediumGrid3-Accent4">
    <w:name w:val="Appendix Medium Grid 3 Accent 4"/>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Appendix_MediumGrid3-Accent5">
    <w:name w:val="Appendix Medium Grid 3 Accent 5"/>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Appendix_MediumGrid3-Accent6">
    <w:name w:val="Appendix Medium Grid 3 Accent 6"/>
    <w:basedOn w:val="Appendix_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ppendix_DarkList">
    <w:name w:val="Appendix Dark List"/>
    <w:basedOn w:val="Appendix_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ppendix_DarkList-Accent1">
    <w:name w:val="Appendix Dark List Accent 1"/>
    <w:basedOn w:val="Appendix_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Appendix_DarkList-Accent2">
    <w:name w:val="Appendix Dark List Accent 2"/>
    <w:basedOn w:val="Appendix_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Appendix_DarkList-Accent3">
    <w:name w:val="Appendix Dark List Accent 3"/>
    <w:basedOn w:val="Appendix_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Appendix_DarkList-Accent4">
    <w:name w:val="Appendix Dark List Accent 4"/>
    <w:basedOn w:val="Appendix_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Appendix_DarkList-Accent5">
    <w:name w:val="Appendix Dark List Accent 5"/>
    <w:basedOn w:val="Appendix_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Appendix_DarkList-Accent6">
    <w:name w:val="Appendix Dark List Accent 6"/>
    <w:basedOn w:val="Appendix_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ppendix_ColourfulShading">
    <w:name w:val="Appendix Colorful Shading"/>
    <w:basedOn w:val="Appendix_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ppendix_ColourfulShadingAccent1">
    <w:name w:val="Appendix Colorful Shading Accent 1"/>
    <w:basedOn w:val="Appendix_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Appendix_ColourfulShadingAccent2">
    <w:name w:val="Appendix Colorful Shading Accent 2"/>
    <w:basedOn w:val="Appendix_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Appendix_ColourfulShadingAccent3">
    <w:name w:val="Appendix Colorful Shading Accent 3"/>
    <w:basedOn w:val="Appendix_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Appendix_ColourfulShadingAccent4">
    <w:name w:val="Appendix Colorful Shading Accent 4"/>
    <w:basedOn w:val="Appendix_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Appendix_ColourfulShadingAccent5">
    <w:name w:val="Appendix Colorful Shading Accent 5"/>
    <w:basedOn w:val="Appendix_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Appendix_ColourfulShadingAccent6">
    <w:name w:val="Appendix Colorful Shading Accent 6"/>
    <w:basedOn w:val="Appendix_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ppendix_ColourfulList">
    <w:name w:val="Appendix Colorful List"/>
    <w:basedOn w:val="Appendix_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ppendix_ColourfulListAccent1">
    <w:name w:val="Appendix Colorful List Accent 1"/>
    <w:basedOn w:val="Appendix_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Appendix_ColourfulListAccent2">
    <w:name w:val="Appendix Colorful List Accent 2"/>
    <w:basedOn w:val="Appendix_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Appendix_ColourfulListAccent3">
    <w:name w:val="Appendix Colorful List Accent 3"/>
    <w:basedOn w:val="Appendix_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Appendix_ColourfulListAccent4">
    <w:name w:val="Appendix Colorful List Accent 4"/>
    <w:basedOn w:val="Appendix_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Appendix_ColourfulListAccent5">
    <w:name w:val="Appendix Colorful List Accent 5"/>
    <w:basedOn w:val="Appendix_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Appendix_ColourfulListAccent6">
    <w:name w:val="Appendix Colorful List Accent 6"/>
    <w:basedOn w:val="Appendix_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ppendix_ColourfulGrid">
    <w:name w:val="Appendix Colorful Grid"/>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Appendix_ColourfulGridAccent1">
    <w:name w:val="Appendix Colorful Grid Accent 1"/>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Appendix_ColourfulGridAccent2">
    <w:name w:val="Appendix Colorful Grid Accent 2"/>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Appendix_ColourfulGridAccent3">
    <w:name w:val="Appendix Colorful Grid Accent 3"/>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ppendix_ColourfulGridAccent4">
    <w:name w:val="Appendix Colorful Grid Accent 4"/>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Appendix_ColourfulGridAccent5">
    <w:name w:val="Appendix Colorful Grid Accent 5"/>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Appendix_ColourfulGridAccent6">
    <w:name w:val="Appendix Colorful Grid Accent 6"/>
    <w:basedOn w:val="Appendix_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Sanctioned loan amount prediction</dc:title>
  <dc:subject>FIT5149 Assessment 1 Group 43</dc:subject>
  <dc:creator>Aditya Palve and Eric Andres Acosta Ramirez</dc:creator>
  <cp:keywords/>
  <dc:description>generated by python-docx</dc:description>
  <cp:lastModifiedBy/>
  <cp:revision>1</cp:revision>
  <dcterms:created xsi:type="dcterms:W3CDTF">2013-12-23T23:15:00Z</dcterms:created>
  <dcterms:modified xsi:type="dcterms:W3CDTF">2013-12-23T23:15:00Z</dcterms:modified>
  <cp:category/>
</cp:coreProperties>
</file>