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MSCI </w:t>
            </w: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World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2021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Dow 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S&amp;P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202124"/>
                <w:sz w:val="32"/>
                <w:szCs w:val="32"/>
              </w:rPr>
            </w:pPr>
            <w:hyperlink r:id="rId6">
              <w:r w:rsidDel="00000000" w:rsidR="00000000" w:rsidRPr="00000000">
                <w:rPr>
                  <w:color w:val="202124"/>
                  <w:sz w:val="32"/>
                  <w:szCs w:val="32"/>
                  <w:highlight w:val="white"/>
                  <w:rtl w:val="0"/>
                </w:rPr>
                <w:t xml:space="preserve">Russell 2000</w:t>
              </w:r>
            </w:hyperlink>
            <w:r w:rsidDel="00000000" w:rsidR="00000000" w:rsidRPr="00000000">
              <w:rPr>
                <w:color w:val="202124"/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202124"/>
                <w:sz w:val="32"/>
                <w:szCs w:val="32"/>
              </w:rPr>
            </w:pPr>
            <w:hyperlink r:id="rId7">
              <w:r w:rsidDel="00000000" w:rsidR="00000000" w:rsidRPr="00000000">
                <w:rPr>
                  <w:color w:val="202124"/>
                  <w:sz w:val="32"/>
                  <w:szCs w:val="32"/>
                  <w:highlight w:val="white"/>
                  <w:rtl w:val="0"/>
                </w:rPr>
                <w:t xml:space="preserve">S&amp;P 100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  <w:t xml:space="preserve">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14.085992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-0.098459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-0.030820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1.663415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0.247312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0.039113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0.005067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-0.199845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-0.042945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-0.27143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0.8188498359039942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0.5794809697018418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2.904155797528227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1.9654896888574684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6.207115446209951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0.06796425566000304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0.05915492136663143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1.2377375457060673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0.3408307511936691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12.648537284746444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-0.4385248124648222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-0.20756924966926515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-0.9927223763444609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-0.3461077630590389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-0.9895918367942736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Fidelity International Index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Vanguard Emerging Markets Stock Index Fund Admiral Shares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iShares Core MSCI Total International Stock ETF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iShares MSCI China ETF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color w:val="1a1d26"/>
                <w:sz w:val="27"/>
                <w:szCs w:val="27"/>
                <w:highlight w:val="white"/>
                <w:rtl w:val="0"/>
              </w:rPr>
              <w:t xml:space="preserve">The Emerging Markets Internet &amp; Ecommerce ETF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0.468840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-0.047143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0.304545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-0.080540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0.153123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0.033019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-0.001144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-0.004501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-0.008607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0.019259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0.2796231692575773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0.07106581757696806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0.23494820050026324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0.10537813456481704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0.21142160717814287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0.02393133341095556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0.00608498333446282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0.01997773524175767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0.00957499999201743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0.01927694410097131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-0.3745667041883244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-0.4356412086064946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-0.39920487355495393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-0.6339129443637467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-0.7324274161336772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ussell_2000" TargetMode="External"/><Relationship Id="rId7" Type="http://schemas.openxmlformats.org/officeDocument/2006/relationships/hyperlink" Target="https://en.wikipedia.org/wiki/S%26P_1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