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  <w:sz w:val="44"/>
        </w:rPr>
        <w:t>Real-Time Fraud Detection System</w:t>
      </w:r>
    </w:p>
    <w:p>
      <w:pPr>
        <w:jc w:val="center"/>
      </w:pPr>
      <w:r>
        <w:rPr>
          <w:color w:val="475569"/>
          <w:sz w:val="28"/>
        </w:rPr>
        <w:t>with Explainable AI &amp; Live Dashboard</w:t>
      </w:r>
    </w:p>
    <w:p>
      <w:pPr>
        <w:jc w:val="center"/>
      </w:pPr>
      <w:r>
        <w:t>IEEE-CIS Fraud Detection — Capstone Project</w:t>
      </w:r>
    </w:p>
    <w:p>
      <w:pPr>
        <w:jc w:val="center"/>
      </w:pPr>
      <w:r>
        <w:t>AI &amp; Data Analytics Internship | Week 4</w:t>
      </w:r>
    </w:p>
    <w:p>
      <w:pPr>
        <w:jc w:val="center"/>
      </w:pPr>
      <w:r>
        <w:t>LightGBM | XGBoost | Isolation Forest | SHAP | Optuna | Streamlit</w:t>
      </w:r>
    </w:p>
    <w:p>
      <w:r>
        <w:br w:type="page"/>
      </w:r>
    </w:p>
    <w:p>
      <w:pPr>
        <w:pStyle w:val="Heading1"/>
        <w:jc w:val="left"/>
      </w:pPr>
      <w:r>
        <w:rPr>
          <w:color w:val="1E40AF"/>
        </w:rPr>
        <w:t>1. Executive Summary</w:t>
      </w:r>
    </w:p>
    <w:p>
      <w:pPr>
        <w:jc w:val="both"/>
      </w:pPr>
      <w:r>
        <w:rPr>
          <w:b w:val="0"/>
          <w:sz w:val="20"/>
        </w:rPr>
        <w:t>This project delivers an end-to-end machine learning pipeline for real-time credit card fraud detection on the IEEE-CIS dataset (590,000 transactions, 433 features, 3.5% fraud rate). The system addresses severe class imbalance, interpretability for compliance teams, and operational deployment via a live dashboard.</w:t>
      </w:r>
    </w:p>
    <w:p>
      <w:pPr>
        <w:pStyle w:val="ListBullet"/>
      </w:pPr>
      <w:r>
        <w:rPr>
          <w:sz w:val="20"/>
        </w:rPr>
        <w:t>Best Model: LightGBM (Tuned with Optuna) — ROC-AUC: 0.9734 | PR-AUC: 0.8241 | F1: 0.831</w:t>
      </w:r>
    </w:p>
    <w:p>
      <w:pPr>
        <w:pStyle w:val="ListBullet"/>
      </w:pPr>
      <w:r>
        <w:rPr>
          <w:sz w:val="20"/>
        </w:rPr>
        <w:t>SMOTE applied exclusively on training data — no data leakage</w:t>
      </w:r>
    </w:p>
    <w:p>
      <w:pPr>
        <w:pStyle w:val="ListBullet"/>
      </w:pPr>
      <w:r>
        <w:rPr>
          <w:sz w:val="20"/>
        </w:rPr>
        <w:t>SHAP Explainable AI provides per-transaction plain-English justifications</w:t>
      </w:r>
    </w:p>
    <w:p>
      <w:pPr>
        <w:pStyle w:val="ListBullet"/>
      </w:pPr>
      <w:r>
        <w:rPr>
          <w:sz w:val="20"/>
        </w:rPr>
        <w:t>Risk segmentation into Critical / Suspicious / Clear tiers</w:t>
      </w:r>
    </w:p>
    <w:p>
      <w:pPr>
        <w:pStyle w:val="ListBullet"/>
      </w:pPr>
      <w:r>
        <w:rPr>
          <w:sz w:val="20"/>
        </w:rPr>
        <w:t>Estimated annual savings of $302 million at 72% recall on 100M transactions</w:t>
      </w:r>
    </w:p>
    <w:p>
      <w:pPr>
        <w:pStyle w:val="ListBullet"/>
      </w:pPr>
      <w:r>
        <w:rPr>
          <w:sz w:val="20"/>
        </w:rPr>
        <w:t>3-page Streamlit dashboard with live risk scoring deployed on Streamlit Community Cloud</w:t>
      </w:r>
    </w:p>
    <w:p>
      <w:pPr>
        <w:pStyle w:val="Heading1"/>
        <w:jc w:val="left"/>
      </w:pPr>
      <w:r>
        <w:rPr>
          <w:color w:val="1E40AF"/>
        </w:rPr>
        <w:t>2.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Kaggle — IEEE-CIS Fraud Detection Competition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Files Used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train_transaction.csv + train_identity.csv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 Transactions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590,540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Total Features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433 (after merge)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Fraud Rate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3.50% (20,663 fraud / 569,877 legit)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Join Key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TransactionID (left join)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3. Task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 Loading, Merging &amp; EDA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Preprocessing, SMOTE, Feature Engineering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 Training, Comparison, Threshold Optimisation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SHAP Explainable AI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Risk Segmentation &amp; Fraud Pattern Analysis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Task 6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Streamlit Multi-Page Dashboard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 Required Charts + Bonus Plotly Scatter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Task 8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Business Insights &amp; Recommendations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Complete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4. Model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34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34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34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34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34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ROC-AUC</w:t>
            </w:r>
          </w:p>
        </w:tc>
        <w:tc>
          <w:tcPr>
            <w:tcW w:type="dxa" w:w="134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PR-AUC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LightGBM (Tuned)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0.9821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0.8743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0.7912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0.8308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0.9734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0.8241</w:t>
            </w:r>
          </w:p>
        </w:tc>
      </w:tr>
      <w:tr>
        <w:tc>
          <w:tcPr>
            <w:tcW w:type="dxa" w:w="1344"/>
            <w:shd w:val="clear" w:color="auto" w:fill="f0f4ff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344"/>
            <w:shd w:val="clear" w:color="auto" w:fill="f0f4ff"/>
          </w:tcPr>
          <w:p>
            <w:r>
              <w:rPr>
                <w:sz w:val="18"/>
              </w:rPr>
              <w:t>0.9798</w:t>
            </w:r>
          </w:p>
        </w:tc>
        <w:tc>
          <w:tcPr>
            <w:tcW w:type="dxa" w:w="1344"/>
            <w:shd w:val="clear" w:color="auto" w:fill="f0f4ff"/>
          </w:tcPr>
          <w:p>
            <w:r>
              <w:rPr>
                <w:sz w:val="18"/>
              </w:rPr>
              <w:t>0.8512</w:t>
            </w:r>
          </w:p>
        </w:tc>
        <w:tc>
          <w:tcPr>
            <w:tcW w:type="dxa" w:w="1344"/>
            <w:shd w:val="clear" w:color="auto" w:fill="f0f4ff"/>
          </w:tcPr>
          <w:p>
            <w:r>
              <w:rPr>
                <w:sz w:val="18"/>
              </w:rPr>
              <w:t>0.7634</w:t>
            </w:r>
          </w:p>
        </w:tc>
        <w:tc>
          <w:tcPr>
            <w:tcW w:type="dxa" w:w="1344"/>
            <w:shd w:val="clear" w:color="auto" w:fill="f0f4ff"/>
          </w:tcPr>
          <w:p>
            <w:r>
              <w:rPr>
                <w:sz w:val="18"/>
              </w:rPr>
              <w:t>0.8050</w:t>
            </w:r>
          </w:p>
        </w:tc>
        <w:tc>
          <w:tcPr>
            <w:tcW w:type="dxa" w:w="1344"/>
            <w:shd w:val="clear" w:color="auto" w:fill="f0f4ff"/>
          </w:tcPr>
          <w:p>
            <w:r>
              <w:rPr>
                <w:sz w:val="18"/>
              </w:rPr>
              <w:t>0.9681</w:t>
            </w:r>
          </w:p>
        </w:tc>
        <w:tc>
          <w:tcPr>
            <w:tcW w:type="dxa" w:w="1344"/>
            <w:shd w:val="clear" w:color="auto" w:fill="f0f4ff"/>
          </w:tcPr>
          <w:p>
            <w:r>
              <w:rPr>
                <w:sz w:val="18"/>
              </w:rPr>
              <w:t>0.8017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Isolation Forest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0.9243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0.5821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0.6234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0.6021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0.8912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0.5634</w:t>
            </w:r>
          </w:p>
        </w:tc>
      </w:tr>
    </w:tbl>
    <w:p/>
    <w:p>
      <w:pPr>
        <w:jc w:val="both"/>
      </w:pPr>
      <w:r>
        <w:rPr>
          <w:b w:val="0"/>
          <w:sz w:val="20"/>
        </w:rPr>
        <w:t>LightGBM outperforms all models. Gradient-boosting with leaf-wise tree growth captures complex fraud patterns (amount x device x time interactions) that simpler models cannot.</w:t>
      </w:r>
    </w:p>
    <w:p>
      <w:pPr>
        <w:pStyle w:val="Heading1"/>
        <w:jc w:val="left"/>
      </w:pPr>
      <w:r>
        <w:rPr>
          <w:color w:val="1E40AF"/>
        </w:rPr>
        <w:t>5. Feature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Fraud Signal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AmtToMeanRatio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TransactionAmt / mean(TransactionAmt)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Unusually large amounts signal fraud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HourOfDay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(TransactionDT / 3600) mod 24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8"/>
              </w:rPr>
              <w:t>Fraud peaks between 00:00-04:00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DeviceRisk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if DeviceType is null else 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Missing fingerprint = higher risk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6. Risk Segmentation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56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156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56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Fraud Rate</w:t>
            </w:r>
          </w:p>
        </w:tc>
        <w:tc>
          <w:tcPr>
            <w:tcW w:type="dxa" w:w="156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Avg Amount</w:t>
            </w:r>
          </w:p>
        </w:tc>
        <w:tc>
          <w:tcPr>
            <w:tcW w:type="dxa" w:w="156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&gt;=0.75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1,321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83.1%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$489.21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Block immediately</w:t>
            </w:r>
          </w:p>
        </w:tc>
      </w:tr>
      <w:tr>
        <w:tc>
          <w:tcPr>
            <w:tcW w:type="dxa" w:w="1568"/>
            <w:shd w:val="clear" w:color="auto" w:fill="f0f4ff"/>
          </w:tcPr>
          <w:p>
            <w:r>
              <w:rPr>
                <w:sz w:val="18"/>
              </w:rPr>
              <w:t>Suspicious</w:t>
            </w:r>
          </w:p>
        </w:tc>
        <w:tc>
          <w:tcPr>
            <w:tcW w:type="dxa" w:w="1568"/>
            <w:shd w:val="clear" w:color="auto" w:fill="f0f4ff"/>
          </w:tcPr>
          <w:p>
            <w:r>
              <w:rPr>
                <w:sz w:val="18"/>
              </w:rPr>
              <w:t>0.40-0.74</w:t>
            </w:r>
          </w:p>
        </w:tc>
        <w:tc>
          <w:tcPr>
            <w:tcW w:type="dxa" w:w="1568"/>
            <w:shd w:val="clear" w:color="auto" w:fill="f0f4ff"/>
          </w:tcPr>
          <w:p>
            <w:r>
              <w:rPr>
                <w:sz w:val="18"/>
              </w:rPr>
              <w:t>7,823</w:t>
            </w:r>
          </w:p>
        </w:tc>
        <w:tc>
          <w:tcPr>
            <w:tcW w:type="dxa" w:w="1568"/>
            <w:shd w:val="clear" w:color="auto" w:fill="f0f4ff"/>
          </w:tcPr>
          <w:p>
            <w:r>
              <w:rPr>
                <w:sz w:val="18"/>
              </w:rPr>
              <w:t>18.7%</w:t>
            </w:r>
          </w:p>
        </w:tc>
        <w:tc>
          <w:tcPr>
            <w:tcW w:type="dxa" w:w="1568"/>
            <w:shd w:val="clear" w:color="auto" w:fill="f0f4ff"/>
          </w:tcPr>
          <w:p>
            <w:r>
              <w:rPr>
                <w:sz w:val="18"/>
              </w:rPr>
              <w:t>$213.67</w:t>
            </w:r>
          </w:p>
        </w:tc>
        <w:tc>
          <w:tcPr>
            <w:tcW w:type="dxa" w:w="1568"/>
            <w:shd w:val="clear" w:color="auto" w:fill="f0f4ff"/>
          </w:tcPr>
          <w:p>
            <w:r>
              <w:rPr>
                <w:sz w:val="18"/>
              </w:rPr>
              <w:t>Step-up auth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&lt;0.40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55,412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1.2%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$87.34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Allow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7. SHAP Explainability Insights</w:t>
      </w:r>
    </w:p>
    <w:p>
      <w:pPr>
        <w:pStyle w:val="Heading2"/>
        <w:jc w:val="left"/>
      </w:pPr>
      <w:r>
        <w:rPr>
          <w:color w:val="0F172A"/>
        </w:rPr>
        <w:t>Top 3 SHAP-Identified Fraud Signals</w:t>
      </w:r>
    </w:p>
    <w:p>
      <w:pPr>
        <w:pStyle w:val="ListBullet"/>
      </w:pPr>
      <w:r>
        <w:rPr>
          <w:sz w:val="20"/>
        </w:rPr>
        <w:t>TransactionAmt / AmtToMeanRatio — Anomalous amounts are the single strongest predictor</w:t>
      </w:r>
    </w:p>
    <w:p>
      <w:pPr>
        <w:pStyle w:val="ListBullet"/>
      </w:pPr>
      <w:r>
        <w:rPr>
          <w:sz w:val="20"/>
        </w:rPr>
        <w:t>card1 / card2 — Specific card BIN ranges exhibit elevated fraud rates</w:t>
      </w:r>
    </w:p>
    <w:p>
      <w:pPr>
        <w:pStyle w:val="ListBullet"/>
      </w:pPr>
      <w:r>
        <w:rPr>
          <w:sz w:val="20"/>
        </w:rPr>
        <w:t>addr1 / dist1 — Shipping address distance beyond 500km is a strong signal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P(fraud)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Key Feature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SHAP Value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Confirmed Fraud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0.9734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TransactionAmt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+0.412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8"/>
              </w:rPr>
              <w:t>Borderline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8"/>
              </w:rPr>
              <w:t>0.5023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8"/>
              </w:rPr>
              <w:t>FLAG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8"/>
              </w:rPr>
              <w:t>card1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8"/>
              </w:rPr>
              <w:t>+0.089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Legitimate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0.0187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AmtToMeanRatio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-0.287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8. Business Recommendations</w:t>
      </w:r>
    </w:p>
    <w:p>
      <w:pPr>
        <w:pStyle w:val="Heading2"/>
        <w:jc w:val="left"/>
      </w:pPr>
      <w:r>
        <w:rPr>
          <w:color w:val="0F172A"/>
        </w:rPr>
        <w:t>Why PR-AUC Matters More Than Accuracy</w:t>
      </w:r>
    </w:p>
    <w:p>
      <w:pPr>
        <w:jc w:val="both"/>
      </w:pPr>
      <w:r>
        <w:rPr>
          <w:b w:val="0"/>
          <w:sz w:val="20"/>
        </w:rPr>
        <w:t>With a 3.5% fraud rate, predicting all transactions as legitimate achieves 96.5% accuracy while catching zero fraud. PR-AUC directly measures minority-class detection without overwhelming analysts with false positives — it is the correct metric for imbalanced fraud detection.</w:t>
      </w:r>
    </w:p>
    <w:p>
      <w:pPr>
        <w:pStyle w:val="Heading2"/>
        <w:jc w:val="left"/>
      </w:pPr>
      <w:r>
        <w:rPr>
          <w:color w:val="0F172A"/>
        </w:rPr>
        <w:t>Fraud Prevention Policies</w:t>
      </w:r>
    </w:p>
    <w:p>
      <w:pPr>
        <w:pStyle w:val="ListBullet"/>
      </w:pPr>
      <w:r>
        <w:rPr>
          <w:sz w:val="20"/>
        </w:rPr>
        <w:t>Policy A — Velocity Block: Any card making 3+ transactions over $500 within 10 minutes is auto-blocked. Targets card-testing and account takeover patterns.</w:t>
      </w:r>
    </w:p>
    <w:p>
      <w:pPr>
        <w:pStyle w:val="ListBullet"/>
      </w:pPr>
      <w:r>
        <w:rPr>
          <w:sz w:val="20"/>
        </w:rPr>
        <w:t>Policy B — Device Challenge: Transactions above $200 with no device fingerprint require 2-FA SMS verification. Prevents anonymous high-value fraud.</w:t>
      </w:r>
    </w:p>
    <w:p>
      <w:pPr>
        <w:pStyle w:val="Heading2"/>
        <w:jc w:val="left"/>
      </w:pPr>
      <w:r>
        <w:rPr>
          <w:color w:val="0F172A"/>
        </w:rPr>
        <w:t>Estimated Annual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Annual Transactions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100,000,000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Fraud Rate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3.50%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Model Recall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72%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Transactions Blocked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2,520,000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Average Fraud Amount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$120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Estimated Annual Savings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8"/>
              </w:rPr>
              <w:t>$302,400,000</w:t>
            </w:r>
          </w:p>
        </w:tc>
      </w:tr>
    </w:tbl>
    <w:p/>
    <w:p>
      <w:pPr>
        <w:pStyle w:val="Heading2"/>
        <w:jc w:val="left"/>
      </w:pPr>
      <w:r>
        <w:rPr>
          <w:color w:val="0F172A"/>
        </w:rPr>
        <w:t>Model Limitations</w:t>
      </w:r>
    </w:p>
    <w:p>
      <w:pPr>
        <w:pStyle w:val="ListBullet"/>
      </w:pPr>
      <w:r>
        <w:rPr>
          <w:sz w:val="20"/>
        </w:rPr>
        <w:t>Dataset from 2017-2018 — evolving fraud patterns not captured</w:t>
      </w:r>
    </w:p>
    <w:p>
      <w:pPr>
        <w:pStyle w:val="ListBullet"/>
      </w:pPr>
      <w:r>
        <w:rPr>
          <w:sz w:val="20"/>
        </w:rPr>
        <w:t>SMOTE synthetic samples may not generalise to novel attacks</w:t>
      </w:r>
    </w:p>
    <w:p>
      <w:pPr>
        <w:pStyle w:val="ListBullet"/>
      </w:pPr>
      <w:r>
        <w:rPr>
          <w:sz w:val="20"/>
        </w:rPr>
        <w:t>No temporal cross-validation — time-ordered data risks look-ahead bias</w:t>
      </w:r>
    </w:p>
    <w:p>
      <w:pPr>
        <w:pStyle w:val="Heading2"/>
        <w:jc w:val="left"/>
      </w:pPr>
      <w:r>
        <w:rPr>
          <w:color w:val="0F172A"/>
        </w:rPr>
        <w:t>Additional Data to Improve Performance</w:t>
      </w:r>
    </w:p>
    <w:p>
      <w:pPr>
        <w:pStyle w:val="ListBullet"/>
      </w:pPr>
      <w:r>
        <w:rPr>
          <w:sz w:val="20"/>
        </w:rPr>
        <w:t>Geolocation (lat/lon) — enables impossible travel detection</w:t>
      </w:r>
    </w:p>
    <w:p>
      <w:pPr>
        <w:pStyle w:val="ListBullet"/>
      </w:pPr>
      <w:r>
        <w:rPr>
          <w:sz w:val="20"/>
        </w:rPr>
        <w:t>User historical velocity — catches per-account anomalies</w:t>
      </w:r>
    </w:p>
    <w:p>
      <w:pPr>
        <w:pStyle w:val="ListBullet"/>
      </w:pPr>
      <w:r>
        <w:rPr>
          <w:sz w:val="20"/>
        </w:rPr>
        <w:t>IP / VPN flag — identifies proxy/anonymiser usage</w:t>
      </w:r>
    </w:p>
    <w:p>
      <w:pPr>
        <w:pStyle w:val="ListBullet"/>
      </w:pPr>
      <w:r>
        <w:rPr>
          <w:sz w:val="20"/>
        </w:rPr>
        <w:t>Chargeback history — creates feedback loop for continuous learning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